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lotextu"/>
        <w:numPr>
          <w:ilvl w:val="0"/>
          <w:numId w:val="1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commentReference w:id="0"/>
      </w:r>
      <w:r>
        <w:rPr/>
        <w:commentReference w:id="1"/>
      </w:r>
      <w:r>
        <w:rPr/>
        <w:t xml:space="preserve">G. Jenča: </w:t>
      </w:r>
      <w:r>
        <w:rPr>
          <w:rStyle w:val="Zdraznenie"/>
        </w:rPr>
        <w:t>Sharp and Meager Elements in Orthocomplete Homogeneous Effect Algebras</w:t>
      </w:r>
      <w:r>
        <w:rPr/>
        <w:t xml:space="preserve">, Order, </w:t>
      </w:r>
      <w:r>
        <w:rPr>
          <w:rStyle w:val="Silnzvraznenie"/>
        </w:rPr>
        <w:t>27</w:t>
      </w:r>
      <w:r>
        <w:rPr/>
        <w:t xml:space="preserve"> (2010) 41-61 </w:t>
      </w:r>
    </w:p>
    <w:p>
      <w:pPr>
        <w:pStyle w:val="Telotextu"/>
        <w:numPr>
          <w:ilvl w:val="0"/>
          <w:numId w:val="1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 xml:space="preserve">G. Jenča: </w:t>
      </w:r>
      <w:r>
        <w:rPr>
          <w:rStyle w:val="Zdraznenie"/>
        </w:rPr>
        <w:t>Coexistence in interval effect algebras</w:t>
      </w:r>
      <w:r>
        <w:rPr/>
        <w:t xml:space="preserve">, Proceedings of the American Mathematical Society, </w:t>
      </w:r>
      <w:r>
        <w:rPr>
          <w:rStyle w:val="Silnzvraznenie"/>
        </w:rPr>
        <w:t>139</w:t>
      </w:r>
      <w:r>
        <w:rPr/>
        <w:t xml:space="preserve"> (2011) 331-344 </w:t>
      </w:r>
    </w:p>
    <w:p>
      <w:pPr>
        <w:pStyle w:val="Telotextu"/>
        <w:numPr>
          <w:ilvl w:val="0"/>
          <w:numId w:val="1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 xml:space="preserve">G. Jenča: </w:t>
      </w:r>
      <w:r>
        <w:rPr>
          <w:rStyle w:val="Zdraznenie"/>
        </w:rPr>
        <w:t>Extensions of Witness Mappings</w:t>
      </w:r>
      <w:r>
        <w:rPr/>
        <w:t xml:space="preserve">, Order, </w:t>
      </w:r>
      <w:r>
        <w:rPr>
          <w:rStyle w:val="Silnzvraznenie"/>
        </w:rPr>
        <w:t>29</w:t>
      </w:r>
      <w:r>
        <w:rPr/>
        <w:t xml:space="preserve"> (2012) 533-544 </w:t>
      </w:r>
    </w:p>
    <w:p>
      <w:pPr>
        <w:pStyle w:val="Telotextu"/>
        <w:numPr>
          <w:ilvl w:val="0"/>
          <w:numId w:val="1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 xml:space="preserve">G. Jenča: </w:t>
      </w:r>
      <w:r>
        <w:rPr>
          <w:rStyle w:val="Zdraznenie"/>
        </w:rPr>
        <w:t>Congruences generated by ideals of the compatibility center of lattice effect algebras</w:t>
      </w:r>
      <w:r>
        <w:rPr/>
        <w:t xml:space="preserve">, Soft Computing, </w:t>
      </w:r>
      <w:r>
        <w:rPr>
          <w:rStyle w:val="Silnzvraznenie"/>
        </w:rPr>
        <w:t>17</w:t>
      </w:r>
      <w:r>
        <w:rPr/>
        <w:t xml:space="preserve"> (2013) 45-47 </w:t>
      </w:r>
    </w:p>
    <w:p>
      <w:pPr>
        <w:pStyle w:val="Telotextu"/>
        <w:numPr>
          <w:ilvl w:val="0"/>
          <w:numId w:val="1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 xml:space="preserve">G. Jenča, P. Sarkoci: </w:t>
      </w:r>
      <w:r>
        <w:rPr>
          <w:rStyle w:val="Zdraznenie"/>
        </w:rPr>
        <w:t>Linear extensions and order-preserving poset partitions</w:t>
      </w:r>
      <w:r>
        <w:rPr/>
        <w:t xml:space="preserve">, Journal of Combinatorial Theory, Series A, </w:t>
      </w:r>
      <w:r>
        <w:rPr>
          <w:rStyle w:val="Silnzvraznenie"/>
        </w:rPr>
        <w:t>122</w:t>
      </w:r>
      <w:r>
        <w:rPr/>
        <w:t xml:space="preserve"> (2014) 28-38 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" w:date="2015-05-10T23:15:41Z" w:initials=""/>
  <w:comment w:id="1" w:author="" w:date="2015-05-10T23:15:41Z" w:initials="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horndale">
    <w:altName w:val="Times New Roman"/>
    <w:charset w:val="01" w:characterSet="utf-8"/>
    <w:family w:val="roman"/>
    <w:pitch w:val="variable"/>
  </w:font>
  <w:font w:name="Albany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2">
    <w:lvl w:ilvl="0">
      <w:start w:val="1"/>
      <w:numFmt w:val="decimal"/>
      <w:suff w:val="nothing"/>
      <w:lvlText w:val=""/>
      <w:lvlJc w:val="start"/>
      <w:pPr>
        <w:ind w:start="0" w:hanging="0"/>
      </w:pPr>
    </w:lvl>
    <w:lvl w:ilvl="1">
      <w:start w:val="1"/>
      <w:numFmt w:val="decimal"/>
      <w:suff w:val="nothing"/>
      <w:lvlText w:val=""/>
      <w:lvlJc w:val="start"/>
      <w:pPr>
        <w:ind w:start="0" w:hanging="0"/>
      </w:pPr>
    </w:lvl>
    <w:lvl w:ilvl="2">
      <w:start w:val="1"/>
      <w:numFmt w:val="decimal"/>
      <w:suff w:val="nothing"/>
      <w:lvlText w:val=""/>
      <w:lvlJc w:val="start"/>
      <w:pPr>
        <w:ind w:start="0" w:hanging="0"/>
      </w:pPr>
    </w:lvl>
    <w:lvl w:ilvl="3">
      <w:start w:val="1"/>
      <w:numFmt w:val="decimal"/>
      <w:suff w:val="nothing"/>
      <w:lvlText w:val=""/>
      <w:lvlJc w:val="start"/>
      <w:pPr>
        <w:ind w:start="0" w:hanging="0"/>
      </w:pPr>
    </w:lvl>
    <w:lvl w:ilvl="4">
      <w:start w:val="1"/>
      <w:numFmt w:val="decimal"/>
      <w:suff w:val="nothing"/>
      <w:lvlText w:val=""/>
      <w:lvlJc w:val="start"/>
      <w:pPr>
        <w:ind w:start="0" w:hanging="0"/>
      </w:pPr>
    </w:lvl>
    <w:lvl w:ilvl="5">
      <w:start w:val="1"/>
      <w:numFmt w:val="decimal"/>
      <w:suff w:val="nothing"/>
      <w:lvlText w:val=""/>
      <w:lvlJc w:val="start"/>
      <w:pPr>
        <w:ind w:start="0" w:hanging="0"/>
      </w:pPr>
    </w:lvl>
    <w:lvl w:ilvl="6">
      <w:start w:val="1"/>
      <w:numFmt w:val="decimal"/>
      <w:suff w:val="nothing"/>
      <w:lvlText w:val=""/>
      <w:lvlJc w:val="start"/>
      <w:pPr>
        <w:ind w:start="0" w:hanging="0"/>
      </w:pPr>
    </w:lvl>
    <w:lvl w:ilvl="7">
      <w:start w:val="1"/>
      <w:numFmt w:val="decimal"/>
      <w:suff w:val="nothing"/>
      <w:lvlText w:val=""/>
      <w:lvlJc w:val="start"/>
      <w:pPr>
        <w:ind w:start="0" w:hanging="0"/>
      </w:pPr>
    </w:lvl>
    <w:lvl w:ilvl="8">
      <w:start w:val="1"/>
      <w:numFmt w:val="decimal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Mangal"/>
        <w:sz w:val="24"/>
        <w:szCs w:val="24"/>
        <w:lang w:val="sk-S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Arial Unicode MS" w:cs="Mangal"/>
      <w:color w:val="auto"/>
      <w:sz w:val="24"/>
      <w:szCs w:val="24"/>
      <w:lang w:val="sk-SK" w:eastAsia="zh-CN" w:bidi="hi-IN"/>
    </w:rPr>
  </w:style>
  <w:style w:type="paragraph" w:styleId="Nadpis1">
    <w:name w:val="Nadpis 1"/>
    <w:basedOn w:val="Nadpis"/>
    <w:next w:val="Telotextu"/>
    <w:pPr/>
    <w:rPr>
      <w:rFonts w:ascii="Thorndale" w:hAnsi="Thorndale"/>
      <w:b/>
      <w:bCs/>
      <w:sz w:val="48"/>
      <w:szCs w:val="44"/>
    </w:rPr>
  </w:style>
  <w:style w:type="character" w:styleId="Znakyprekoncovpoznmku">
    <w:name w:val="Znaky pre koncovú poznámku"/>
    <w:qFormat/>
    <w:rPr/>
  </w:style>
  <w:style w:type="character" w:styleId="Znakyprepoznmkupodiarou">
    <w:name w:val="Znaky pre poznámku pod čiarou"/>
    <w:qFormat/>
    <w:rPr/>
  </w:style>
  <w:style w:type="character" w:styleId="Internetovodkaz">
    <w:name w:val="Internetový odkaz"/>
    <w:rPr>
      <w:color w:val="000080"/>
      <w:u w:val="single"/>
    </w:rPr>
  </w:style>
  <w:style w:type="character" w:styleId="Symbolypreslovanie">
    <w:name w:val="Symboly pre číslovanie"/>
    <w:qFormat/>
    <w:rPr/>
  </w:style>
  <w:style w:type="character" w:styleId="Zdraznenie">
    <w:name w:val="Zdôraznenie"/>
    <w:rPr>
      <w:i/>
      <w:iCs/>
    </w:rPr>
  </w:style>
  <w:style w:type="character" w:styleId="Silnzvraznenie">
    <w:name w:val="Silné zvýraznenie"/>
    <w:rPr>
      <w:b/>
      <w:bCs/>
    </w:rPr>
  </w:style>
  <w:style w:type="paragraph" w:styleId="Vodorovniara">
    <w:name w:val="Vodorovná čiara"/>
    <w:basedOn w:val="Normal"/>
    <w:next w:val="Telotextu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Odosielate">
    <w:name w:val="Odosielateľ"/>
    <w:basedOn w:val="Normal"/>
    <w:pPr/>
    <w:rPr>
      <w:i/>
    </w:rPr>
  </w:style>
  <w:style w:type="paragraph" w:styleId="Obsahtabuky">
    <w:name w:val="Obsah tabuľky"/>
    <w:basedOn w:val="Telotextu"/>
    <w:qFormat/>
    <w:pPr/>
    <w:rPr/>
  </w:style>
  <w:style w:type="paragraph" w:styleId="Pta">
    <w:name w:val="Päta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lavika">
    <w:name w:val="Hlavička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opis">
    <w:name w:val="Popis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Zoznam">
    <w:name w:val="Zoznam"/>
    <w:basedOn w:val="Telotextu"/>
    <w:pPr/>
    <w:rPr>
      <w:rFonts w:cs="Mangal"/>
    </w:rPr>
  </w:style>
  <w:style w:type="paragraph" w:styleId="Telotextu">
    <w:name w:val="Telo textu"/>
    <w:basedOn w:val="Normal"/>
    <w:pPr>
      <w:spacing w:before="0" w:after="283"/>
    </w:pPr>
    <w:rPr/>
  </w:style>
  <w:style w:type="paragraph" w:styleId="Nadpis">
    <w:name w:val="Nadpis"/>
    <w:basedOn w:val="Normal"/>
    <w:next w:val="Telotextu"/>
    <w:qFormat/>
    <w:pPr>
      <w:keepNext/>
      <w:spacing w:before="240" w:after="283"/>
    </w:pPr>
    <w:rPr>
      <w:rFonts w:ascii="Albany" w:hAnsi="Albany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LibreOffice/4.4.2.2$Linux_X86_64 LibreOffice_project/40m0$Build-2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sk-SK</dc:language>
  <cp:revision>0</cp:revision>
  <dc:title> Bibliografia </dc:title>
</cp:coreProperties>
</file>