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3"/>
        <w:spacing w:before="140" w:after="120"/>
        <w:rPr/>
      </w:pPr>
      <w:r>
        <w:rPr/>
        <w:t xml:space="preserve">Časopisy zahraničné aj domáce evidované v databáze SCOPUS </w:t>
      </w:r>
    </w:p>
    <w:p>
      <w:pPr>
        <w:pStyle w:val="Telotextu"/>
        <w:numPr>
          <w:ilvl w:val="0"/>
          <w:numId w:val="1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G. Jenča: </w:t>
      </w:r>
      <w:r>
        <w:rPr>
          <w:rStyle w:val="Zdraznenie"/>
        </w:rPr>
        <w:t>Effect Algebras as Presheaves on Finite Boolean Algebras</w:t>
      </w:r>
      <w:r>
        <w:rPr/>
        <w:t xml:space="preserve">, Order, </w:t>
      </w:r>
      <w:r>
        <w:rPr>
          <w:rStyle w:val="Silnzvraznenie"/>
        </w:rPr>
        <w:t>35</w:t>
      </w:r>
      <w:r>
        <w:rPr/>
        <w:t xml:space="preserve"> (2018) 525-540 </w:t>
      </w:r>
      <w:hyperlink r:id="rId2">
        <w:r>
          <w:rPr>
            <w:rStyle w:val="Internetovodkaz"/>
          </w:rPr>
          <w:t>doi:10.1007/s11083-017-9447-y</w:t>
        </w:r>
      </w:hyperlink>
      <w:r>
        <w:rPr/>
        <w:t xml:space="preserve"> </w:t>
      </w:r>
    </w:p>
    <w:p>
      <w:pPr>
        <w:pStyle w:val="Nadpis3"/>
        <w:rPr/>
      </w:pPr>
      <w:r>
        <w:rPr/>
        <w:t xml:space="preserve">Citácie podľa SCI, multidisciplinárne ISI, SCOPUS – len zahraničný autor </w:t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Jenča, Z. Riečanová: On sharp elements in lattice ordered effect algebras, </w:t>
      </w:r>
      <w:r>
        <w:rPr>
          <w:rStyle w:val="Zdraznenie"/>
        </w:rPr>
        <w:t>BUSEFAL</w:t>
      </w:r>
      <w:r>
        <w:rPr/>
        <w:t xml:space="preserve">, </w:t>
      </w:r>
      <w:r>
        <w:rPr>
          <w:rStyle w:val="Silnzvraznenie"/>
        </w:rPr>
        <w:t>80</w:t>
      </w:r>
      <w:r>
        <w:rPr/>
        <w:t xml:space="preserve"> (1999), 24-29, </w:t>
      </w:r>
    </w:p>
    <w:p>
      <w:pPr>
        <w:pStyle w:val="Nadpis3"/>
        <w:rPr/>
      </w:pPr>
      <w:r>
        <w:rPr/>
        <w:t xml:space="preserve">Citovaný v (3): </w:t>
      </w:r>
    </w:p>
    <w:p>
      <w:pPr>
        <w:pStyle w:val="Telotextu"/>
        <w:numPr>
          <w:ilvl w:val="0"/>
          <w:numId w:val="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J. Janda, Y. Xie: The spectrum of the sum of observables on sigma-complete MV-effect algebras,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22</w:t>
      </w:r>
      <w:r>
        <w:rPr/>
        <w:t xml:space="preserve"> (2018), 8041-8049, [zautor] [zpub] [wos] </w:t>
      </w:r>
    </w:p>
    <w:p>
      <w:pPr>
        <w:pStyle w:val="Telotextu"/>
        <w:numPr>
          <w:ilvl w:val="0"/>
          <w:numId w:val="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P. Emanovský, J. Kühr: On special elements and pseudocomplementation in lattices with antitone involutions,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22</w:t>
      </w:r>
      <w:r>
        <w:rPr/>
        <w:t xml:space="preserve"> (2018), 4561-4572, [wos] [zautor] [zpub] </w:t>
      </w:r>
    </w:p>
    <w:p>
      <w:pPr>
        <w:pStyle w:val="Telotextu"/>
        <w:numPr>
          <w:ilvl w:val="0"/>
          <w:numId w:val="2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W. Ji: Meager projections in orthocomplete homogeneous effect algebras, </w:t>
      </w:r>
      <w:r>
        <w:rPr>
          <w:rStyle w:val="Zdraznenie"/>
        </w:rPr>
        <w:t>Fuzzy Sets and Systems</w:t>
      </w:r>
      <w:r>
        <w:rPr/>
        <w:t xml:space="preserve">, </w:t>
      </w:r>
      <w:r>
        <w:rPr>
          <w:rStyle w:val="Silnzvraznenie"/>
        </w:rPr>
        <w:t>339</w:t>
      </w:r>
      <w:r>
        <w:rPr/>
        <w:t xml:space="preserve"> (2018), 51-61, [zautor] [zpub] [wos]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Jenča: Notes on R1-ideals in partial abelian monoids, </w:t>
      </w:r>
      <w:r>
        <w:rPr>
          <w:rStyle w:val="Zdraznenie"/>
        </w:rPr>
        <w:t>Algebra Universalis</w:t>
      </w:r>
      <w:r>
        <w:rPr/>
        <w:t xml:space="preserve">, </w:t>
      </w:r>
      <w:r>
        <w:rPr>
          <w:rStyle w:val="Silnzvraznenie"/>
        </w:rPr>
        <w:t>43</w:t>
      </w:r>
      <w:r>
        <w:rPr/>
        <w:t xml:space="preserve"> (2000), 307-319,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3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M. R. Rakhshani, R. A. Borzooei, G. R. Rezaei: On Topological Effect Algebras, </w:t>
      </w:r>
      <w:r>
        <w:rPr>
          <w:rStyle w:val="Zdraznenie"/>
        </w:rPr>
        <w:t>Italian Journal of Pure and Applied Mathematics</w:t>
      </w:r>
      <w:r>
        <w:rPr/>
        <w:t xml:space="preserve">, (2018), 312-325,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Jenča: Blocks of homogeneous effect algebras, </w:t>
      </w:r>
      <w:r>
        <w:rPr>
          <w:rStyle w:val="Zdraznenie"/>
        </w:rPr>
        <w:t>Bulletin of the Australian Mathematical Society</w:t>
      </w:r>
      <w:r>
        <w:rPr/>
        <w:t xml:space="preserve">, </w:t>
      </w:r>
      <w:r>
        <w:rPr>
          <w:rStyle w:val="Silnzvraznenie"/>
        </w:rPr>
        <w:t>64</w:t>
      </w:r>
      <w:r>
        <w:rPr/>
        <w:t xml:space="preserve"> (2001), 81-98,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4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W. Ji: Meager projections in orthocomplete homogeneous effect algebras, </w:t>
      </w:r>
      <w:r>
        <w:rPr>
          <w:rStyle w:val="Zdraznenie"/>
        </w:rPr>
        <w:t>Fuzzy Sets and Systems</w:t>
      </w:r>
      <w:r>
        <w:rPr/>
        <w:t xml:space="preserve">, </w:t>
      </w:r>
      <w:r>
        <w:rPr>
          <w:rStyle w:val="Silnzvraznenie"/>
        </w:rPr>
        <w:t>339</w:t>
      </w:r>
      <w:r>
        <w:rPr/>
        <w:t xml:space="preserve"> (2018), 51-61,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Jenča, S. Pulmannová: Ideals and Quotients in Lattice Ordered Effect Algebras,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5</w:t>
      </w:r>
      <w:r>
        <w:rPr/>
        <w:t xml:space="preserve"> (2001), 376-380,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5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M. R. Rakhshani, R. A. Borzooei, G. R. Rezaei: On Topological Effect Algebras, </w:t>
      </w:r>
      <w:r>
        <w:rPr>
          <w:rStyle w:val="Zdraznenie"/>
        </w:rPr>
        <w:t>Italian Journal of Pure and Applied Mathematics</w:t>
      </w:r>
      <w:r>
        <w:rPr/>
        <w:t xml:space="preserve">, (2018), 312-325,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Jenča, S. Pulmannová: Orthocomplete effect algebras, </w:t>
      </w:r>
      <w:r>
        <w:rPr>
          <w:rStyle w:val="Zdraznenie"/>
        </w:rPr>
        <w:t>Proceedings of the American Mathematical Society</w:t>
      </w:r>
      <w:r>
        <w:rPr/>
        <w:t xml:space="preserve">, </w:t>
      </w:r>
      <w:r>
        <w:rPr>
          <w:rStyle w:val="Silnzvraznenie"/>
        </w:rPr>
        <w:t>131</w:t>
      </w:r>
      <w:r>
        <w:rPr/>
        <w:t xml:space="preserve"> (2003), 2663-2671,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6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W. Ji: Meager projections in orthocomplete homogeneous effect algebras, </w:t>
      </w:r>
      <w:r>
        <w:rPr>
          <w:rStyle w:val="Zdraznenie"/>
        </w:rPr>
        <w:t>Fuzzy Sets and Systems</w:t>
      </w:r>
      <w:r>
        <w:rPr/>
        <w:t xml:space="preserve">, </w:t>
      </w:r>
      <w:r>
        <w:rPr>
          <w:rStyle w:val="Silnzvraznenie"/>
        </w:rPr>
        <w:t>339</w:t>
      </w:r>
      <w:r>
        <w:rPr/>
        <w:t xml:space="preserve"> (2018), 51-61,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Jenča: 0-homogeneous effect algebras,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14</w:t>
      </w:r>
      <w:r>
        <w:rPr/>
        <w:t xml:space="preserve"> (2010), 1111-1116,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7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A. Singh: Invariance of nonatomic measures on effect algebras, </w:t>
      </w:r>
      <w:r>
        <w:rPr>
          <w:rStyle w:val="Zdraznenie"/>
        </w:rPr>
        <w:t>Mathematica Slovaca</w:t>
      </w:r>
      <w:r>
        <w:rPr/>
        <w:t xml:space="preserve">, </w:t>
      </w:r>
      <w:r>
        <w:rPr>
          <w:rStyle w:val="Silnzvraznenie"/>
        </w:rPr>
        <w:t>68</w:t>
      </w:r>
      <w:r>
        <w:rPr/>
        <w:t xml:space="preserve"> (2018), 311-318,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Jenča: Sharp and Meager Elements in Orthocomplete Homogeneous Effect Algebras, </w:t>
      </w:r>
      <w:r>
        <w:rPr>
          <w:rStyle w:val="Zdraznenie"/>
        </w:rPr>
        <w:t>Order</w:t>
      </w:r>
      <w:r>
        <w:rPr/>
        <w:t xml:space="preserve">, </w:t>
      </w:r>
      <w:r>
        <w:rPr>
          <w:rStyle w:val="Silnzvraznenie"/>
        </w:rPr>
        <w:t>27</w:t>
      </w:r>
      <w:r>
        <w:rPr/>
        <w:t xml:space="preserve"> (2010), 41-61, </w:t>
      </w:r>
    </w:p>
    <w:p>
      <w:pPr>
        <w:pStyle w:val="Nadpis3"/>
        <w:rPr/>
      </w:pPr>
      <w:r>
        <w:rPr/>
        <w:t xml:space="preserve">Citovaný v (2): </w:t>
      </w:r>
    </w:p>
    <w:p>
      <w:pPr>
        <w:pStyle w:val="Telotextu"/>
        <w:numPr>
          <w:ilvl w:val="0"/>
          <w:numId w:val="8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J. Janda, Y. Xie: The spectrum of the sum of observables on sigma-complete MV-effect algebras,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22</w:t>
      </w:r>
      <w:r>
        <w:rPr/>
        <w:t xml:space="preserve"> (2018), 8041-8049, </w:t>
      </w:r>
    </w:p>
    <w:p>
      <w:pPr>
        <w:pStyle w:val="Telotextu"/>
        <w:numPr>
          <w:ilvl w:val="0"/>
          <w:numId w:val="8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W. Ji: Meager projections in orthocomplete homogeneous effect algebras, </w:t>
      </w:r>
      <w:r>
        <w:rPr>
          <w:rStyle w:val="Zdraznenie"/>
        </w:rPr>
        <w:t>Fuzzy Sets and Systems</w:t>
      </w:r>
      <w:r>
        <w:rPr/>
        <w:t xml:space="preserve">, </w:t>
      </w:r>
      <w:r>
        <w:rPr>
          <w:rStyle w:val="Silnzvraznenie"/>
        </w:rPr>
        <w:t>339</w:t>
      </w:r>
      <w:r>
        <w:rPr/>
        <w:t xml:space="preserve"> (2018), 51-61, </w:t>
      </w:r>
    </w:p>
    <w:p>
      <w:pPr>
        <w:pStyle w:val="Vodorovniara"/>
        <w:rPr/>
      </w:pPr>
      <w:r>
        <w:rPr/>
      </w:r>
    </w:p>
    <w:p>
      <w:pPr>
        <w:pStyle w:val="Nadpis3"/>
        <w:rPr/>
      </w:pPr>
      <w:r>
        <w:rPr/>
        <w:t xml:space="preserve">Citácie podľa SCI, multidisciplinárne ISI, SCOPUS – domáci autor </w:t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Jenča, Z. Riečanová: On sharp elements in lattice ordered effect algebras, </w:t>
      </w:r>
      <w:r>
        <w:rPr>
          <w:rStyle w:val="Zdraznenie"/>
        </w:rPr>
        <w:t>BUSEFAL</w:t>
      </w:r>
      <w:r>
        <w:rPr/>
        <w:t xml:space="preserve">, </w:t>
      </w:r>
      <w:r>
        <w:rPr>
          <w:rStyle w:val="Silnzvraznenie"/>
        </w:rPr>
        <w:t>80</w:t>
      </w:r>
      <w:r>
        <w:rPr/>
        <w:t xml:space="preserve"> (1999), 24-29, </w:t>
      </w:r>
    </w:p>
    <w:p>
      <w:pPr>
        <w:pStyle w:val="Nadpis3"/>
        <w:rPr/>
      </w:pPr>
      <w:r>
        <w:rPr/>
        <w:t xml:space="preserve">Citovaný v (3): </w:t>
      </w:r>
    </w:p>
    <w:p>
      <w:pPr>
        <w:pStyle w:val="Telotextu"/>
        <w:numPr>
          <w:ilvl w:val="0"/>
          <w:numId w:val="9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R. A. Borzooei, A. Dvurečenskij, A. H. Sharafi: Material implications in lattice effect algebras, </w:t>
      </w:r>
      <w:r>
        <w:rPr>
          <w:rStyle w:val="Zdraznenie"/>
        </w:rPr>
        <w:t>Information Sciences</w:t>
      </w:r>
      <w:r>
        <w:rPr/>
        <w:t xml:space="preserve">, </w:t>
      </w:r>
      <w:r>
        <w:rPr>
          <w:rStyle w:val="Silnzvraznenie"/>
        </w:rPr>
        <w:t>433</w:t>
      </w:r>
      <w:r>
        <w:rPr/>
        <w:t xml:space="preserve"> (2018), 233-240, [wos] [zautor] [dautor] [zpub] </w:t>
      </w:r>
    </w:p>
    <w:p>
      <w:pPr>
        <w:pStyle w:val="Telotextu"/>
        <w:numPr>
          <w:ilvl w:val="0"/>
          <w:numId w:val="9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A. Dvurečenskij: Quantum Observables and Effect Algebras, </w:t>
      </w:r>
      <w:r>
        <w:rPr>
          <w:rStyle w:val="Zdraznenie"/>
        </w:rPr>
        <w:t>International Journal of Theoretical Physics</w:t>
      </w:r>
      <w:r>
        <w:rPr/>
        <w:t xml:space="preserve">, </w:t>
      </w:r>
      <w:r>
        <w:rPr>
          <w:rStyle w:val="Silnzvraznenie"/>
        </w:rPr>
        <w:t>57</w:t>
      </w:r>
      <w:r>
        <w:rPr/>
        <w:t xml:space="preserve"> (2018), 637-651, [zpub] [dautor] [wos] </w:t>
      </w:r>
    </w:p>
    <w:p>
      <w:pPr>
        <w:pStyle w:val="Telotextu"/>
        <w:numPr>
          <w:ilvl w:val="0"/>
          <w:numId w:val="9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A. Dvurečenskij: Sum of observables on MV-effect algebras,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22</w:t>
      </w:r>
      <w:r>
        <w:rPr/>
        <w:t xml:space="preserve"> (2018), 2485-2493, [zpub] [dautor] [wos]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Jenča: Blocks of homogeneous effect algebras, </w:t>
      </w:r>
      <w:r>
        <w:rPr>
          <w:rStyle w:val="Zdraznenie"/>
        </w:rPr>
        <w:t>Bulletin of the Australian Mathematical Society</w:t>
      </w:r>
      <w:r>
        <w:rPr/>
        <w:t xml:space="preserve">, </w:t>
      </w:r>
      <w:r>
        <w:rPr>
          <w:rStyle w:val="Silnzvraznenie"/>
        </w:rPr>
        <w:t>64</w:t>
      </w:r>
      <w:r>
        <w:rPr/>
        <w:t xml:space="preserve"> (2001), 81-98,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10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A. Dvurečenskij: Quantum Observables and Effect Algebras, </w:t>
      </w:r>
      <w:r>
        <w:rPr>
          <w:rStyle w:val="Zdraznenie"/>
        </w:rPr>
        <w:t>International Journal of Theoretical Physics</w:t>
      </w:r>
      <w:r>
        <w:rPr/>
        <w:t xml:space="preserve">, </w:t>
      </w:r>
      <w:r>
        <w:rPr>
          <w:rStyle w:val="Silnzvraznenie"/>
        </w:rPr>
        <w:t>57</w:t>
      </w:r>
      <w:r>
        <w:rPr/>
        <w:t xml:space="preserve"> (2018), 637-651,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Jenča, I. Marinová, Z. Riečanová: Central elements, blocks and sharp elements of lattice effect algebras, In: </w:t>
      </w:r>
      <w:r>
        <w:rPr>
          <w:rStyle w:val="Zdraznenie"/>
        </w:rPr>
        <w:t>Proceedings of the third seminar Fuzzy Sets and Quantum Structures, Vyhne, Slovakia</w:t>
      </w:r>
      <w:r>
        <w:rPr/>
        <w:t xml:space="preserve">, 2002, 28-33, </w:t>
      </w:r>
    </w:p>
    <w:p>
      <w:pPr>
        <w:pStyle w:val="Nadpis3"/>
        <w:rPr/>
      </w:pPr>
      <w:r>
        <w:rPr/>
        <w:t xml:space="preserve">Citovaný v (1): </w:t>
      </w:r>
    </w:p>
    <w:p>
      <w:pPr>
        <w:pStyle w:val="Telotextu"/>
        <w:numPr>
          <w:ilvl w:val="0"/>
          <w:numId w:val="11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R. A. Borzooei, A. Dvurečenskij, A. H. Sharafi: Material implications in lattice effect algebras, </w:t>
      </w:r>
      <w:r>
        <w:rPr>
          <w:rStyle w:val="Zdraznenie"/>
        </w:rPr>
        <w:t>Information Sciences</w:t>
      </w:r>
      <w:r>
        <w:rPr/>
        <w:t xml:space="preserve">, </w:t>
      </w:r>
      <w:r>
        <w:rPr>
          <w:rStyle w:val="Silnzvraznenie"/>
        </w:rPr>
        <w:t>433</w:t>
      </w:r>
      <w:r>
        <w:rPr/>
        <w:t xml:space="preserve"> (2018), 233-240, </w:t>
      </w:r>
    </w:p>
    <w:p>
      <w:pPr>
        <w:pStyle w:val="Vodorovniara"/>
        <w:rPr/>
      </w:pPr>
      <w:r>
        <w:rPr/>
      </w:r>
    </w:p>
    <w:p>
      <w:pPr>
        <w:pStyle w:val="Nadpis4"/>
        <w:rPr/>
      </w:pPr>
      <w:r>
        <w:rPr/>
        <w:t>Článok:</w:t>
      </w:r>
    </w:p>
    <w:p>
      <w:pPr>
        <w:pStyle w:val="Telotextu"/>
        <w:rPr/>
      </w:pPr>
      <w:r>
        <w:rPr/>
        <w:t xml:space="preserve">G. Jenča: Sharp and Meager Elements in Orthocomplete Homogeneous Effect Algebras, </w:t>
      </w:r>
      <w:r>
        <w:rPr>
          <w:rStyle w:val="Zdraznenie"/>
        </w:rPr>
        <w:t>Order</w:t>
      </w:r>
      <w:r>
        <w:rPr/>
        <w:t xml:space="preserve">, </w:t>
      </w:r>
      <w:r>
        <w:rPr>
          <w:rStyle w:val="Silnzvraznenie"/>
        </w:rPr>
        <w:t>27</w:t>
      </w:r>
      <w:r>
        <w:rPr/>
        <w:t xml:space="preserve"> (2010), 41-61, </w:t>
      </w:r>
    </w:p>
    <w:p>
      <w:pPr>
        <w:pStyle w:val="Nadpis3"/>
        <w:rPr/>
      </w:pPr>
      <w:r>
        <w:rPr/>
        <w:t xml:space="preserve">Citovaný v (2): </w:t>
      </w:r>
    </w:p>
    <w:p>
      <w:pPr>
        <w:pStyle w:val="Telotextu"/>
        <w:numPr>
          <w:ilvl w:val="0"/>
          <w:numId w:val="12"/>
        </w:numPr>
        <w:tabs>
          <w:tab w:val="clear" w:pos="1134"/>
          <w:tab w:val="left" w:pos="0" w:leader="none"/>
        </w:tabs>
        <w:spacing w:before="0" w:after="0"/>
        <w:ind w:start="707" w:hanging="283"/>
        <w:rPr/>
      </w:pPr>
      <w:r>
        <w:rPr/>
        <w:t xml:space="preserve">A. Dvurečenskij: Quantum Observables and Effect Algebras, </w:t>
      </w:r>
      <w:r>
        <w:rPr>
          <w:rStyle w:val="Zdraznenie"/>
        </w:rPr>
        <w:t>International Journal of Theoretical Physics</w:t>
      </w:r>
      <w:r>
        <w:rPr/>
        <w:t xml:space="preserve">, </w:t>
      </w:r>
      <w:r>
        <w:rPr>
          <w:rStyle w:val="Silnzvraznenie"/>
        </w:rPr>
        <w:t>57</w:t>
      </w:r>
      <w:r>
        <w:rPr/>
        <w:t xml:space="preserve"> (2018), 637-651, </w:t>
      </w:r>
    </w:p>
    <w:p>
      <w:pPr>
        <w:pStyle w:val="Telotextu"/>
        <w:numPr>
          <w:ilvl w:val="0"/>
          <w:numId w:val="12"/>
        </w:numPr>
        <w:tabs>
          <w:tab w:val="clear" w:pos="1134"/>
          <w:tab w:val="left" w:pos="0" w:leader="none"/>
        </w:tabs>
        <w:ind w:start="707" w:hanging="283"/>
        <w:rPr/>
      </w:pPr>
      <w:r>
        <w:rPr/>
        <w:t xml:space="preserve">A. Dvurečenskij: Sum of observables on MV-effect algebras, </w:t>
      </w:r>
      <w:r>
        <w:rPr>
          <w:rStyle w:val="Zdraznenie"/>
        </w:rPr>
        <w:t>Soft Computing</w:t>
      </w:r>
      <w:r>
        <w:rPr/>
        <w:t xml:space="preserve">, </w:t>
      </w:r>
      <w:r>
        <w:rPr>
          <w:rStyle w:val="Silnzvraznenie"/>
        </w:rPr>
        <w:t>22</w:t>
      </w:r>
      <w:r>
        <w:rPr/>
        <w:t xml:space="preserve"> (2018), 2485-2493, </w:t>
      </w:r>
    </w:p>
    <w:p>
      <w:pPr>
        <w:pStyle w:val="Vodorovniara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Nadpis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Nadpis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Mangal"/>
      <w:color w:val="auto"/>
      <w:sz w:val="24"/>
      <w:szCs w:val="24"/>
      <w:lang w:val="sk-SK" w:eastAsia="zh-CN" w:bidi="hi-IN"/>
    </w:rPr>
  </w:style>
  <w:style w:type="paragraph" w:styleId="Nadpis1">
    <w:name w:val="Heading 1"/>
    <w:basedOn w:val="Nadpis"/>
    <w:next w:val="Telotextu"/>
    <w:qFormat/>
    <w:pPr/>
    <w:rPr>
      <w:rFonts w:ascii="Thorndale" w:hAnsi="Thorndale"/>
      <w:b/>
      <w:bCs/>
      <w:sz w:val="48"/>
      <w:szCs w:val="44"/>
    </w:rPr>
  </w:style>
  <w:style w:type="paragraph" w:styleId="Nadpis3">
    <w:name w:val="Heading 3"/>
    <w:basedOn w:val="Nadpis"/>
    <w:next w:val="Telotextu"/>
    <w:qFormat/>
    <w:pPr>
      <w:spacing w:before="140" w:after="120"/>
      <w:outlineLvl w:val="2"/>
    </w:pPr>
    <w:rPr>
      <w:rFonts w:ascii="Liberation Serif" w:hAnsi="Liberation Serif" w:eastAsia="Arial Unicode MS" w:cs="Mangal"/>
      <w:b/>
      <w:bCs/>
      <w:sz w:val="28"/>
      <w:szCs w:val="28"/>
    </w:rPr>
  </w:style>
  <w:style w:type="paragraph" w:styleId="Nadpis4">
    <w:name w:val="Heading 4"/>
    <w:basedOn w:val="Nadpis"/>
    <w:next w:val="Telotextu"/>
    <w:qFormat/>
    <w:pPr>
      <w:spacing w:before="120" w:after="120"/>
      <w:outlineLvl w:val="3"/>
    </w:pPr>
    <w:rPr>
      <w:rFonts w:ascii="Liberation Serif" w:hAnsi="Liberation Serif" w:eastAsia="Arial Unicode MS" w:cs="Mangal"/>
      <w:b/>
      <w:bCs/>
      <w:sz w:val="24"/>
      <w:szCs w:val="24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qFormat/>
    <w:rPr>
      <w:i/>
      <w:iCs/>
    </w:rPr>
  </w:style>
  <w:style w:type="character" w:styleId="Silnzvraznenie">
    <w:name w:val="Silné zvýraznenie"/>
    <w:qFormat/>
    <w:rPr>
      <w:b/>
      <w:bCs/>
    </w:rPr>
  </w:style>
  <w:style w:type="paragraph" w:styleId="Vodorovniara">
    <w:name w:val="Vodorovná čiara"/>
    <w:basedOn w:val="Normal"/>
    <w:next w:val="Telotextu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Envelope Return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lavika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Zoznam">
    <w:name w:val="List"/>
    <w:basedOn w:val="Telotextu"/>
    <w:pPr/>
    <w:rPr>
      <w:rFonts w:cs="Mangal"/>
    </w:rPr>
  </w:style>
  <w:style w:type="paragraph" w:styleId="Telotextu">
    <w:name w:val="Body Text"/>
    <w:basedOn w:val="Normal"/>
    <w:pPr>
      <w:spacing w:before="0" w:after="283"/>
    </w:pPr>
    <w:rPr/>
  </w:style>
  <w:style w:type="paragraph" w:styleId="Nadpis">
    <w:name w:val="Nadpis"/>
    <w:basedOn w:val="Normal"/>
    <w:next w:val="Telotextu"/>
    <w:qFormat/>
    <w:pPr>
      <w:keepNext w:val="true"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i.org/10.1007/s11083-017-9447-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cp:revision>0</cp:revision>
  <dc:subject/>
  <dc:title> VOC 2018 </dc:title>
</cp:coreProperties>
</file>