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spacing w:before="240" w:after="283"/>
        <w:rPr>
          <w:rFonts w:ascii="Liberation Sans" w:hAnsi="Liberation Sans"/>
        </w:rPr>
      </w:pPr>
      <w:r>
        <w:rPr>
          <w:rFonts w:ascii="Liberation Sans" w:hAnsi="Liberation Sans"/>
        </w:rPr>
        <w:t>Vyjdené, prijaté do tlače</w:t>
      </w:r>
    </w:p>
    <w:p>
      <w:pPr>
        <w:pStyle w:val="Telotextu"/>
        <w:tabs>
          <w:tab w:val="left" w:pos="0" w:leader="none"/>
        </w:tabs>
        <w:spacing w:before="0" w:after="0"/>
        <w:ind w:left="424" w:hanging="0"/>
        <w:rPr/>
      </w:pPr>
      <w:r>
        <w:rPr/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Compatibility support mappings in effect algebras</w:t>
      </w:r>
      <w:r>
        <w:rPr/>
        <w:t xml:space="preserve">, Mathematica Slovaca, </w:t>
      </w:r>
      <w:r>
        <w:rPr>
          <w:rStyle w:val="Silnzvraznenie"/>
        </w:rPr>
        <w:t>62</w:t>
      </w:r>
      <w:r>
        <w:rPr/>
        <w:t xml:space="preserve"> (2012) 363-378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Congruences generated by ideals of the compatibility center of lattice effect algebras</w:t>
      </w:r>
      <w:r>
        <w:rPr/>
        <w:t xml:space="preserve">, Soft Computing, </w:t>
      </w:r>
      <w:r>
        <w:rPr>
          <w:rStyle w:val="Silnzvraznenie"/>
        </w:rPr>
        <w:t>17</w:t>
      </w:r>
      <w:r>
        <w:rPr/>
        <w:t xml:space="preserve"> (2013) 45-47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Jenča, P. Sarkoci: </w:t>
      </w:r>
      <w:r>
        <w:rPr>
          <w:rStyle w:val="Zdraznenie"/>
        </w:rPr>
        <w:t>Linear extensions and order-preserving poset partitions</w:t>
      </w:r>
      <w:r>
        <w:rPr/>
        <w:t xml:space="preserve">, Journal of Combinatorial Theory, Series A, </w:t>
      </w:r>
      <w:r>
        <w:rPr>
          <w:rStyle w:val="Silnzvraznenie"/>
        </w:rPr>
        <w:t>122</w:t>
      </w:r>
      <w:r>
        <w:rPr/>
        <w:t xml:space="preserve"> (2014) 28-38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Effect Algebras are the Eilenberg-Moore Category for the Kalmbach Monad</w:t>
      </w:r>
      <w:r>
        <w:rPr/>
        <w:t xml:space="preserve">, Order, </w:t>
      </w:r>
      <w:r>
        <w:rPr>
          <w:rStyle w:val="Silnzvraznenie"/>
        </w:rPr>
        <w:t>32</w:t>
      </w:r>
      <w:r>
        <w:rPr/>
        <w:t xml:space="preserve"> (2015) 439-448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283"/>
        <w:ind w:left="707" w:hanging="283"/>
        <w:rPr/>
      </w:pPr>
      <w:r>
        <w:rPr/>
        <w:t xml:space="preserve">G. Jenča: </w:t>
      </w:r>
      <w:r>
        <w:rPr>
          <w:rStyle w:val="Zdraznenie"/>
        </w:rPr>
        <w:t>A note on unitizations of generalized effect algebras</w:t>
      </w:r>
      <w:r>
        <w:rPr/>
        <w:t xml:space="preserve">, Soft Computing (to appear), (2016) - </w:t>
      </w:r>
    </w:p>
    <w:p>
      <w:pPr>
        <w:pStyle w:val="Nadpis2"/>
        <w:rPr>
          <w:rFonts w:ascii="Liberation Sans" w:hAnsi="Liberation Sans"/>
        </w:rPr>
      </w:pPr>
      <w:r>
        <w:rPr>
          <w:rFonts w:ascii="Liberation Sans" w:hAnsi="Liberation Sans"/>
        </w:rPr>
        <w:t>Abstrakty z konferencií</w:t>
      </w:r>
    </w:p>
    <w:p>
      <w:pPr>
        <w:pStyle w:val="Telotextu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Jenča, P. Sarkoci: </w:t>
      </w:r>
      <w:r>
        <w:rPr>
          <w:i/>
          <w:iCs/>
          <w:color w:val="000000"/>
          <w:sz w:val="24"/>
          <w:szCs w:val="24"/>
        </w:rPr>
        <w:t>Linear extensions and order-preserving poset partitions</w:t>
      </w:r>
      <w:r>
        <w:rPr>
          <w:color w:val="000000"/>
          <w:sz w:val="24"/>
          <w:szCs w:val="24"/>
        </w:rPr>
        <w:t>, 2012 Shanghai Conference on Algebraic Combinatorics, August 17 -- 22, 2012, Shanghai Jiao Tong University</w:t>
      </w:r>
    </w:p>
    <w:p>
      <w:pPr>
        <w:pStyle w:val="Telotextu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G.Jenča: </w:t>
      </w:r>
      <w:r>
        <w:rPr>
          <w:i/>
          <w:iCs/>
          <w:color w:val="000000"/>
          <w:sz w:val="24"/>
          <w:szCs w:val="24"/>
        </w:rPr>
        <w:t>Effect algebras, witness pairs and observables</w:t>
      </w:r>
      <w:r>
        <w:rPr>
          <w:color w:val="000000"/>
          <w:sz w:val="24"/>
          <w:szCs w:val="24"/>
        </w:rPr>
        <w:t>, Topology, Algebra, and</w:t>
        <w:br/>
        <w:t xml:space="preserve">Categories in Logic 2013,  </w:t>
      </w:r>
      <w:r>
        <w:rPr>
          <w:color w:val="000000"/>
          <w:sz w:val="24"/>
          <w:szCs w:val="24"/>
        </w:rPr>
        <w:t>July 28 - August 1, 2013</w:t>
      </w:r>
    </w:p>
    <w:p>
      <w:pPr>
        <w:pStyle w:val="Telotextu"/>
        <w:numPr>
          <w:ilvl w:val="0"/>
          <w:numId w:val="2"/>
        </w:numPr>
        <w:spacing w:before="0" w:after="0"/>
        <w:rPr/>
      </w:pPr>
      <w:r>
        <w:rPr>
          <w:color w:val="000000"/>
          <w:sz w:val="24"/>
          <w:szCs w:val="24"/>
        </w:rPr>
        <w:t xml:space="preserve">G.Jenča: </w:t>
      </w:r>
      <w:r>
        <w:rPr>
          <w:i/>
          <w:iCs/>
          <w:color w:val="000000"/>
          <w:sz w:val="24"/>
          <w:szCs w:val="24"/>
        </w:rPr>
        <w:t>A survey of homogeneous effect algebras</w:t>
      </w:r>
      <w:r>
        <w:rPr>
          <w:color w:val="000000"/>
          <w:sz w:val="24"/>
          <w:szCs w:val="24"/>
        </w:rPr>
        <w:t xml:space="preserve">, </w:t>
      </w:r>
      <w:r>
        <w:rPr/>
        <w:t>Biennial IQSA Conference Quantum Structures 2014 , June 23-27, 2014</w:t>
      </w:r>
    </w:p>
    <w:p>
      <w:pPr>
        <w:pStyle w:val="Telotextu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Jenča: </w:t>
      </w:r>
      <w:r>
        <w:rPr>
          <w:i/>
          <w:iCs/>
          <w:color w:val="000000"/>
          <w:sz w:val="24"/>
          <w:szCs w:val="24"/>
        </w:rPr>
        <w:t>D-posets and the Kalmbach monad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The twelfth international conference on fuzzy set theory and applications, Liptovský Ján, Slovak Republic, January 26 - January 31, 2014</w:t>
      </w:r>
    </w:p>
    <w:p>
      <w:pPr>
        <w:pStyle w:val="Telotextu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adpis2"/>
        <w:rPr/>
      </w:pPr>
      <w:r>
        <w:rPr/>
        <w:t>Popis výsledkov</w:t>
      </w:r>
    </w:p>
    <w:p>
      <w:pPr>
        <w:pStyle w:val="Telotextu"/>
        <w:numPr>
          <w:ilvl w:val="0"/>
          <w:numId w:val="3"/>
        </w:numPr>
        <w:rPr/>
      </w:pPr>
      <w:r>
        <w:rPr/>
        <w:t>Rozšírenie pojmu dosvedčujúceho zobrazenia z triedy intervalových efektových algebier na všetky efektové algebry.</w:t>
      </w:r>
    </w:p>
    <w:p>
      <w:pPr>
        <w:pStyle w:val="Telotextu"/>
        <w:numPr>
          <w:ilvl w:val="0"/>
          <w:numId w:val="3"/>
        </w:numPr>
        <w:rPr/>
      </w:pPr>
      <w:r>
        <w:rPr/>
        <w:t>Order ideál generovaný ideálom centra kompatibility je Rieszov ideál v celej efektovej algebre. Systém kongruencií asociovaných s prvoideálmi centra kompatibility separuje prvky.</w:t>
      </w:r>
    </w:p>
    <w:p>
      <w:pPr>
        <w:pStyle w:val="Telotextu"/>
        <w:numPr>
          <w:ilvl w:val="0"/>
          <w:numId w:val="3"/>
        </w:numPr>
        <w:rPr/>
      </w:pPr>
      <w:r>
        <w:rPr/>
        <w:t>Order kongruencie konečného posetu  P tvoria poset O(P). O(P) má homotopický typ konečnej množiny sfér rovnakej dimenzie so stotožneným bodom. Ak P je súvislý, počet sfér je rovný počtu lineárnych rozšírení P.</w:t>
      </w:r>
    </w:p>
    <w:p>
      <w:pPr>
        <w:pStyle w:val="Telotextu"/>
        <w:numPr>
          <w:ilvl w:val="0"/>
          <w:numId w:val="3"/>
        </w:numPr>
        <w:rPr/>
      </w:pPr>
      <w:r>
        <w:rPr/>
        <w:t xml:space="preserve">Harding dokázal, že Kalmbachovej konštrukcia je ľavý adjungovaný funktor pre zábudlivý funktor z ortomodulárnych posetov do ohraničených posetov. Kategória algebier pre monádu indukovanú touto adjunkciou na kategórii ohraničených posetov je </w:t>
      </w:r>
      <w:r>
        <w:rPr/>
        <w:t xml:space="preserve">izomorfná </w:t>
      </w:r>
      <w:r>
        <w:rPr/>
        <w:t>kategóri</w:t>
      </w:r>
      <w:r>
        <w:rPr/>
        <w:t>i</w:t>
      </w:r>
      <w:r>
        <w:rPr/>
        <w:t xml:space="preserve"> efektových algebier.</w:t>
      </w:r>
    </w:p>
    <w:p>
      <w:pPr>
        <w:pStyle w:val="Telotextu"/>
        <w:numPr>
          <w:ilvl w:val="0"/>
          <w:numId w:val="3"/>
        </w:numPr>
        <w:spacing w:before="0" w:after="283"/>
        <w:rPr/>
      </w:pPr>
      <w:r>
        <w:rPr/>
        <w:t>Zábudlivý funktor zo zovšeobecnených efektových algebier do efektových algebier je monadický. Monáda na zovšeobecnených efektových algebrách asociovaná s touto adjunkciou je unitizácia.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Mangal"/>
      <w:color w:val="00000A"/>
      <w:sz w:val="24"/>
      <w:szCs w:val="24"/>
      <w:lang w:val="sk-SK" w:eastAsia="zh-CN" w:bidi="hi-IN"/>
    </w:rPr>
  </w:style>
  <w:style w:type="paragraph" w:styleId="Nadpis1">
    <w:name w:val="Nadpis 1"/>
    <w:basedOn w:val="Nadpis"/>
    <w:pPr/>
    <w:rPr>
      <w:rFonts w:ascii="Thorndale" w:hAnsi="Thorndale"/>
      <w:b/>
      <w:bCs/>
      <w:sz w:val="48"/>
      <w:szCs w:val="44"/>
    </w:rPr>
  </w:style>
  <w:style w:type="paragraph" w:styleId="Nadpis2">
    <w:name w:val="Nadpis 2"/>
    <w:basedOn w:val="Nadpis"/>
    <w:pPr/>
    <w:rPr/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Zoznam">
    <w:name w:val="Zoznam"/>
    <w:basedOn w:val="Telotextu"/>
    <w:pPr/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Vodorovniara">
    <w:name w:val="Vodorovná čiara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dcterms:modified xsi:type="dcterms:W3CDTF">2015-12-16T09:44:58Z</dcterms:modified>
  <cp:revision>1</cp:revision>
  <dc:title> Bibliografia </dc:title>
</cp:coreProperties>
</file>