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480"/>
        <w:jc w:val="center"/>
        <w:rPr/>
      </w:pPr>
      <w:r>
        <w:rPr>
          <w:rFonts w:eastAsia="Arial" w:cs="Arial"/>
          <w:color w:val="555555"/>
          <w:sz w:val="24"/>
          <w:szCs w:val="24"/>
        </w:rPr>
        <w:t>Università degli Studi di Bari Aldo Moro</w:t>
      </w:r>
    </w:p>
    <w:p>
      <w:pPr>
        <w:pStyle w:val="Normal"/>
        <w:spacing w:before="0" w:after="80"/>
        <w:jc w:val="center"/>
        <w:rPr/>
      </w:pPr>
      <w:r>
        <w:rPr>
          <w:rFonts w:eastAsia="Arial" w:cs="Arial"/>
          <w:color w:val="555555"/>
          <w:sz w:val="24"/>
          <w:szCs w:val="24"/>
        </w:rPr>
        <w:t xml:space="preserve">Corso di </w:t>
      </w:r>
      <w:r>
        <w:rPr>
          <w:rFonts w:eastAsia="Arial" w:cs="Arial"/>
          <w:color w:val="555555"/>
          <w:sz w:val="24"/>
          <w:szCs w:val="24"/>
        </w:rPr>
        <w:t>Ingegneria della Conoscenza</w:t>
      </w:r>
      <w:r>
        <w:rPr>
          <w:rFonts w:eastAsia="Arial" w:cs="Arial"/>
          <w:color w:val="555555"/>
          <w:sz w:val="24"/>
          <w:szCs w:val="24"/>
        </w:rPr>
        <w:t xml:space="preserve"> (ICon)</w:t>
      </w:r>
    </w:p>
    <w:p>
      <w:pPr>
        <w:pStyle w:val="Normal"/>
        <w:spacing w:before="0" w:after="80"/>
        <w:rPr/>
      </w:pPr>
      <w:r>
        <w:rPr/>
      </w:r>
    </w:p>
    <w:p>
      <w:pPr>
        <w:pStyle w:val="Normal"/>
        <w:spacing w:before="720" w:after="240"/>
        <w:jc w:val="center"/>
        <w:rPr/>
      </w:pPr>
      <w:r>
        <w:rPr>
          <w:rFonts w:eastAsia="Arial" w:cs="Arial"/>
          <w:b/>
          <w:bCs/>
          <w:color w:val="2E75B6"/>
          <w:sz w:val="40"/>
          <w:szCs w:val="40"/>
        </w:rPr>
        <w:t>Sistema a Base di Conoscenza per la Valutazione del Rischio da Frana in Campania</w:t>
      </w:r>
    </w:p>
    <w:p>
      <w:pPr>
        <w:pStyle w:val="Normal"/>
        <w:spacing w:before="0" w:after="960"/>
        <w:jc w:val="center"/>
        <w:rPr/>
      </w:pPr>
      <w:r>
        <w:rPr>
          <w:rFonts w:eastAsia="Arial" w:cs="Arial"/>
          <w:i/>
          <w:iCs/>
          <w:color w:val="555555"/>
          <w:sz w:val="24"/>
          <w:szCs w:val="24"/>
        </w:rPr>
        <w:t>Integrazione di ragionamento logico e apprendimento supervisionato per la mappatura della suscettibilità da frana</w:t>
      </w:r>
    </w:p>
    <w:p>
      <w:pPr>
        <w:pStyle w:val="Normal"/>
        <w:spacing w:before="0" w:after="160"/>
        <w:jc w:val="center"/>
        <w:rPr/>
      </w:pPr>
      <w:r>
        <w:rPr>
          <w:rFonts w:eastAsia="Arial" w:cs="Arial"/>
          <w:b/>
          <w:bCs/>
          <w:sz w:val="24"/>
          <w:szCs w:val="24"/>
        </w:rPr>
        <w:t>Componenti del gruppo</w:t>
      </w:r>
    </w:p>
    <w:p>
      <w:pPr>
        <w:pStyle w:val="Normal"/>
        <w:spacing w:before="0" w:after="80"/>
        <w:jc w:val="center"/>
        <w:rPr/>
      </w:pPr>
      <w:r>
        <w:rPr>
          <w:rFonts w:eastAsia="Arial" w:cs="Arial"/>
          <w:sz w:val="24"/>
          <w:szCs w:val="24"/>
        </w:rPr>
        <w:t>dario gjergo</w:t>
      </w:r>
      <w:r>
        <w:rPr>
          <w:rFonts w:eastAsia="Arial" w:cs="Arial"/>
          <w:sz w:val="24"/>
          <w:szCs w:val="24"/>
        </w:rPr>
        <w:t>, [</w:t>
      </w:r>
      <w:r>
        <w:rPr>
          <w:rFonts w:eastAsia="Arial" w:cs="Arial"/>
          <w:sz w:val="24"/>
          <w:szCs w:val="24"/>
        </w:rPr>
        <w:t>725895</w:t>
      </w:r>
      <w:r>
        <w:rPr>
          <w:rFonts w:eastAsia="Arial" w:cs="Arial"/>
          <w:sz w:val="24"/>
          <w:szCs w:val="24"/>
        </w:rPr>
        <w:t xml:space="preserve">], </w:t>
      </w:r>
      <w:r>
        <w:rPr>
          <w:rFonts w:eastAsia="Arial" w:cs="Arial"/>
          <w:sz w:val="24"/>
          <w:szCs w:val="24"/>
        </w:rPr>
        <w:t>gjergo</w:t>
      </w:r>
      <w:r>
        <w:rPr>
          <w:rFonts w:eastAsia="Arial" w:cs="Arial"/>
          <w:sz w:val="24"/>
          <w:szCs w:val="24"/>
        </w:rPr>
        <w:t>@studenti.uniba.it</w:t>
      </w:r>
    </w:p>
    <w:p>
      <w:pPr>
        <w:pStyle w:val="Normal"/>
        <w:spacing w:before="0" w:after="80"/>
        <w:rPr/>
      </w:pPr>
      <w:r>
        <w:rPr/>
      </w:r>
    </w:p>
    <w:p>
      <w:pPr>
        <w:pStyle w:val="Normal"/>
        <w:spacing w:before="0" w:after="80"/>
        <w:jc w:val="center"/>
        <w:rPr/>
      </w:pPr>
      <w:r>
        <w:rPr>
          <w:rFonts w:eastAsia="Arial" w:cs="Arial"/>
          <w:color w:val="2E75B6"/>
          <w:sz w:val="22"/>
          <w:szCs w:val="22"/>
        </w:rPr>
        <w:t>Repository GitHub: https://github.com/</w:t>
      </w:r>
      <w:r>
        <w:rPr>
          <w:rFonts w:eastAsia="Arial" w:cs="Arial"/>
          <w:color w:val="2E75B6"/>
          <w:sz w:val="22"/>
          <w:szCs w:val="22"/>
        </w:rPr>
        <w:t>gjergo</w:t>
      </w:r>
      <w:r>
        <w:rPr>
          <w:rFonts w:eastAsia="Arial" w:cs="Arial"/>
          <w:color w:val="2E75B6"/>
          <w:sz w:val="22"/>
          <w:szCs w:val="22"/>
        </w:rPr>
        <w:t>/campania-landslide-kbs</w:t>
      </w:r>
    </w:p>
    <w:p>
      <w:pPr>
        <w:pStyle w:val="Normal"/>
        <w:spacing w:before="0" w:after="80"/>
        <w:jc w:val="center"/>
        <w:rPr/>
      </w:pPr>
      <w:r>
        <w:rPr>
          <w:rFonts w:eastAsia="Arial" w:cs="Arial"/>
          <w:sz w:val="24"/>
          <w:szCs w:val="24"/>
        </w:rPr>
        <w:t>A.A. 2024-2025</w:t>
      </w:r>
    </w:p>
    <w:p>
      <w:pPr>
        <w:pStyle w:val="Normal"/>
        <w:rPr/>
      </w:pPr>
      <w:r>
        <w:rPr/>
      </w:r>
      <w:r>
        <w:br w:type="page"/>
      </w:r>
    </w:p>
    <w:p>
      <w:pPr>
        <w:pStyle w:val="Heading1"/>
        <w:spacing w:before="0" w:after="160"/>
        <w:rPr/>
      </w:pPr>
      <w:r>
        <w:rPr>
          <w:rFonts w:eastAsia="Arial" w:cs="Arial" w:ascii="Arial" w:hAnsi="Arial"/>
          <w:b/>
          <w:bCs/>
          <w:color w:val="2E75B6"/>
          <w:sz w:val="32"/>
          <w:szCs w:val="32"/>
        </w:rPr>
        <w:t>Introduzione</w:t>
      </w:r>
    </w:p>
    <w:p>
      <w:pPr>
        <w:pStyle w:val="Normal"/>
        <w:spacing w:before="0" w:after="160"/>
        <w:rPr/>
      </w:pPr>
      <w:r>
        <w:rPr>
          <w:rFonts w:eastAsia="Arial" w:cs="Arial"/>
          <w:sz w:val="24"/>
          <w:szCs w:val="24"/>
        </w:rPr>
        <w:t>Il dissesto idrogeologico rappresenta una delle emergenze ambientali più rilevanti del territorio italiano. La Campania figura tra le regioni con le percentuali più elevate di territorio classificato in classi di pericolosità da frana P3 e P4 (ISPRA, Rapporto 356/2021). L'evento del 26 novembre 2022 a Casamicciola Terme (Ischia), che ha causato 12 vittime, evidenzia l'urgenza di strumenti sistematici per la valutazione spaziale del rischio.</w:t>
      </w:r>
    </w:p>
    <w:p>
      <w:pPr>
        <w:pStyle w:val="Normal"/>
        <w:spacing w:before="0" w:after="160"/>
        <w:rPr/>
      </w:pPr>
      <w:r>
        <w:rPr>
          <w:rFonts w:eastAsia="Arial" w:cs="Arial"/>
          <w:sz w:val="24"/>
          <w:szCs w:val="24"/>
        </w:rPr>
        <w:t>Il presente progetto sviluppa un prototipo di Knowledge-Based System (KBS) per la mappatura della suscettibilità da frana a scala regionale applicato all'intera Campania. Il sistema integra: (1) una base di conoscenza Prolog che codifica regole geomorfologiche esperte derivate dalla letteratura e calibrate sui dati osservati; (2) modelli di apprendimento supervisionato addestrati sull'inventario frane IFFI; (3) un esperimento comparativo che quantifica il contributo della conoscenza esperta rispetto ai soli modelli data-driven.</w:t>
      </w:r>
    </w:p>
    <w:p>
      <w:pPr>
        <w:pStyle w:val="Normal"/>
        <w:spacing w:before="0" w:after="80"/>
        <w:rPr/>
      </w:pPr>
      <w:r>
        <w:rPr/>
      </w:r>
    </w:p>
    <w:p>
      <w:pPr>
        <w:pStyle w:val="Heading2"/>
        <w:rPr/>
      </w:pPr>
      <w:r>
        <w:rPr>
          <w:rFonts w:eastAsia="Arial" w:cs="Arial" w:ascii="Arial" w:hAnsi="Arial"/>
          <w:b/>
          <w:bCs/>
          <w:color w:val="2E4057"/>
          <w:sz w:val="28"/>
          <w:szCs w:val="28"/>
        </w:rPr>
        <w:t>Sommario — Argomenti ICon affrontati</w:t>
      </w:r>
    </w:p>
    <w:p>
      <w:pPr>
        <w:pStyle w:val="ListParagraph"/>
        <w:numPr>
          <w:ilvl w:val="0"/>
          <w:numId w:val="3"/>
        </w:numPr>
        <w:spacing w:before="0" w:after="80"/>
        <w:rPr/>
      </w:pPr>
      <w:r>
        <w:rPr>
          <w:rFonts w:eastAsia="Arial" w:cs="Arial"/>
          <w:sz w:val="24"/>
          <w:szCs w:val="24"/>
        </w:rPr>
        <w:t>Rappresentazione della conoscenza e ragionamento logico (Prolog, clausole di Horn): KB con fatti e regole che codificano conoscenza geomorfologica esperta su litologia, pendenza, prossimità alla rete idrografica e copertura del suolo. Ogni query attiva una catena di inferenza a quattro livelli con branching condizionale e negazione-as-failure — non riducibile a pattern matching su fatti espliciti</w:t>
      </w:r>
    </w:p>
    <w:p>
      <w:pPr>
        <w:pStyle w:val="ListParagraph"/>
        <w:numPr>
          <w:ilvl w:val="0"/>
          <w:numId w:val="1"/>
        </w:numPr>
        <w:spacing w:before="0" w:after="80"/>
        <w:rPr/>
      </w:pPr>
      <w:r>
        <w:rPr>
          <w:rFonts w:eastAsia="Arial" w:cs="Arial"/>
          <w:sz w:val="24"/>
          <w:szCs w:val="24"/>
        </w:rPr>
        <w:t>Apprendimento supervisionato e classificazione: Regressione Logistica e Random Forest con 5-fold stratified CV su ~6M pixel, valutazione tramite AUC-ROC medio ± deviazione standard</w:t>
      </w:r>
    </w:p>
    <w:p>
      <w:pPr>
        <w:pStyle w:val="ListParagraph"/>
        <w:numPr>
          <w:ilvl w:val="0"/>
          <w:numId w:val="1"/>
        </w:numPr>
        <w:spacing w:before="0" w:after="80"/>
        <w:rPr/>
      </w:pPr>
      <w:r>
        <w:rPr>
          <w:rFonts w:eastAsia="Arial" w:cs="Arial"/>
          <w:sz w:val="24"/>
          <w:szCs w:val="24"/>
        </w:rPr>
        <w:t>Integrazione KB+ML (Background Knowledge): esperimento comparativo che verifica se il feature kb_susceptibility — derivato dal ragionamento Prolog — migliora le prestazioni predittive rispetto alla baseline senza conoscenza esperta</w:t>
      </w:r>
    </w:p>
    <w:p>
      <w:pPr>
        <w:pStyle w:val="Normal"/>
        <w:spacing w:before="0" w:after="80"/>
        <w:rPr/>
      </w:pPr>
      <w:r>
        <w:rPr/>
      </w:r>
    </w:p>
    <w:p>
      <w:pPr>
        <w:pStyle w:val="Normal"/>
        <w:rPr/>
      </w:pPr>
      <w:r>
        <w:rPr/>
      </w:r>
      <w:r>
        <w:br w:type="page"/>
      </w:r>
    </w:p>
    <w:p>
      <w:pPr>
        <w:pStyle w:val="Heading1"/>
        <w:spacing w:before="0" w:after="160"/>
        <w:rPr/>
      </w:pPr>
      <w:r>
        <w:rPr>
          <w:rFonts w:eastAsia="Arial" w:cs="Arial" w:ascii="Arial" w:hAnsi="Arial"/>
          <w:b/>
          <w:bCs/>
          <w:color w:val="2E75B6"/>
          <w:sz w:val="32"/>
          <w:szCs w:val="32"/>
        </w:rPr>
        <w:t>Sezione 1 — Rappresentazione della Conoscenza e Ragionamento Logico</w:t>
      </w:r>
    </w:p>
    <w:p>
      <w:pPr>
        <w:pStyle w:val="Heading2"/>
        <w:rPr/>
      </w:pPr>
      <w:r>
        <w:rPr>
          <w:rFonts w:eastAsia="Arial" w:cs="Arial" w:ascii="Arial" w:hAnsi="Arial"/>
          <w:b/>
          <w:bCs/>
          <w:color w:val="2E4057"/>
          <w:sz w:val="28"/>
          <w:szCs w:val="28"/>
        </w:rPr>
        <w:t>Sommario</w:t>
      </w:r>
    </w:p>
    <w:p>
      <w:pPr>
        <w:pStyle w:val="Normal"/>
        <w:spacing w:before="0" w:after="160"/>
        <w:rPr/>
      </w:pPr>
      <w:r>
        <w:rPr>
          <w:rFonts w:eastAsia="Arial" w:cs="Arial"/>
          <w:sz w:val="24"/>
          <w:szCs w:val="24"/>
        </w:rPr>
        <w:t>La Knowledge Base è implementata in Prolog (SWI-Prolog via pyswip) e codifica conoscenza geomorfologica esperta sui meccanismi di innesco delle frane in Campania. È composta da 15 fatti e 8 regole che combinano litologia, pendenza, prossimità alla rete di drenaggio e copertura del suolo per derivare un punteggio di suscettibilità per ciascun pixel (0=bassa, 1=media, 2=alta). Il ragionamento non è riducibile a semplice pattern matching: ogni query attiva una catena di inferenza a quattro livelli (fatti → regole livello 1 → classificazione combinata → encoding numerico) con branching condizionale e negazione-as-failure, producendo output derivato non esplicitamente memorizzato nella KB. Il punteggio viene usato come feature aggiuntiva nei modelli ML, realizzando l'integrazione tra ragionamento simbolico e apprendimento statistico.</w:t>
      </w:r>
    </w:p>
    <w:p>
      <w:pPr>
        <w:pStyle w:val="Heading2"/>
        <w:rPr/>
      </w:pPr>
      <w:r>
        <w:rPr>
          <w:rFonts w:eastAsia="Arial" w:cs="Arial" w:ascii="Arial" w:hAnsi="Arial"/>
          <w:b/>
          <w:bCs/>
          <w:color w:val="2E4057"/>
          <w:sz w:val="28"/>
          <w:szCs w:val="28"/>
        </w:rPr>
        <w:t>Dati e Pipeline di Costruzione</w:t>
      </w:r>
    </w:p>
    <w:p>
      <w:pPr>
        <w:pStyle w:val="Normal"/>
        <w:spacing w:before="0" w:after="160"/>
        <w:rPr/>
      </w:pPr>
      <w:r>
        <w:rPr>
          <w:rFonts w:eastAsia="Arial" w:cs="Arial"/>
          <w:sz w:val="24"/>
          <w:szCs w:val="24"/>
        </w:rPr>
        <w:t>I dati geospaziali utilizzati sono tutti open data:</w:t>
      </w:r>
    </w:p>
    <w:tbl>
      <w:tblPr>
        <w:tblW w:w="9026" w:type="dxa"/>
        <w:jc w:val="start"/>
        <w:tblInd w:w="0" w:type="dxa"/>
        <w:tblLayout w:type="fixed"/>
        <w:tblCellMar>
          <w:top w:w="80" w:type="dxa"/>
          <w:start w:w="120" w:type="dxa"/>
          <w:bottom w:w="80" w:type="dxa"/>
          <w:end w:w="120" w:type="dxa"/>
        </w:tblCellMar>
      </w:tblPr>
      <w:tblGrid>
        <w:gridCol w:w="2799"/>
        <w:gridCol w:w="2001"/>
        <w:gridCol w:w="4226"/>
      </w:tblGrid>
      <w:tr>
        <w:trPr/>
        <w:tc>
          <w:tcPr>
            <w:tcW w:w="2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Sorgente</w:t>
            </w:r>
          </w:p>
        </w:tc>
        <w:tc>
          <w:tcPr>
            <w:tcW w:w="20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Risoluzione</w:t>
            </w:r>
          </w:p>
        </w:tc>
        <w:tc>
          <w:tcPr>
            <w:tcW w:w="42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Utilizzo</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ISPRA IFFI (IdroGEO)</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 1:10.000</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Ground truth — poligoni frana (label=1)</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Copernicus GLO-30 DEM (ESA)</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30m</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 aspect, TWI, curvature, flow accumulation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Carta Geologica 1:100.000 (ISPRA SGI)</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 1:100.000</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Classi litologiche — 5 classi geotecniche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CORINE Land Cover 2018 (Copernicus)</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100m → 30m</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Copertura del suolo (input KB + feature ML)</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OpenStreetMap / Geofabrik</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Distanza rete viaria (log-trasformata)</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Rete drenaggio (da DEM)</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30m derivata</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Distanza rete idrografica</w:t>
            </w:r>
          </w:p>
        </w:tc>
      </w:tr>
    </w:tbl>
    <w:p>
      <w:pPr>
        <w:pStyle w:val="Normal"/>
        <w:spacing w:before="0" w:after="80"/>
        <w:rPr/>
      </w:pPr>
      <w:r>
        <w:rPr/>
      </w:r>
    </w:p>
    <w:p>
      <w:pPr>
        <w:pStyle w:val="Normal"/>
        <w:spacing w:before="0" w:after="160"/>
        <w:rPr/>
      </w:pPr>
      <w:r>
        <w:rPr>
          <w:rFonts w:eastAsia="Arial" w:cs="Arial"/>
          <w:sz w:val="24"/>
          <w:szCs w:val="24"/>
        </w:rPr>
        <w:t>La pipeline affronta tre problemi tecnici rilevanti:</w:t>
      </w:r>
    </w:p>
    <w:p>
      <w:pPr>
        <w:pStyle w:val="Normal"/>
        <w:spacing w:before="0" w:after="160"/>
        <w:rPr/>
      </w:pPr>
      <w:r>
        <w:rPr>
          <w:rFonts w:eastAsia="Arial" w:cs="Arial"/>
          <w:sz w:val="24"/>
          <w:szCs w:val="24"/>
        </w:rPr>
        <w:t>1) Classificazione litologica: la Carta Geologica 1:100.000 contiene 433 nomi di unità distinti su 19.286 poligoni — la stessa formazione riceve denominazioni diverse nei diversi fogli cartografici (artefatti da bordo foglio). Soluzione: aggregazione in 5 classi geotecniche omogenee per meccanismo di cedimento (Catani et al., 2013) tramite classificazione keyword-based con ordine di priorità. Copertura: 97% classificato, 3% non classificabile. Un filtro di maggioranza 3×3 pixel attenua gli artefatti residui.</w:t>
      </w:r>
    </w:p>
    <w:p>
      <w:pPr>
        <w:pStyle w:val="Normal"/>
        <w:spacing w:before="0" w:after="160"/>
        <w:rPr/>
      </w:pPr>
      <w:r>
        <w:rPr>
          <w:rFonts w:eastAsia="Arial" w:cs="Arial"/>
          <w:sz w:val="24"/>
          <w:szCs w:val="24"/>
        </w:rPr>
        <w:t>2) Derivazione morfometrica: slope e aspect calcolati con pysheds sul DEM in EPSG:32633 (UTM 33N — metri necessari per calcolo pendenza). TWI = ln(flow_accumulation / tan(slope)). Curvature calcolate con scipy.ndimage.</w:t>
      </w:r>
    </w:p>
    <w:p>
      <w:pPr>
        <w:pStyle w:val="Normal"/>
        <w:spacing w:before="0" w:after="160"/>
        <w:rPr/>
      </w:pPr>
      <w:r>
        <w:rPr>
          <w:rFonts w:eastAsia="Arial" w:cs="Arial"/>
          <w:sz w:val="24"/>
          <w:szCs w:val="24"/>
        </w:rPr>
        <w:t>3) Rete di drenaggio: estratta dal DEM con soglia flow_accumulation &gt; 1000 celle upstream (~0,9 km² di bacino). Distanza euclidea calcolata con scipy.ndimage.distance_transform_edt. Distanza da strade OSM log-trasformata — log(1 + dist_m) — per effetto decrescente a grandi distanze.</w:t>
      </w:r>
    </w:p>
    <w:tbl>
      <w:tblPr>
        <w:tblW w:w="9026" w:type="dxa"/>
        <w:jc w:val="start"/>
        <w:tblInd w:w="0" w:type="dxa"/>
        <w:tblLayout w:type="fixed"/>
        <w:tblCellMar>
          <w:top w:w="80" w:type="dxa"/>
          <w:start w:w="120" w:type="dxa"/>
          <w:bottom w:w="80" w:type="dxa"/>
          <w:end w:w="120" w:type="dxa"/>
        </w:tblCellMar>
      </w:tblPr>
      <w:tblGrid>
        <w:gridCol w:w="2199"/>
        <w:gridCol w:w="500"/>
        <w:gridCol w:w="3701"/>
        <w:gridCol w:w="2626"/>
      </w:tblGrid>
      <w:tr>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Classe</w:t>
            </w:r>
          </w:p>
        </w:tc>
        <w:tc>
          <w:tcPr>
            <w:tcW w:w="5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Cod.</w:t>
            </w:r>
          </w:p>
        </w:tc>
        <w:tc>
          <w:tcPr>
            <w:tcW w:w="37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Descrizione</w:t>
            </w:r>
          </w:p>
        </w:tc>
        <w:tc>
          <w:tcPr>
            <w:tcW w:w="26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Suscettibilità intrínseca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unconsolidated_weak</w:t>
            </w:r>
          </w:p>
        </w:tc>
        <w:tc>
          <w:tcPr>
            <w:tcW w:w="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w:t>
            </w:r>
          </w:p>
        </w:tc>
        <w:tc>
          <w:tcPr>
            <w:tcW w:w="3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Depositi versante, alluvioni, suoli residuali</w:t>
            </w:r>
          </w:p>
        </w:tc>
        <w:tc>
          <w:tcPr>
            <w:tcW w:w="2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Molto alta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volcanic_pyroclastic</w:t>
            </w:r>
          </w:p>
        </w:tc>
        <w:tc>
          <w:tcPr>
            <w:tcW w:w="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w:t>
            </w:r>
          </w:p>
        </w:tc>
        <w:tc>
          <w:tcPr>
            <w:tcW w:w="3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Tufi, ignimbriti, lave, piroclastiti</w:t>
            </w:r>
          </w:p>
        </w:tc>
        <w:tc>
          <w:tcPr>
            <w:tcW w:w="2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Alta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flysch_clastic</w:t>
            </w:r>
          </w:p>
        </w:tc>
        <w:tc>
          <w:tcPr>
            <w:tcW w:w="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w:t>
            </w:r>
          </w:p>
        </w:tc>
        <w:tc>
          <w:tcPr>
            <w:tcW w:w="3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Argille, marne, arenarie, flysch</w:t>
            </w:r>
          </w:p>
        </w:tc>
        <w:tc>
          <w:tcPr>
            <w:tcW w:w="2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Alta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competent_clastic</w:t>
            </w:r>
          </w:p>
        </w:tc>
        <w:tc>
          <w:tcPr>
            <w:tcW w:w="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w:t>
            </w:r>
          </w:p>
        </w:tc>
        <w:tc>
          <w:tcPr>
            <w:tcW w:w="3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Conglomerati, brecce cementate</w:t>
            </w:r>
          </w:p>
        </w:tc>
        <w:tc>
          <w:tcPr>
            <w:tcW w:w="2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Media</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hard_rock</w:t>
            </w:r>
          </w:p>
        </w:tc>
        <w:tc>
          <w:tcPr>
            <w:tcW w:w="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5</w:t>
            </w:r>
          </w:p>
        </w:tc>
        <w:tc>
          <w:tcPr>
            <w:tcW w:w="3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Calcari, dolomie</w:t>
            </w:r>
          </w:p>
        </w:tc>
        <w:tc>
          <w:tcPr>
            <w:tcW w:w="2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Bassa</w:t>
            </w:r>
          </w:p>
        </w:tc>
      </w:tr>
    </w:tbl>
    <w:p>
      <w:pPr>
        <w:pStyle w:val="Normal"/>
        <w:spacing w:before="0" w:after="80"/>
        <w:rPr/>
      </w:pPr>
      <w:r>
        <w:rPr/>
      </w:r>
    </w:p>
    <w:p>
      <w:pPr>
        <w:pStyle w:val="Normal"/>
        <w:spacing w:before="0" w:after="160"/>
        <w:rPr/>
      </w:pPr>
      <w:r>
        <w:rPr>
          <w:rFonts w:eastAsia="Arial" w:cs="Arial"/>
          <w:sz w:val="24"/>
          <w:szCs w:val="24"/>
        </w:rPr>
        <w:t>Analisi esplorativa: il tasso grezzo di frana per classe litologica mostrava volcanic_pyroclastic con solo il 3% di pixel in frana (il più basso), mentre flysch_clastic raggiungeva il 30%. Questo paradosso è spiegato dalla distribuzione topografica: i pixel vulcanici in Campania sono concentrati nella piana dei Campi Flegrei (pendenza media 6,1°), dove il cedimento di versante è impossibile indipendentemente dalla litologia. Il modello corretto non è litologia→suscettibilità ma litologia×pendenza→suscettibilità, il che giustifica la struttura combinata delle regole Prolog.</w:t>
      </w:r>
    </w:p>
    <w:p>
      <w:pPr>
        <w:pStyle w:val="Heading2"/>
        <w:rPr/>
      </w:pPr>
      <w:r>
        <w:rPr>
          <w:rFonts w:eastAsia="Arial" w:cs="Arial" w:ascii="Arial" w:hAnsi="Arial"/>
          <w:b/>
          <w:bCs/>
          <w:color w:val="2E4057"/>
          <w:sz w:val="28"/>
          <w:szCs w:val="28"/>
        </w:rPr>
        <w:t>Strumenti utilizzati</w:t>
      </w:r>
    </w:p>
    <w:p>
      <w:pPr>
        <w:pStyle w:val="ListParagraph"/>
        <w:numPr>
          <w:ilvl w:val="0"/>
          <w:numId w:val="1"/>
        </w:numPr>
        <w:spacing w:before="0" w:after="80"/>
        <w:rPr/>
      </w:pPr>
      <w:r>
        <w:rPr>
          <w:rFonts w:eastAsia="Arial" w:cs="Arial"/>
          <w:sz w:val="24"/>
          <w:szCs w:val="24"/>
        </w:rPr>
        <w:t>SWI-Prolog / pyswip: motore inferenziale Prolog da Python</w:t>
      </w:r>
    </w:p>
    <w:p>
      <w:pPr>
        <w:pStyle w:val="ListParagraph"/>
        <w:numPr>
          <w:ilvl w:val="0"/>
          <w:numId w:val="1"/>
        </w:numPr>
        <w:spacing w:before="0" w:after="80"/>
        <w:rPr/>
      </w:pPr>
      <w:r>
        <w:rPr>
          <w:rFonts w:eastAsia="Arial" w:cs="Arial"/>
          <w:sz w:val="24"/>
          <w:szCs w:val="24"/>
        </w:rPr>
        <w:t>geopandas, rasterio, shapely: processing GIS e rasterizzazione</w:t>
      </w:r>
    </w:p>
    <w:p>
      <w:pPr>
        <w:pStyle w:val="ListParagraph"/>
        <w:numPr>
          <w:ilvl w:val="0"/>
          <w:numId w:val="1"/>
        </w:numPr>
        <w:spacing w:before="0" w:after="80"/>
        <w:rPr/>
      </w:pPr>
      <w:r>
        <w:rPr>
          <w:rFonts w:eastAsia="Arial" w:cs="Arial"/>
          <w:sz w:val="24"/>
          <w:szCs w:val="24"/>
        </w:rPr>
        <w:t>pysheds, scipy.ndimage: parametri morfometrici e distanze</w:t>
      </w:r>
    </w:p>
    <w:p>
      <w:pPr>
        <w:pStyle w:val="Normal"/>
        <w:spacing w:before="0" w:after="80"/>
        <w:rPr/>
      </w:pPr>
      <w:r>
        <w:rPr/>
      </w:r>
    </w:p>
    <w:p>
      <w:pPr>
        <w:pStyle w:val="Heading2"/>
        <w:rPr/>
      </w:pPr>
      <w:r>
        <w:rPr>
          <w:rFonts w:eastAsia="Arial" w:cs="Arial" w:ascii="Arial" w:hAnsi="Arial"/>
          <w:b/>
          <w:bCs/>
          <w:color w:val="2E4057"/>
          <w:sz w:val="28"/>
          <w:szCs w:val="28"/>
        </w:rPr>
        <w:t>Decisioni di Progetto</w:t>
      </w:r>
    </w:p>
    <w:p>
      <w:pPr>
        <w:pStyle w:val="Normal"/>
        <w:spacing w:before="0" w:after="160"/>
        <w:rPr/>
      </w:pPr>
      <w:r>
        <w:rPr>
          <w:rFonts w:eastAsia="Arial" w:cs="Arial"/>
          <w:sz w:val="24"/>
          <w:szCs w:val="24"/>
        </w:rPr>
        <w:t>La KB è in src/kb/landslide_kb.pl, caricata a runtime via prolog.consult() con path assoluto. Per efficienza (6M pixel), l'inferenza opera su combinazioni uniche di (litho_class, bin_slope_0.5°, bin_dist_drain_50m, corine_code), riducendo le query Prolog da ~6M a ~24.000. Possibile perché la KB è deterministica: stessi input → stesso output.</w:t>
      </w:r>
    </w:p>
    <w:p>
      <w:pPr>
        <w:pStyle w:val="Normal"/>
        <w:spacing w:before="0" w:after="160"/>
        <w:rPr/>
      </w:pPr>
      <w:r>
        <w:rPr>
          <w:rFonts w:eastAsia="Arial" w:cs="Arial"/>
          <w:sz w:val="24"/>
          <w:szCs w:val="24"/>
        </w:rPr>
        <w:t>Soglie di pendenza critica: derivate empiricamente dalla mediana della pendenza dei pixel IFFI per ciascuna classe litologica, approccio analogo a Catani et al. (2013). Impostate leggermente sotto la mediana (margine −0,6° a −1,6°) per catturare condizioni necessarie non sufficienti:</w:t>
      </w:r>
    </w:p>
    <w:tbl>
      <w:tblPr>
        <w:tblW w:w="9026" w:type="dxa"/>
        <w:jc w:val="start"/>
        <w:tblInd w:w="0" w:type="dxa"/>
        <w:tblLayout w:type="fixed"/>
        <w:tblCellMar>
          <w:top w:w="80" w:type="dxa"/>
          <w:start w:w="120" w:type="dxa"/>
          <w:bottom w:w="80" w:type="dxa"/>
          <w:end w:w="120" w:type="dxa"/>
        </w:tblCellMar>
      </w:tblPr>
      <w:tblGrid>
        <w:gridCol w:w="2600"/>
        <w:gridCol w:w="1999"/>
        <w:gridCol w:w="2000"/>
        <w:gridCol w:w="2427"/>
      </w:tblGrid>
      <w:tr>
        <w:trPr/>
        <w:tc>
          <w:tcPr>
            <w:tcW w:w="2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Classe</w:t>
            </w:r>
          </w:p>
        </w:tc>
        <w:tc>
          <w:tcPr>
            <w:tcW w:w="19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Mediana IFFI (°)</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Soglia KB (°)</w:t>
            </w:r>
          </w:p>
        </w:tc>
        <w:tc>
          <w:tcPr>
            <w:tcW w:w="2427"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Margine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hard_rock</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19,6</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18,0</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1,6</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competent_clastic</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12,0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11,0</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1,0</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flysch_clastic</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10,6</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10,0</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0,6</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unconsolidated_weak</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9,0</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0,9</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volcanic_pyroclastic</w:t>
            </w:r>
          </w:p>
        </w:tc>
        <w:tc>
          <w:tcPr>
            <w:tcW w:w="19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9,0</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0,9</w:t>
            </w:r>
          </w:p>
        </w:tc>
      </w:tr>
    </w:tbl>
    <w:p>
      <w:pPr>
        <w:pStyle w:val="Normal"/>
        <w:spacing w:before="0" w:after="80"/>
        <w:rPr/>
      </w:pPr>
      <w:r>
        <w:rPr/>
      </w:r>
    </w:p>
    <w:p>
      <w:pPr>
        <w:pStyle w:val="Normal"/>
        <w:spacing w:before="0" w:after="160"/>
        <w:rPr/>
      </w:pPr>
      <w:r>
        <w:rPr>
          <w:rFonts w:eastAsia="Arial" w:cs="Arial"/>
          <w:sz w:val="24"/>
          <w:szCs w:val="24"/>
        </w:rPr>
        <w:t>Soglia drenaggio (200m): motivata da Corominas et al. (2014) — scalzamento al piede come meccanismo predisponente primario.</w:t>
      </w:r>
    </w:p>
    <w:p>
      <w:pPr>
        <w:pStyle w:val="Normal"/>
        <w:spacing w:before="0" w:after="160"/>
        <w:rPr>
          <w:rFonts w:ascii="Arial" w:hAnsi="Arial" w:eastAsia="Arial" w:cs="Arial"/>
          <w:sz w:val="24"/>
          <w:szCs w:val="24"/>
        </w:rPr>
      </w:pPr>
      <w:r>
        <w:rPr>
          <w:rFonts w:eastAsia="Arial" w:cs="Arial"/>
          <w:sz w:val="24"/>
          <w:szCs w:val="24"/>
        </w:rPr>
        <w:t>Classi CORINE stabilizzanti/destabilizzanti: motivate da Löbmann et al. (2020) — la copertura forestale (311-313) aumenta la coesione tramite ancoraggio radicale; bare rock/soil/scarsamente vegetato/aree bruciate (331-334) sono destabilizzanti per assenza di questo effetto.</w:t>
      </w:r>
    </w:p>
    <w:p>
      <w:pPr>
        <w:pStyle w:val="Normal"/>
        <w:spacing w:before="0" w:after="160"/>
        <w:rPr>
          <w:rFonts w:ascii="Arial" w:hAnsi="Arial" w:eastAsia="Arial" w:cs="Arial"/>
          <w:sz w:val="24"/>
          <w:szCs w:val="24"/>
        </w:rPr>
      </w:pPr>
      <w:r>
        <w:rPr>
          <w:rFonts w:eastAsia="Arial" w:cs="Arial"/>
          <w:sz w:val="24"/>
          <w:szCs w:val="24"/>
        </w:rPr>
        <w:t xml:space="preserve">Tuttavia queste </w:t>
      </w:r>
    </w:p>
    <w:p>
      <w:pPr>
        <w:pStyle w:val="Normal"/>
        <w:spacing w:before="0" w:after="80"/>
        <w:rPr/>
      </w:pPr>
      <w:r>
        <w:rPr/>
      </w:r>
    </w:p>
    <w:p>
      <w:pPr>
        <w:pStyle w:val="Normal"/>
        <w:spacing w:before="0" w:after="160"/>
        <w:rPr/>
      </w:pPr>
      <w:r>
        <w:rPr>
          <w:rFonts w:eastAsia="Arial" w:cs="Arial"/>
          <w:sz w:val="24"/>
          <w:szCs w:val="24"/>
        </w:rPr>
        <w:t>Struttura completa della KB (15 fatti, 8 regole):</w:t>
      </w:r>
    </w:p>
    <w:p>
      <w:pPr>
        <w:pStyle w:val="Normal"/>
        <w:spacing w:before="0" w:after="50"/>
        <w:ind w:start="560"/>
        <w:rPr/>
      </w:pPr>
      <w:r>
        <w:rPr>
          <w:rFonts w:eastAsia="Courier New" w:cs="Courier New" w:ascii="Courier New" w:hAnsi="Courier New"/>
          <w:color w:val="2E4057"/>
          <w:sz w:val="19"/>
          <w:szCs w:val="19"/>
        </w:rPr>
        <w:t>% FATTI: soglie pendenza per litologia (mediana IFFI, questo studio)</w:t>
      </w:r>
    </w:p>
    <w:p>
      <w:pPr>
        <w:pStyle w:val="Normal"/>
        <w:spacing w:before="0" w:after="50"/>
        <w:ind w:start="560"/>
        <w:rPr/>
      </w:pPr>
      <w:r>
        <w:rPr>
          <w:rFonts w:eastAsia="Courier New" w:cs="Courier New" w:ascii="Courier New" w:hAnsi="Courier New"/>
          <w:color w:val="2E4057"/>
          <w:sz w:val="19"/>
          <w:szCs w:val="19"/>
        </w:rPr>
        <w:t>critical_slope(hard_rock,18.0). critical_slope(competent_clastic,11.0).</w:t>
      </w:r>
    </w:p>
    <w:p>
      <w:pPr>
        <w:pStyle w:val="Normal"/>
        <w:spacing w:before="0" w:after="50"/>
        <w:ind w:start="560"/>
        <w:rPr/>
      </w:pPr>
      <w:r>
        <w:rPr>
          <w:rFonts w:eastAsia="Courier New" w:cs="Courier New" w:ascii="Courier New" w:hAnsi="Courier New"/>
          <w:color w:val="2E4057"/>
          <w:sz w:val="19"/>
          <w:szCs w:val="19"/>
        </w:rPr>
        <w:t>critical_slope(flysch_clastic,10.0). critical_slope(unconsolidated_weak,9.0).</w:t>
      </w:r>
    </w:p>
    <w:p>
      <w:pPr>
        <w:pStyle w:val="Normal"/>
        <w:spacing w:before="0" w:after="50"/>
        <w:ind w:start="560"/>
        <w:rPr/>
      </w:pPr>
      <w:r>
        <w:rPr>
          <w:rFonts w:eastAsia="Courier New" w:cs="Courier New" w:ascii="Courier New" w:hAnsi="Courier New"/>
          <w:color w:val="2E4057"/>
          <w:sz w:val="19"/>
          <w:szCs w:val="19"/>
        </w:rPr>
        <w:t>critical_slope(volcanic_pyroclastic,9.0). critical_slope(unknown,10.0).</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FATTI: classi geotecnicamente deboli (Catani et al., 2013)</w:t>
      </w:r>
    </w:p>
    <w:p>
      <w:pPr>
        <w:pStyle w:val="Normal"/>
        <w:spacing w:before="0" w:after="50"/>
        <w:ind w:start="560"/>
        <w:rPr/>
      </w:pPr>
      <w:r>
        <w:rPr>
          <w:rFonts w:eastAsia="Courier New" w:cs="Courier New" w:ascii="Courier New" w:hAnsi="Courier New"/>
          <w:color w:val="2E4057"/>
          <w:sz w:val="19"/>
          <w:szCs w:val="19"/>
        </w:rPr>
        <w:t>weak_material(unconsolidated_weak). weak_material(volcanic_pyroclastic).</w:t>
      </w:r>
    </w:p>
    <w:p>
      <w:pPr>
        <w:pStyle w:val="Normal"/>
        <w:spacing w:before="0" w:after="50"/>
        <w:ind w:start="560"/>
        <w:rPr/>
      </w:pPr>
      <w:r>
        <w:rPr>
          <w:rFonts w:eastAsia="Courier New" w:cs="Courier New" w:ascii="Courier New" w:hAnsi="Courier New"/>
          <w:color w:val="2E4057"/>
          <w:sz w:val="19"/>
          <w:szCs w:val="19"/>
        </w:rPr>
        <w:t>weak_material(flysch_clastic).</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FATTI: soglia prossimità drenaggio in metri (Corominas et al., 2014)</w:t>
      </w:r>
    </w:p>
    <w:p>
      <w:pPr>
        <w:pStyle w:val="Normal"/>
        <w:spacing w:before="0" w:after="50"/>
        <w:ind w:start="560"/>
        <w:rPr/>
      </w:pPr>
      <w:r>
        <w:rPr>
          <w:rFonts w:eastAsia="Courier New" w:cs="Courier New" w:ascii="Courier New" w:hAnsi="Courier New"/>
          <w:color w:val="2E4057"/>
          <w:sz w:val="19"/>
          <w:szCs w:val="19"/>
        </w:rPr>
        <w:t>drainage_risk_threshold(200.0).</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FATTI: copertura stabilizzante/destabilizzante (Löbmann et al., 2020)</w:t>
      </w:r>
    </w:p>
    <w:p>
      <w:pPr>
        <w:pStyle w:val="Normal"/>
        <w:spacing w:before="0" w:after="50"/>
        <w:ind w:start="560"/>
        <w:rPr/>
      </w:pPr>
      <w:r>
        <w:rPr>
          <w:rFonts w:eastAsia="Courier New" w:cs="Courier New" w:ascii="Courier New" w:hAnsi="Courier New"/>
          <w:color w:val="2E4057"/>
          <w:sz w:val="19"/>
          <w:szCs w:val="19"/>
        </w:rPr>
        <w:t>stabilizing_cover(311). stabilizing_cover(312). stabilizing_cover(313).</w:t>
      </w:r>
    </w:p>
    <w:p>
      <w:pPr>
        <w:pStyle w:val="Normal"/>
        <w:spacing w:before="0" w:after="50"/>
        <w:ind w:start="560"/>
        <w:rPr/>
      </w:pPr>
      <w:r>
        <w:rPr>
          <w:rFonts w:eastAsia="Courier New" w:cs="Courier New" w:ascii="Courier New" w:hAnsi="Courier New"/>
          <w:color w:val="2E4057"/>
          <w:sz w:val="19"/>
          <w:szCs w:val="19"/>
        </w:rPr>
        <w:t>destabilizing_cover(331). destabilizing_cover(332).</w:t>
      </w:r>
    </w:p>
    <w:p>
      <w:pPr>
        <w:pStyle w:val="Normal"/>
        <w:spacing w:before="0" w:after="50"/>
        <w:ind w:start="560"/>
        <w:rPr/>
      </w:pPr>
      <w:r>
        <w:rPr>
          <w:rFonts w:eastAsia="Courier New" w:cs="Courier New" w:ascii="Courier New" w:hAnsi="Courier New"/>
          <w:color w:val="2E4057"/>
          <w:sz w:val="19"/>
          <w:szCs w:val="19"/>
        </w:rPr>
        <w:t>destabilizing_cover(333). destabilizing_cover(334).</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REGOLE livello 1: condizioni atomiche</w:t>
      </w:r>
    </w:p>
    <w:p>
      <w:pPr>
        <w:pStyle w:val="Normal"/>
        <w:spacing w:before="0" w:after="50"/>
        <w:ind w:start="560"/>
        <w:rPr/>
      </w:pPr>
      <w:r>
        <w:rPr>
          <w:rFonts w:eastAsia="Courier New" w:cs="Courier New" w:ascii="Courier New" w:hAnsi="Courier New"/>
          <w:color w:val="2E4057"/>
          <w:sz w:val="19"/>
          <w:szCs w:val="19"/>
        </w:rPr>
        <w:t>slope_susceptible(L,S) :- critical_slope(L,T), S &gt; T.</w:t>
      </w:r>
    </w:p>
    <w:p>
      <w:pPr>
        <w:pStyle w:val="Normal"/>
        <w:spacing w:before="0" w:after="50"/>
        <w:ind w:start="560"/>
        <w:rPr/>
      </w:pPr>
      <w:r>
        <w:rPr>
          <w:rFonts w:eastAsia="Courier New" w:cs="Courier New" w:ascii="Courier New" w:hAnsi="Courier New"/>
          <w:color w:val="2E4057"/>
          <w:sz w:val="19"/>
          <w:szCs w:val="19"/>
        </w:rPr>
        <w:t>material_susceptible(L,S) :- weak_material(L), S &gt; 5.0.</w:t>
      </w:r>
    </w:p>
    <w:p>
      <w:pPr>
        <w:pStyle w:val="Normal"/>
        <w:spacing w:before="0" w:after="50"/>
        <w:ind w:start="560"/>
        <w:rPr/>
      </w:pPr>
      <w:r>
        <w:rPr>
          <w:rFonts w:eastAsia="Courier New" w:cs="Courier New" w:ascii="Courier New" w:hAnsi="Courier New"/>
          <w:color w:val="2E4057"/>
          <w:sz w:val="19"/>
          <w:szCs w:val="19"/>
        </w:rPr>
        <w:t>drainage_susceptible(L,D) :- weak_material(L), drainage_risk_threshold(T), D &lt; T.</w:t>
      </w:r>
    </w:p>
    <w:p>
      <w:pPr>
        <w:pStyle w:val="Normal"/>
        <w:spacing w:before="0" w:after="50"/>
        <w:ind w:start="560"/>
        <w:rPr/>
      </w:pPr>
      <w:r>
        <w:rPr>
          <w:rFonts w:eastAsia="Courier New" w:cs="Courier New" w:ascii="Courier New" w:hAnsi="Courier New"/>
          <w:color w:val="2E4057"/>
          <w:sz w:val="19"/>
          <w:szCs w:val="19"/>
        </w:rPr>
        <w:t>cover_destabilized(C) :- destabilizing_cover(C).</w:t>
      </w:r>
    </w:p>
    <w:p>
      <w:pPr>
        <w:pStyle w:val="Normal"/>
        <w:spacing w:before="0" w:after="50"/>
        <w:ind w:start="560"/>
        <w:rPr/>
      </w:pPr>
      <w:r>
        <w:rPr>
          <w:rFonts w:eastAsia="Courier New" w:cs="Courier New" w:ascii="Courier New" w:hAnsi="Courier New"/>
          <w:color w:val="2E4057"/>
          <w:sz w:val="19"/>
          <w:szCs w:val="19"/>
        </w:rPr>
        <w:t>cover_stabilized(C) :- stabilizing_cover(C).</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REGOLE livello 2: classificazione combinata con negazione-as-failure</w:t>
      </w:r>
    </w:p>
    <w:p>
      <w:pPr>
        <w:pStyle w:val="Normal"/>
        <w:spacing w:before="0" w:after="50"/>
        <w:ind w:start="560"/>
        <w:rPr/>
      </w:pPr>
      <w:r>
        <w:rPr>
          <w:rFonts w:eastAsia="Courier New" w:cs="Courier New" w:ascii="Courier New" w:hAnsi="Courier New"/>
          <w:color w:val="2E4057"/>
          <w:sz w:val="19"/>
          <w:szCs w:val="19"/>
        </w:rPr>
        <w:t>kb_susceptibility(L,S,_,_,high) :- slope_susceptible(L,S), weak_material(L).</w:t>
      </w:r>
    </w:p>
    <w:p>
      <w:pPr>
        <w:pStyle w:val="Normal"/>
        <w:spacing w:before="0" w:after="50"/>
        <w:ind w:start="560"/>
        <w:rPr/>
      </w:pPr>
      <w:r>
        <w:rPr>
          <w:rFonts w:eastAsia="Courier New" w:cs="Courier New" w:ascii="Courier New" w:hAnsi="Courier New"/>
          <w:color w:val="2E4057"/>
          <w:sz w:val="19"/>
          <w:szCs w:val="19"/>
        </w:rPr>
        <w:t>kb_susceptibility(L,S,D,_,high) :- slope_susceptible(L,S), drainage_susceptible(L,D).</w:t>
      </w:r>
    </w:p>
    <w:p>
      <w:pPr>
        <w:pStyle w:val="Normal"/>
        <w:spacing w:before="0" w:after="50"/>
        <w:ind w:start="560"/>
        <w:rPr/>
      </w:pPr>
      <w:r>
        <w:rPr>
          <w:rFonts w:eastAsia="Courier New" w:cs="Courier New" w:ascii="Courier New" w:hAnsi="Courier New"/>
          <w:color w:val="2E4057"/>
          <w:sz w:val="19"/>
          <w:szCs w:val="19"/>
        </w:rPr>
        <w:t>kb_susceptibility(L,S,_,C,high) :- slope_susceptible(L,S),</w:t>
      </w:r>
    </w:p>
    <w:p>
      <w:pPr>
        <w:pStyle w:val="Normal"/>
        <w:spacing w:before="0" w:after="50"/>
        <w:ind w:start="560"/>
        <w:rPr/>
      </w:pPr>
      <w:r>
        <w:rPr>
          <w:rFonts w:eastAsia="Courier New" w:cs="Courier New" w:ascii="Courier New" w:hAnsi="Courier New"/>
          <w:color w:val="2E4057"/>
          <w:sz w:val="19"/>
          <w:szCs w:val="19"/>
        </w:rPr>
        <w:t xml:space="preserve">    </w:t>
      </w:r>
      <w:r>
        <w:rPr>
          <w:rFonts w:eastAsia="Courier New" w:cs="Courier New" w:ascii="Courier New" w:hAnsi="Courier New"/>
          <w:color w:val="2E4057"/>
          <w:sz w:val="19"/>
          <w:szCs w:val="19"/>
        </w:rPr>
        <w:t>cover_destabilized(C), \+weak_material(L).</w:t>
      </w:r>
    </w:p>
    <w:p>
      <w:pPr>
        <w:pStyle w:val="Normal"/>
        <w:spacing w:before="0" w:after="50"/>
        <w:ind w:start="560"/>
        <w:rPr/>
      </w:pPr>
      <w:r>
        <w:rPr>
          <w:rFonts w:eastAsia="Courier New" w:cs="Courier New" w:ascii="Courier New" w:hAnsi="Courier New"/>
          <w:color w:val="2E4057"/>
          <w:sz w:val="19"/>
          <w:szCs w:val="19"/>
        </w:rPr>
        <w:t>kb_susceptibility(L,S,_,C,medium) :- slope_susceptible(L,S),</w:t>
      </w:r>
    </w:p>
    <w:p>
      <w:pPr>
        <w:pStyle w:val="Normal"/>
        <w:spacing w:before="0" w:after="50"/>
        <w:ind w:start="560"/>
        <w:rPr/>
      </w:pPr>
      <w:r>
        <w:rPr>
          <w:rFonts w:eastAsia="Courier New" w:cs="Courier New" w:ascii="Courier New" w:hAnsi="Courier New"/>
          <w:color w:val="2E4057"/>
          <w:sz w:val="19"/>
          <w:szCs w:val="19"/>
        </w:rPr>
        <w:t xml:space="preserve">    </w:t>
      </w:r>
      <w:r>
        <w:rPr>
          <w:rFonts w:eastAsia="Courier New" w:cs="Courier New" w:ascii="Courier New" w:hAnsi="Courier New"/>
          <w:color w:val="2E4057"/>
          <w:sz w:val="19"/>
          <w:szCs w:val="19"/>
        </w:rPr>
        <w:t>\+weak_material(L), \+cover_destabilized(C).</w:t>
      </w:r>
    </w:p>
    <w:p>
      <w:pPr>
        <w:pStyle w:val="Normal"/>
        <w:spacing w:before="0" w:after="50"/>
        <w:ind w:start="560"/>
        <w:rPr/>
      </w:pPr>
      <w:r>
        <w:rPr>
          <w:rFonts w:eastAsia="Courier New" w:cs="Courier New" w:ascii="Courier New" w:hAnsi="Courier New"/>
          <w:color w:val="2E4057"/>
          <w:sz w:val="19"/>
          <w:szCs w:val="19"/>
        </w:rPr>
        <w:t>kb_susceptibility(L,S,_,_,medium) :- material_susceptible(L,S),</w:t>
      </w:r>
    </w:p>
    <w:p>
      <w:pPr>
        <w:pStyle w:val="Normal"/>
        <w:spacing w:before="0" w:after="50"/>
        <w:ind w:start="560"/>
        <w:rPr/>
      </w:pPr>
      <w:r>
        <w:rPr>
          <w:rFonts w:eastAsia="Courier New" w:cs="Courier New" w:ascii="Courier New" w:hAnsi="Courier New"/>
          <w:color w:val="2E4057"/>
          <w:sz w:val="19"/>
          <w:szCs w:val="19"/>
        </w:rPr>
        <w:t xml:space="preserve">    </w:t>
      </w:r>
      <w:r>
        <w:rPr>
          <w:rFonts w:eastAsia="Courier New" w:cs="Courier New" w:ascii="Courier New" w:hAnsi="Courier New"/>
          <w:color w:val="2E4057"/>
          <w:sz w:val="19"/>
          <w:szCs w:val="19"/>
        </w:rPr>
        <w:t>\+slope_susceptible(L,S).</w:t>
      </w:r>
    </w:p>
    <w:p>
      <w:pPr>
        <w:pStyle w:val="Normal"/>
        <w:spacing w:before="0" w:after="50"/>
        <w:ind w:start="560"/>
        <w:rPr/>
      </w:pPr>
      <w:r>
        <w:rPr>
          <w:rFonts w:eastAsia="Courier New" w:cs="Courier New" w:ascii="Courier New" w:hAnsi="Courier New"/>
          <w:color w:val="2E4057"/>
          <w:sz w:val="19"/>
          <w:szCs w:val="19"/>
        </w:rPr>
        <w:t>kb_susceptibility(_,_,_,_,low).</w:t>
      </w:r>
    </w:p>
    <w:p>
      <w:pPr>
        <w:pStyle w:val="Normal"/>
        <w:spacing w:before="0" w:after="80"/>
        <w:rPr/>
      </w:pPr>
      <w:r>
        <w:rPr/>
      </w:r>
    </w:p>
    <w:p>
      <w:pPr>
        <w:pStyle w:val="Normal"/>
        <w:spacing w:before="0" w:after="50"/>
        <w:ind w:start="560"/>
        <w:rPr/>
      </w:pPr>
      <w:r>
        <w:rPr>
          <w:rFonts w:eastAsia="Courier New" w:cs="Courier New" w:ascii="Courier New" w:hAnsi="Courier New"/>
          <w:color w:val="2E4057"/>
          <w:sz w:val="19"/>
          <w:szCs w:val="19"/>
        </w:rPr>
        <w:t>% REGOLE livello 3: encoding numerico per feature ML</w:t>
      </w:r>
    </w:p>
    <w:p>
      <w:pPr>
        <w:pStyle w:val="Normal"/>
        <w:spacing w:before="0" w:after="50"/>
        <w:ind w:start="560"/>
        <w:rPr/>
      </w:pPr>
      <w:r>
        <w:rPr>
          <w:rFonts w:eastAsia="Courier New" w:cs="Courier New" w:ascii="Courier New" w:hAnsi="Courier New"/>
          <w:color w:val="2E4057"/>
          <w:sz w:val="19"/>
          <w:szCs w:val="19"/>
        </w:rPr>
        <w:t>susceptibility_score(L,S,D,C,2) :- kb_susceptibility(L,S,D,C,high).</w:t>
      </w:r>
    </w:p>
    <w:p>
      <w:pPr>
        <w:pStyle w:val="Normal"/>
        <w:spacing w:before="0" w:after="50"/>
        <w:ind w:start="560"/>
        <w:rPr/>
      </w:pPr>
      <w:r>
        <w:rPr>
          <w:rFonts w:eastAsia="Courier New" w:cs="Courier New" w:ascii="Courier New" w:hAnsi="Courier New"/>
          <w:color w:val="2E4057"/>
          <w:sz w:val="19"/>
          <w:szCs w:val="19"/>
        </w:rPr>
        <w:t>susceptibility_score(L,S,D,C,1) :- kb_susceptibility(L,S,D,C,medium).</w:t>
      </w:r>
    </w:p>
    <w:p>
      <w:pPr>
        <w:pStyle w:val="Normal"/>
        <w:spacing w:before="0" w:after="50"/>
        <w:ind w:start="560"/>
        <w:rPr/>
      </w:pPr>
      <w:r>
        <w:rPr>
          <w:rFonts w:eastAsia="Courier New" w:cs="Courier New" w:ascii="Courier New" w:hAnsi="Courier New"/>
          <w:color w:val="2E4057"/>
          <w:sz w:val="19"/>
          <w:szCs w:val="19"/>
        </w:rPr>
        <w:t>susceptibility_score(_,_,_,_,0).</w:t>
      </w:r>
    </w:p>
    <w:p>
      <w:pPr>
        <w:pStyle w:val="Normal"/>
        <w:spacing w:before="0" w:after="80"/>
        <w:rPr/>
      </w:pPr>
      <w:r>
        <w:rPr/>
      </w:r>
    </w:p>
    <w:p>
      <w:pPr>
        <w:pStyle w:val="Heading2"/>
        <w:rPr/>
      </w:pPr>
      <w:r>
        <w:rPr>
          <w:rFonts w:eastAsia="Arial" w:cs="Arial" w:ascii="Arial" w:hAnsi="Arial"/>
          <w:b/>
          <w:bCs/>
          <w:color w:val="2E4057"/>
          <w:sz w:val="28"/>
          <w:szCs w:val="28"/>
        </w:rPr>
        <w:t>Valutazione della KB</w:t>
      </w:r>
    </w:p>
    <w:p>
      <w:pPr>
        <w:pStyle w:val="Normal"/>
        <w:spacing w:before="0" w:after="160"/>
        <w:rPr/>
      </w:pPr>
      <w:r>
        <w:rPr>
          <w:rFonts w:eastAsia="Arial" w:cs="Arial"/>
          <w:sz w:val="24"/>
          <w:szCs w:val="24"/>
        </w:rPr>
        <w:t>La KB viene valutata come classificatore autonomo (soglia: score ≥ 1 → positivo):</w:t>
      </w:r>
    </w:p>
    <w:tbl>
      <w:tblPr>
        <w:tblW w:w="9026" w:type="dxa"/>
        <w:jc w:val="start"/>
        <w:tblInd w:w="0" w:type="dxa"/>
        <w:tblLayout w:type="fixed"/>
        <w:tblCellMar>
          <w:top w:w="80" w:type="dxa"/>
          <w:start w:w="120" w:type="dxa"/>
          <w:bottom w:w="80" w:type="dxa"/>
          <w:end w:w="120" w:type="dxa"/>
        </w:tblCellMar>
      </w:tblPr>
      <w:tblGrid>
        <w:gridCol w:w="2199"/>
        <w:gridCol w:w="2201"/>
        <w:gridCol w:w="2199"/>
        <w:gridCol w:w="2427"/>
      </w:tblGrid>
      <w:tr>
        <w:trPr/>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Precision</w:t>
            </w:r>
          </w:p>
        </w:tc>
        <w:tc>
          <w:tcPr>
            <w:tcW w:w="22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Recall</w:t>
            </w:r>
          </w:p>
        </w:tc>
        <w:tc>
          <w:tcPr>
            <w:tcW w:w="21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F1</w:t>
            </w:r>
          </w:p>
        </w:tc>
        <w:tc>
          <w:tcPr>
            <w:tcW w:w="2427"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AUC-ROC</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0,232</w:t>
            </w:r>
          </w:p>
        </w:tc>
        <w:tc>
          <w:tcPr>
            <w:tcW w:w="2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0,874</w:t>
            </w:r>
          </w:p>
        </w:tc>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0,367</w:t>
            </w:r>
          </w:p>
        </w:tc>
        <w:tc>
          <w:tcPr>
            <w:tcW w:w="242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0,677</w:t>
            </w:r>
          </w:p>
        </w:tc>
      </w:tr>
    </w:tbl>
    <w:p>
      <w:pPr>
        <w:pStyle w:val="Normal"/>
        <w:spacing w:before="0" w:after="80"/>
        <w:rPr/>
      </w:pPr>
      <w:r>
        <w:rPr/>
      </w:r>
    </w:p>
    <w:p>
      <w:pPr>
        <w:pStyle w:val="Normal"/>
        <w:spacing w:before="0" w:after="160"/>
        <w:rPr/>
      </w:pPr>
      <w:r>
        <w:rPr>
          <w:rFonts w:eastAsia="Arial" w:cs="Arial"/>
          <w:sz w:val="24"/>
          <w:szCs w:val="24"/>
        </w:rPr>
        <w:t>L'elevato recall (0,874) con bassa precision (0,232) è il pattern atteso per condizioni necessarie non sufficienti: la KB identifica quasi tutti i pixel di frana reali ma include versanti predisposti che non hanno ancora ceduto. In contesto di risk assessment questa asimmetria è desiderabile: un falso negativo (area pericolosa non identificata) è più grave di un falso positivo.</w:t>
      </w:r>
    </w:p>
    <w:p>
      <w:pPr>
        <w:pStyle w:val="Normal"/>
        <w:spacing w:before="0" w:after="160"/>
        <w:rPr/>
      </w:pPr>
      <w:r>
        <w:rPr>
          <w:rFonts w:eastAsia="Arial" w:cs="Arial"/>
          <w:sz w:val="24"/>
          <w:szCs w:val="24"/>
        </w:rPr>
        <w:t>Distribuzione del punteggio per classe:</w:t>
      </w:r>
    </w:p>
    <w:tbl>
      <w:tblPr>
        <w:tblW w:w="9026" w:type="dxa"/>
        <w:jc w:val="start"/>
        <w:tblInd w:w="0" w:type="dxa"/>
        <w:tblLayout w:type="fixed"/>
        <w:tblCellMar>
          <w:top w:w="80" w:type="dxa"/>
          <w:start w:w="120" w:type="dxa"/>
          <w:bottom w:w="80" w:type="dxa"/>
          <w:end w:w="120" w:type="dxa"/>
        </w:tblCellMar>
      </w:tblPr>
      <w:tblGrid>
        <w:gridCol w:w="1799"/>
        <w:gridCol w:w="3601"/>
        <w:gridCol w:w="1800"/>
        <w:gridCol w:w="1826"/>
      </w:tblGrid>
      <w:tr>
        <w:trPr/>
        <w:tc>
          <w:tcPr>
            <w:tcW w:w="17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Score</w:t>
            </w:r>
          </w:p>
        </w:tc>
        <w:tc>
          <w:tcPr>
            <w:tcW w:w="36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Condizione logica attivata</w:t>
            </w:r>
          </w:p>
        </w:tc>
        <w:tc>
          <w:tcPr>
            <w:tcW w:w="18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Pixel frana</w:t>
            </w:r>
          </w:p>
        </w:tc>
        <w:tc>
          <w:tcPr>
            <w:tcW w:w="18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Background</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 — alta</w:t>
            </w:r>
          </w:p>
        </w:tc>
        <w:tc>
          <w:tcPr>
            <w:tcW w:w="3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slope_susc ∧ (weak ∨ near_drain ∨ bare_cover)</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46,3%</w:t>
            </w:r>
          </w:p>
        </w:tc>
        <w:tc>
          <w:tcPr>
            <w:tcW w:w="18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24,1%</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 — media</w:t>
            </w:r>
          </w:p>
        </w:tc>
        <w:tc>
          <w:tcPr>
            <w:tcW w:w="3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slope_susc ∨ material_susc (senza high)</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41,1%</w:t>
            </w:r>
          </w:p>
        </w:tc>
        <w:tc>
          <w:tcPr>
            <w:tcW w:w="18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33,8%</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 — bassa</w:t>
            </w:r>
          </w:p>
        </w:tc>
        <w:tc>
          <w:tcPr>
            <w:tcW w:w="3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nessuna condizione attivata</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12,6%</w:t>
            </w:r>
          </w:p>
        </w:tc>
        <w:tc>
          <w:tcPr>
            <w:tcW w:w="18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42,1%</w:t>
            </w:r>
          </w:p>
        </w:tc>
      </w:tr>
    </w:tbl>
    <w:p>
      <w:pPr>
        <w:pStyle w:val="Normal"/>
        <w:spacing w:before="0" w:after="80"/>
        <w:rPr/>
      </w:pPr>
      <w:r>
        <w:rPr/>
      </w:r>
    </w:p>
    <w:p>
      <w:pPr>
        <w:pStyle w:val="Normal"/>
        <w:rPr/>
      </w:pPr>
      <w:r>
        <w:rPr/>
      </w:r>
      <w:r>
        <w:br w:type="page"/>
      </w:r>
    </w:p>
    <w:p>
      <w:pPr>
        <w:pStyle w:val="Heading1"/>
        <w:spacing w:before="0" w:after="160"/>
        <w:rPr/>
      </w:pPr>
      <w:r>
        <w:rPr>
          <w:rFonts w:eastAsia="Arial" w:cs="Arial" w:ascii="Arial" w:hAnsi="Arial"/>
          <w:b/>
          <w:bCs/>
          <w:color w:val="2E75B6"/>
          <w:sz w:val="32"/>
          <w:szCs w:val="32"/>
        </w:rPr>
        <w:t>Sezione 2 — Apprendimento Supervisionato e Classificazione</w:t>
      </w:r>
    </w:p>
    <w:p>
      <w:pPr>
        <w:pStyle w:val="Heading2"/>
        <w:rPr/>
      </w:pPr>
      <w:r>
        <w:rPr>
          <w:rFonts w:eastAsia="Arial" w:cs="Arial" w:ascii="Arial" w:hAnsi="Arial"/>
          <w:b/>
          <w:bCs/>
          <w:color w:val="2E4057"/>
          <w:sz w:val="28"/>
          <w:szCs w:val="28"/>
        </w:rPr>
        <w:t>Sommario</w:t>
      </w:r>
    </w:p>
    <w:p>
      <w:pPr>
        <w:pStyle w:val="Normal"/>
        <w:spacing w:before="0" w:after="160"/>
        <w:rPr/>
      </w:pPr>
      <w:r>
        <w:rPr>
          <w:rFonts w:eastAsia="Arial" w:cs="Arial"/>
          <w:sz w:val="24"/>
          <w:szCs w:val="24"/>
        </w:rPr>
        <w:t>Due classificatori supervisionati — Regressione Logistica (LR) e Random Forest (RF) — vengono addestrati sul feature matrix derivato dalla pipeline geospaziale. L'esperimento principale confronta le prestazioni con e senza il feature kb_susceptibility per quantificare il contributo della conoscenza esperta. La valutazione usa 5-fold stratified cross-validation con AUC-ROC come metrica principale, riportando media e deviazione standard.</w:t>
      </w:r>
    </w:p>
    <w:p>
      <w:pPr>
        <w:pStyle w:val="Heading2"/>
        <w:rPr/>
      </w:pPr>
      <w:r>
        <w:rPr>
          <w:rFonts w:eastAsia="Arial" w:cs="Arial" w:ascii="Arial" w:hAnsi="Arial"/>
          <w:b/>
          <w:bCs/>
          <w:color w:val="2E4057"/>
          <w:sz w:val="28"/>
          <w:szCs w:val="28"/>
        </w:rPr>
        <w:t>Costruzione del Feature Matrix</w:t>
      </w:r>
    </w:p>
    <w:p>
      <w:pPr>
        <w:pStyle w:val="Normal"/>
        <w:spacing w:before="0" w:after="160"/>
        <w:rPr/>
      </w:pPr>
      <w:r>
        <w:rPr>
          <w:rFonts w:eastAsia="Arial" w:cs="Arial"/>
          <w:sz w:val="24"/>
          <w:szCs w:val="24"/>
        </w:rPr>
        <w:t>Il feature matrix campiona i pixel validi di Campania a 30m (15.033.189 pixel nel dominio valido). Tutti i pixel positivi (label=1, inside IFFI polygons) sono inclusi integralmente. I negativi sono campionati con rapporto 5:1 (neg:pos), stratificato per litho_class. La stratificazione è necessaria: senza di essa flysch_clastic (27% dell'area) verrebbe sovracampionato a scapito di volcanic_pyroclastic (15%) e hard_rock (18%). Campionamento con numpy.random.default_rng(seed=42).</w:t>
      </w:r>
    </w:p>
    <w:tbl>
      <w:tblPr>
        <w:tblW w:w="9026" w:type="dxa"/>
        <w:jc w:val="start"/>
        <w:tblInd w:w="0" w:type="dxa"/>
        <w:tblLayout w:type="fixed"/>
        <w:tblCellMar>
          <w:top w:w="80" w:type="dxa"/>
          <w:start w:w="120" w:type="dxa"/>
          <w:bottom w:w="80" w:type="dxa"/>
          <w:end w:w="120" w:type="dxa"/>
        </w:tblCellMar>
      </w:tblPr>
      <w:tblGrid>
        <w:gridCol w:w="2400"/>
        <w:gridCol w:w="2400"/>
        <w:gridCol w:w="4226"/>
      </w:tblGrid>
      <w:tr>
        <w:trPr/>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Parametro</w:t>
            </w:r>
          </w:p>
        </w:tc>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Valore</w:t>
            </w:r>
          </w:p>
        </w:tc>
        <w:tc>
          <w:tcPr>
            <w:tcW w:w="42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Motivazione</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Pixel totali Campania</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15.033.189</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Dominio di studio a 30m</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Positivi (IFFI)</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999.696</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Tutti i pixel in poligoni frana validi</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Negativi campionati</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4.998.480</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5:1 stratificato per litho_class</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Totale</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5.998.176 righe</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11 feature + label + metadati spaziali</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Seed RNG</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42</w:t>
            </w:r>
          </w:p>
        </w:tc>
        <w:tc>
          <w:tcPr>
            <w:tcW w:w="4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Riproducibilità</w:t>
            </w:r>
          </w:p>
        </w:tc>
      </w:tr>
    </w:tbl>
    <w:p>
      <w:pPr>
        <w:pStyle w:val="Normal"/>
        <w:spacing w:before="0" w:after="80"/>
        <w:rPr/>
      </w:pPr>
      <w:r>
        <w:rPr/>
      </w:r>
    </w:p>
    <w:p>
      <w:pPr>
        <w:pStyle w:val="Normal"/>
        <w:spacing w:before="0" w:after="160"/>
        <w:rPr/>
      </w:pPr>
      <w:r>
        <w:rPr>
          <w:rFonts w:eastAsia="Arial" w:cs="Arial"/>
          <w:sz w:val="24"/>
          <w:szCs w:val="24"/>
        </w:rPr>
        <w:t>Ogni pixel è assegnato a uno dei 25 blocchi di una griglia 5×5 sull'extent di Campania. Questi blocchi non vengono usati per il CV (si usa stratified k-fold standard). Limitazione documentata: la CV spaziale per blocchi eviterebbe l'autocorrelazione spaziale tra pixel adiacenti in fold di train e test, ed è raccomandata per future estensioni.</w:t>
      </w:r>
    </w:p>
    <w:p>
      <w:pPr>
        <w:pStyle w:val="Normal"/>
        <w:spacing w:before="0" w:after="160"/>
        <w:rPr/>
      </w:pPr>
      <w:r>
        <w:rPr>
          <w:rFonts w:eastAsia="Arial" w:cs="Arial"/>
          <w:sz w:val="24"/>
          <w:szCs w:val="24"/>
        </w:rPr>
        <w:t>Feature utilizzate (11): slope, aspect, profile_curvature, planform_curvature, twi, flow_accumulation (da DEM), litho_class (0-5), corine (codice CLC), dist_drainage (metri), dist_roads (log-trasformata), kb_susceptibility (0-2, da KB Prolog).</w:t>
      </w:r>
    </w:p>
    <w:p>
      <w:pPr>
        <w:pStyle w:val="Heading2"/>
        <w:rPr/>
      </w:pPr>
      <w:r>
        <w:rPr>
          <w:rFonts w:eastAsia="Arial" w:cs="Arial" w:ascii="Arial" w:hAnsi="Arial"/>
          <w:b/>
          <w:bCs/>
          <w:color w:val="2E4057"/>
          <w:sz w:val="28"/>
          <w:szCs w:val="28"/>
        </w:rPr>
        <w:t>Strumenti utilizzati</w:t>
      </w:r>
    </w:p>
    <w:p>
      <w:pPr>
        <w:pStyle w:val="ListParagraph"/>
        <w:numPr>
          <w:ilvl w:val="0"/>
          <w:numId w:val="1"/>
        </w:numPr>
        <w:spacing w:before="0" w:after="80"/>
        <w:rPr/>
      </w:pPr>
      <w:r>
        <w:rPr>
          <w:rFonts w:eastAsia="Arial" w:cs="Arial"/>
          <w:sz w:val="24"/>
          <w:szCs w:val="24"/>
        </w:rPr>
        <w:t>scikit-learn: LogisticRegression, RandomForestClassifier, StratifiedKFold, StandardScaler, roc_auc_score</w:t>
      </w:r>
    </w:p>
    <w:p>
      <w:pPr>
        <w:pStyle w:val="ListParagraph"/>
        <w:numPr>
          <w:ilvl w:val="0"/>
          <w:numId w:val="1"/>
        </w:numPr>
        <w:spacing w:before="0" w:after="80"/>
        <w:rPr/>
      </w:pPr>
      <w:r>
        <w:rPr>
          <w:rFonts w:eastAsia="Arial" w:cs="Arial"/>
          <w:sz w:val="24"/>
          <w:szCs w:val="24"/>
        </w:rPr>
        <w:t>pandas, numpy, pyarrow: feature matrix parquet (215,9 MB)</w:t>
      </w:r>
    </w:p>
    <w:p>
      <w:pPr>
        <w:pStyle w:val="Normal"/>
        <w:spacing w:before="0" w:after="80"/>
        <w:rPr/>
      </w:pPr>
      <w:r>
        <w:rPr/>
      </w:r>
    </w:p>
    <w:p>
      <w:pPr>
        <w:pStyle w:val="Heading2"/>
        <w:rPr/>
      </w:pPr>
      <w:r>
        <w:rPr>
          <w:rFonts w:eastAsia="Arial" w:cs="Arial" w:ascii="Arial" w:hAnsi="Arial"/>
          <w:b/>
          <w:bCs/>
          <w:color w:val="2E4057"/>
          <w:sz w:val="28"/>
          <w:szCs w:val="28"/>
        </w:rPr>
        <w:t>Decisioni di Progetto</w:t>
      </w:r>
    </w:p>
    <w:p>
      <w:pPr>
        <w:pStyle w:val="Normal"/>
        <w:spacing w:before="0" w:after="160"/>
        <w:rPr/>
      </w:pPr>
      <w:r>
        <w:rPr>
          <w:rFonts w:eastAsia="Arial" w:cs="Arial"/>
          <w:sz w:val="24"/>
          <w:szCs w:val="24"/>
        </w:rPr>
        <w:t>Regressione Logistica: max_iter=1000, StandardScaler inside CV loop (fit solo su train fold — evita data leakage). Parametri default (C=1.0, L2). Serve come baseline lineare: non può apprendere interazioni tra feature senza trasformazioni esplicite, rendendo particolarmente rilevante il test con/senza kb_susceptibility.</w:t>
      </w:r>
    </w:p>
    <w:p>
      <w:pPr>
        <w:pStyle w:val="Normal"/>
        <w:spacing w:before="0" w:after="160"/>
        <w:rPr/>
      </w:pPr>
      <w:r>
        <w:rPr>
          <w:rFonts w:eastAsia="Arial" w:cs="Arial"/>
          <w:sz w:val="24"/>
          <w:szCs w:val="24"/>
        </w:rPr>
        <w:t>Random Forest: n_estimators=100, random_state=42, n_jobs=-1, depth illimitata. Nessun tuning iperparametri: obiettivo è confrontare con/senza KB feature, non ottimizzare prestazioni assolute.</w:t>
      </w:r>
    </w:p>
    <w:p>
      <w:pPr>
        <w:pStyle w:val="Normal"/>
        <w:spacing w:before="0" w:after="160"/>
        <w:rPr/>
      </w:pPr>
      <w:r>
        <w:rPr>
          <w:rFonts w:eastAsia="Arial" w:cs="Arial"/>
          <w:sz w:val="24"/>
          <w:szCs w:val="24"/>
        </w:rPr>
        <w:t>Metrica principale AUC-ROC: il dataset rimane sbilanciato (1:5) anche dopo il campionamento; accuracy e F1 al threshold 0,5 sarebbero fuorvianti. AUC misura la capacità discriminante indipendentemente dalla soglia ed è la metrica standard nella letteratura sulla suscettibilità da frana (Catani et al., 2013; Guzzetti et al., 2006).</w:t>
      </w:r>
    </w:p>
    <w:p>
      <w:pPr>
        <w:pStyle w:val="Heading2"/>
        <w:rPr/>
      </w:pPr>
      <w:r>
        <w:rPr>
          <w:rFonts w:eastAsia="Arial" w:cs="Arial" w:ascii="Arial" w:hAnsi="Arial"/>
          <w:b/>
          <w:bCs/>
          <w:color w:val="2E4057"/>
          <w:sz w:val="28"/>
          <w:szCs w:val="28"/>
        </w:rPr>
        <w:t>Valutazione e Risultati</w:t>
      </w:r>
    </w:p>
    <w:p>
      <w:pPr>
        <w:pStyle w:val="Normal"/>
        <w:spacing w:before="0" w:after="160"/>
        <w:rPr/>
      </w:pPr>
      <w:r>
        <w:rPr>
          <w:rFonts w:eastAsia="Arial" w:cs="Arial"/>
          <w:sz w:val="24"/>
          <w:szCs w:val="24"/>
        </w:rPr>
        <w:t>Risultati della 5-fold stratified cross-validation (media ± deviazione standard):</w:t>
      </w:r>
    </w:p>
    <w:tbl>
      <w:tblPr>
        <w:tblW w:w="9026" w:type="dxa"/>
        <w:jc w:val="start"/>
        <w:tblInd w:w="0" w:type="dxa"/>
        <w:tblLayout w:type="fixed"/>
        <w:tblCellMar>
          <w:top w:w="80" w:type="dxa"/>
          <w:start w:w="120" w:type="dxa"/>
          <w:bottom w:w="80" w:type="dxa"/>
          <w:end w:w="120" w:type="dxa"/>
        </w:tblCellMar>
      </w:tblPr>
      <w:tblGrid>
        <w:gridCol w:w="2400"/>
        <w:gridCol w:w="1699"/>
        <w:gridCol w:w="1600"/>
        <w:gridCol w:w="1601"/>
        <w:gridCol w:w="1726"/>
      </w:tblGrid>
      <w:tr>
        <w:trPr/>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Modello / Feature set</w:t>
            </w:r>
          </w:p>
        </w:tc>
        <w:tc>
          <w:tcPr>
            <w:tcW w:w="16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AUC-ROC</w:t>
            </w:r>
          </w:p>
        </w:tc>
        <w:tc>
          <w:tcPr>
            <w:tcW w:w="1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F1</w:t>
            </w:r>
          </w:p>
        </w:tc>
        <w:tc>
          <w:tcPr>
            <w:tcW w:w="16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Precision</w:t>
            </w:r>
          </w:p>
        </w:tc>
        <w:tc>
          <w:tcPr>
            <w:tcW w:w="17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Recall</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KB standalone (baseline)</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0,677 ± —</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0,367</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0,232</w:t>
            </w:r>
          </w:p>
        </w:tc>
        <w:tc>
          <w:tcPr>
            <w:tcW w:w="17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0,874</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LR senza KB</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0,599 ± 0,0004</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0,001 ± 0,0001</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0,107 ± 0,011</w:t>
            </w:r>
          </w:p>
        </w:tc>
        <w:tc>
          <w:tcPr>
            <w:tcW w:w="17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0,001 ± 0,0001</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LR con KB</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0,738 ± 0,0001</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0,038 ± 0,0008</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0,443 ± 0,005</w:t>
            </w:r>
          </w:p>
        </w:tc>
        <w:tc>
          <w:tcPr>
            <w:tcW w:w="17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0,020 ± 0,0004</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RF senza KB</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0,854 ± 0,0004</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0,357 ± 0,0014</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0,603 ± 0,001</w:t>
            </w:r>
          </w:p>
        </w:tc>
        <w:tc>
          <w:tcPr>
            <w:tcW w:w="17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0,254 ± 0,0014</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RF con KB</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0,852 ± 0,0003</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0,351 ± 0,0017</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0,598 ± 0,001</w:t>
            </w:r>
          </w:p>
        </w:tc>
        <w:tc>
          <w:tcPr>
            <w:tcW w:w="17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0,248 ± 0,0016</w:t>
            </w:r>
          </w:p>
        </w:tc>
      </w:tr>
    </w:tbl>
    <w:p>
      <w:pPr>
        <w:pStyle w:val="Normal"/>
        <w:spacing w:before="0" w:after="80"/>
        <w:rPr/>
      </w:pPr>
      <w:r>
        <w:rPr/>
      </w:r>
    </w:p>
    <w:p>
      <w:pPr>
        <w:pStyle w:val="Normal"/>
        <w:spacing w:before="0" w:after="160"/>
        <w:rPr/>
      </w:pPr>
      <w:r>
        <w:rPr>
          <w:rFonts w:eastAsia="Arial" w:cs="Arial"/>
          <w:sz w:val="24"/>
          <w:szCs w:val="24"/>
        </w:rPr>
        <w:t>Il risultato principale riguarda l'interazione tra KB e capacità del modello base. Per la Regressione Logistica l'aggiunta di kb_susceptibility produce +0,139 AUC (da 0,599 a 0,738): la KB precomputa la combinazione non-lineare litologia×pendenza×drenaggio×copertura in un singolo feature discreto che LR sfrutta linearmente.</w:t>
      </w:r>
    </w:p>
    <w:p>
      <w:pPr>
        <w:pStyle w:val="Normal"/>
        <w:spacing w:before="0" w:after="160"/>
        <w:rPr/>
      </w:pPr>
      <w:r>
        <w:rPr>
          <w:rFonts w:eastAsia="Arial" w:cs="Arial"/>
          <w:sz w:val="24"/>
          <w:szCs w:val="24"/>
        </w:rPr>
        <w:t>Per il Random Forest l'effetto è trascurabile: RF con KB ottiene 0,852 vs RF senza KB 0,854, differenza di −0,002 ampiamente entro una deviazione standard. La feature importance conferma il motivo: kb_susceptibility riceve solo il 3,7% di importanza (ultima posizione), poiché RF ha accesso diretto a slope (14,2%), litho_class (6,3%) e corine (4,3%) — gli stessi input della KB. RF impara autonomamente le interazioni che la KB codifica esplicitamente.</w:t>
      </w:r>
    </w:p>
    <w:p>
      <w:pPr>
        <w:pStyle w:val="Normal"/>
        <w:spacing w:before="0" w:after="160"/>
        <w:rPr/>
      </w:pPr>
      <w:r>
        <w:rPr>
          <w:rFonts w:eastAsia="Arial" w:cs="Arial"/>
          <w:sz w:val="24"/>
          <w:szCs w:val="24"/>
        </w:rPr>
        <w:t>Questa asimmetria — KB sostanzialmente utile per modelli lineari, ridondante per modelli non-lineari — è coerente con la letteratura sull'integrazione di Background Knowledge e costituisce il principale risultato scientifico del progetto.</w:t>
      </w:r>
    </w:p>
    <w:p>
      <w:pPr>
        <w:pStyle w:val="Normal"/>
        <w:spacing w:before="0" w:after="160"/>
        <w:rPr/>
      </w:pPr>
      <w:r>
        <w:rPr>
          <w:rFonts w:eastAsia="Arial" w:cs="Arial"/>
          <w:sz w:val="24"/>
          <w:szCs w:val="24"/>
        </w:rPr>
        <w:t>Nota sulla LR: il recall di 0,020 al threshold 0,5 riflette un problema di calibrazione tipico dei modelli lineari su dataset sbilanciati. L'AUC di 0,738 conferma che il potere discriminante esiste ma richiede tuning della soglia per uso pratico.</w:t>
      </w:r>
    </w:p>
    <w:p>
      <w:pPr>
        <w:pStyle w:val="Normal"/>
        <w:spacing w:before="0" w:after="160"/>
        <w:rPr/>
      </w:pPr>
      <w:r>
        <w:rPr>
          <w:rFonts w:eastAsia="Arial" w:cs="Arial"/>
          <w:sz w:val="24"/>
          <w:szCs w:val="24"/>
        </w:rPr>
        <w:t>Feature importance Random Forest (fit su dataset completo):</w:t>
      </w:r>
    </w:p>
    <w:tbl>
      <w:tblPr>
        <w:tblW w:w="9026" w:type="dxa"/>
        <w:jc w:val="start"/>
        <w:tblInd w:w="0" w:type="dxa"/>
        <w:tblLayout w:type="fixed"/>
        <w:tblCellMar>
          <w:top w:w="80" w:type="dxa"/>
          <w:start w:w="120" w:type="dxa"/>
          <w:bottom w:w="80" w:type="dxa"/>
          <w:end w:w="120" w:type="dxa"/>
        </w:tblCellMar>
      </w:tblPr>
      <w:tblGrid>
        <w:gridCol w:w="2600"/>
        <w:gridCol w:w="1800"/>
        <w:gridCol w:w="4626"/>
      </w:tblGrid>
      <w:tr>
        <w:trPr/>
        <w:tc>
          <w:tcPr>
            <w:tcW w:w="2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Feature</w:t>
            </w:r>
          </w:p>
        </w:tc>
        <w:tc>
          <w:tcPr>
            <w:tcW w:w="18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Importanza</w:t>
            </w:r>
          </w:p>
        </w:tc>
        <w:tc>
          <w:tcPr>
            <w:tcW w:w="46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Nota</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0,142</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Fattore primario</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planform_curvature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0,120</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Convergenza flusso superficiale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aspect</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0,116</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Orientamento versante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twi</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0,113</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Indice umidità topografica</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profile_curvature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0,112</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Accelerazione flusso</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dist_roads</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0,108</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Effetto infrastrutture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dist_drainage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0,099</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Scalzamento al piede</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litho_class</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0,063</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Litologia geotecnica</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flow_accumulation</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0,048</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Rete idrografica implicita</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corine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0,043</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Copertura suolo</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kb_susceptibility</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0,037</w:t>
            </w:r>
          </w:p>
        </w:tc>
        <w:tc>
          <w:tcPr>
            <w:tcW w:w="4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Conoscenza esperta (ridondante per RF)</w:t>
            </w:r>
          </w:p>
        </w:tc>
      </w:tr>
    </w:tbl>
    <w:p>
      <w:pPr>
        <w:pStyle w:val="Normal"/>
        <w:spacing w:before="0" w:after="80"/>
        <w:rPr/>
      </w:pPr>
      <w:r>
        <w:rPr/>
      </w:r>
    </w:p>
    <w:p>
      <w:pPr>
        <w:pStyle w:val="Normal"/>
        <w:rPr/>
      </w:pPr>
      <w:r>
        <w:rPr/>
      </w:r>
      <w:r>
        <w:br w:type="page"/>
      </w:r>
    </w:p>
    <w:p>
      <w:pPr>
        <w:pStyle w:val="Heading1"/>
        <w:spacing w:before="0" w:after="160"/>
        <w:rPr/>
      </w:pPr>
      <w:r>
        <w:rPr>
          <w:rFonts w:eastAsia="Arial" w:cs="Arial" w:ascii="Arial" w:hAnsi="Arial"/>
          <w:b/>
          <w:bCs/>
          <w:color w:val="2E75B6"/>
          <w:sz w:val="32"/>
          <w:szCs w:val="32"/>
        </w:rPr>
        <w:t>Conclusioni</w:t>
      </w:r>
    </w:p>
    <w:p>
      <w:pPr>
        <w:pStyle w:val="Normal"/>
        <w:spacing w:before="0" w:after="160"/>
        <w:rPr/>
      </w:pPr>
      <w:r>
        <w:rPr>
          <w:rFonts w:eastAsia="Arial" w:cs="Arial"/>
          <w:sz w:val="24"/>
          <w:szCs w:val="24"/>
        </w:rPr>
        <w:t>Il sistema sviluppato dimostra la fattibilità dell'integrazione tra ragionamento logico simbolico e apprendimento supervisionato per la mappatura della suscettibilità da frana a scala regionale. Il Random Forest raggiunge AUC 0,852 ± 0,0003, in linea con la letteratura italiana (Catani et al., 2013: 0,81–0,87). La KB standalone raggiunge AUC 0,677 con recall 0,874 — pattern atteso per una base di regole che codifica condizioni necessarie non sufficienti.</w:t>
      </w:r>
    </w:p>
    <w:p>
      <w:pPr>
        <w:pStyle w:val="Normal"/>
        <w:spacing w:before="0" w:after="160"/>
        <w:rPr/>
      </w:pPr>
      <w:r>
        <w:rPr>
          <w:rFonts w:eastAsia="Arial" w:cs="Arial"/>
          <w:sz w:val="24"/>
          <w:szCs w:val="24"/>
        </w:rPr>
        <w:t>Il risultato scientifico principale riguarda l'interazione KB-modello: kb_susceptibility migliora LR di +0,139 AUC ma non apporta benefici misurabili a RF (−0,002). Il valore della conoscenza esperta è massimo per modelli lineari che non possono apprendere interazioni, ed è ridondante per modelli non-lineari che le scoprono autonomamente. Questo risultato è coerente con la letteratura sull'integrazione di Background Knowledge nell'apprendimento automatico.</w:t>
      </w:r>
    </w:p>
    <w:p>
      <w:pPr>
        <w:pStyle w:val="Normal"/>
        <w:spacing w:before="0" w:after="160"/>
        <w:rPr/>
      </w:pPr>
      <w:r>
        <w:rPr>
          <w:rFonts w:eastAsia="Arial" w:cs="Arial"/>
          <w:sz w:val="24"/>
          <w:szCs w:val="24"/>
        </w:rPr>
        <w:t>Limitazioni: (1) k-fold stratificata standard invece di CV spaziale — può sovrastimare le prestazioni per autocorrelazione spaziale; (2) dati pluviometrici ERA5 inutilizzabili per risoluzione insufficiente (9km); (3) artefatti da bordo foglio nella cartografia geologica 1:100.000, parzialmente mitigati dall'aggregazione in 5 classi e dal filtro di maggioranza 3×3.</w:t>
      </w:r>
    </w:p>
    <w:p>
      <w:pPr>
        <w:pStyle w:val="Normal"/>
        <w:spacing w:before="0" w:after="160"/>
        <w:rPr/>
      </w:pPr>
      <w:r>
        <w:rPr>
          <w:rFonts w:eastAsia="Arial" w:cs="Arial"/>
          <w:sz w:val="24"/>
          <w:szCs w:val="24"/>
        </w:rPr>
        <w:t>Sviluppi futuri: spatial block CV; integrazione dati pluviometrici ARPAC ad alta risoluzione; modelli di hazard dinamico con soglie di innesco pluviometriche (Guzzetti et al., 2007); validazione esterna tramite confronto con mosaicatura ISPRA P1–P4.</w:t>
      </w:r>
    </w:p>
    <w:p>
      <w:pPr>
        <w:pStyle w:val="Normal"/>
        <w:spacing w:before="0" w:after="80"/>
        <w:rPr/>
      </w:pPr>
      <w:r>
        <w:rPr/>
      </w:r>
    </w:p>
    <w:p>
      <w:pPr>
        <w:pStyle w:val="Normal"/>
        <w:rPr/>
      </w:pPr>
      <w:r>
        <w:rPr/>
      </w:r>
      <w:r>
        <w:br w:type="page"/>
      </w:r>
    </w:p>
    <w:p>
      <w:pPr>
        <w:pStyle w:val="Heading1"/>
        <w:spacing w:before="0" w:after="160"/>
        <w:rPr/>
      </w:pPr>
      <w:r>
        <w:rPr>
          <w:rFonts w:eastAsia="Arial" w:cs="Arial" w:ascii="Arial" w:hAnsi="Arial"/>
          <w:b/>
          <w:bCs/>
          <w:color w:val="2E75B6"/>
          <w:sz w:val="32"/>
          <w:szCs w:val="32"/>
        </w:rPr>
        <w:t>Riferimenti Bibliografici</w:t>
      </w:r>
    </w:p>
    <w:p>
      <w:pPr>
        <w:pStyle w:val="Normal"/>
        <w:spacing w:before="0" w:after="160"/>
        <w:rPr/>
      </w:pPr>
      <w:r>
        <w:rPr>
          <w:rFonts w:eastAsia="Arial" w:cs="Arial"/>
          <w:sz w:val="24"/>
          <w:szCs w:val="24"/>
        </w:rPr>
        <w:t>[1] Catani, F., Lagomarsino, D., Segoni, S., Tofani, V. (2013). Landslide susceptibility estimation by random forests technique. Natural Hazards and Earth System Sciences, 13, 2815–2831. https://doi.org/10.5194/nhess-13-2815-2013</w:t>
      </w:r>
    </w:p>
    <w:p>
      <w:pPr>
        <w:pStyle w:val="Normal"/>
        <w:spacing w:before="0" w:after="160"/>
        <w:rPr/>
      </w:pPr>
      <w:r>
        <w:rPr>
          <w:rFonts w:eastAsia="Arial" w:cs="Arial"/>
          <w:sz w:val="24"/>
          <w:szCs w:val="24"/>
        </w:rPr>
        <w:t>[2] Corominas, J., et al. (2014). Recommendations for the quantitative analysis of landslide risk. Bulletin of Engineering Geology and the Environment, 73(2), 209–263. https://doi.org/10.1007/s10064-013-0538-8</w:t>
      </w:r>
    </w:p>
    <w:p>
      <w:pPr>
        <w:pStyle w:val="Normal"/>
        <w:spacing w:before="0" w:after="160"/>
        <w:rPr/>
      </w:pPr>
      <w:r>
        <w:rPr>
          <w:rFonts w:eastAsia="Arial" w:cs="Arial"/>
          <w:sz w:val="24"/>
          <w:szCs w:val="24"/>
        </w:rPr>
        <w:t>[3] Löbmann, M.T., Geitner, C., Wellstein, C., Zerbe, S. (2020). The influence of herbaceous vegetation on slope stability — a review. Earth-Science Reviews, 209, 103328. https://doi.org/10.1016/j.earscirev.2020.103328</w:t>
      </w:r>
    </w:p>
    <w:p>
      <w:pPr>
        <w:pStyle w:val="Normal"/>
        <w:spacing w:before="0" w:after="160"/>
        <w:rPr/>
      </w:pPr>
      <w:r>
        <w:rPr>
          <w:rFonts w:eastAsia="Arial" w:cs="Arial"/>
          <w:sz w:val="24"/>
          <w:szCs w:val="24"/>
        </w:rPr>
        <w:t>[4] Alvioli, M., et al. (2020). Landslide susceptibility assessment in complex geological settings: sensitivity to geological information. Landslides, 17, 97–112. https://doi.org/10.1007/s10346-019-01340-2</w:t>
      </w:r>
    </w:p>
    <w:p>
      <w:pPr>
        <w:pStyle w:val="Normal"/>
        <w:spacing w:before="0" w:after="160"/>
        <w:rPr/>
      </w:pPr>
      <w:r>
        <w:rPr>
          <w:rFonts w:eastAsia="Arial" w:cs="Arial"/>
          <w:sz w:val="24"/>
          <w:szCs w:val="24"/>
        </w:rPr>
        <w:t>[5] Trigila, A., Iadanza, C., et al. (2021). Dissesto idrogeologico in Italia: pericolosità e indicatori di rischio. ISPRA Rapporti 356/2021.</w:t>
      </w:r>
    </w:p>
    <w:p>
      <w:pPr>
        <w:pStyle w:val="Normal"/>
        <w:spacing w:before="0" w:after="160"/>
        <w:rPr/>
      </w:pPr>
      <w:r>
        <w:rPr>
          <w:rFonts w:eastAsia="Arial" w:cs="Arial"/>
          <w:sz w:val="24"/>
          <w:szCs w:val="24"/>
        </w:rPr>
        <w:t>[6] Tufano, R., et al. (2023). A revised landslide inventory of the Campania region (Italy). Scientific Data, 10, 353. https://doi.org/10.1038/s41597-023-02155-6</w:t>
      </w:r>
    </w:p>
    <w:p>
      <w:pPr>
        <w:pStyle w:val="Normal"/>
        <w:spacing w:before="0" w:after="160"/>
        <w:rPr/>
      </w:pPr>
      <w:r>
        <w:rPr>
          <w:rFonts w:eastAsia="Arial" w:cs="Arial"/>
          <w:sz w:val="24"/>
          <w:szCs w:val="24"/>
        </w:rPr>
        <w:t>[7] Guzzetti, F., et al. (2006). Estimating the quality of landslide susceptibility models. Geomorphology, 81(1–2), 166–184. https://doi.org/10.1016/j.geomorph.2006.03.036</w:t>
      </w:r>
    </w:p>
    <w:p>
      <w:pPr>
        <w:pStyle w:val="Normal"/>
        <w:spacing w:before="0" w:after="160"/>
        <w:rPr/>
      </w:pPr>
      <w:r>
        <w:rPr>
          <w:rFonts w:eastAsia="Arial" w:cs="Arial"/>
          <w:sz w:val="24"/>
          <w:szCs w:val="24"/>
        </w:rPr>
        <w:t>[8] Guzzetti, F., et al. (2007). Rainfall thresholds for the initiation of landslides in central and southern Italy. Meteorology and Atmospheric Physics, 98, 239–267. https://doi.org/10.1007/s00703-007-0262-7</w:t>
      </w:r>
    </w:p>
    <w:p>
      <w:pPr>
        <w:pStyle w:val="Normal"/>
        <w:spacing w:before="0" w:after="160"/>
        <w:rPr/>
      </w:pPr>
      <w:r>
        <w:rPr>
          <w:rFonts w:eastAsia="Arial" w:cs="Arial"/>
          <w:sz w:val="24"/>
          <w:szCs w:val="24"/>
        </w:rPr>
        <w:t>[9] Iadanza, C., Trigila, A., et al. (2021). IdroGEO: a collaborative web mapping application. ISPRS Int. J. Geo-Inf., 10(2), 89. https://doi.org/10.3390/ijgi10020089</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320" w:after="160"/>
      <w:outlineLvl w:val="0"/>
    </w:pPr>
    <w:rPr>
      <w:rFonts w:ascii="Arial" w:hAnsi="Arial" w:eastAsia="Arial" w:cs="Arial"/>
      <w:b/>
      <w:bCs/>
      <w:color w:val="2E75B6"/>
      <w:sz w:val="32"/>
      <w:szCs w:val="32"/>
    </w:rPr>
  </w:style>
  <w:style w:type="paragraph" w:styleId="Heading2">
    <w:name w:val="heading 2"/>
    <w:basedOn w:val="Heading"/>
    <w:qFormat/>
    <w:pPr>
      <w:spacing w:before="240" w:after="120"/>
      <w:outlineLvl w:val="1"/>
    </w:pPr>
    <w:rPr>
      <w:rFonts w:ascii="Arial" w:hAnsi="Arial" w:eastAsia="Arial" w:cs="Arial"/>
      <w:b/>
      <w:bCs/>
      <w:color w:val="2E4057"/>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LibreOffice/26.2.2.2$Linux_X86_64 LibreOffice_project/620$Build-2</Application>
  <AppVersion>15.0000</AppVersion>
  <Pages>11</Pages>
  <Words>2332</Words>
  <Characters>16268</Characters>
  <CharactersWithSpaces>18337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2026-03-30T21:59:46Z</dcterms:created>
  <dc:creator>Un-named</dc:creator>
  <dc:description/>
  <dc:language>en-US</dc:language>
  <cp:lastModifiedBy/>
  <dcterms:modified xsi:type="dcterms:W3CDTF">2026-03-31T01:30:21Z</dcterms:modified>
  <cp:revision>2</cp:revision>
  <dc:subject/>
  <dc:title/>
</cp:coreProperties>
</file>