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480"/>
        <w:jc w:val="center"/>
        <w:rPr/>
      </w:pPr>
      <w:r>
        <w:rPr>
          <w:rFonts w:eastAsia="Arial" w:cs="Arial"/>
          <w:color w:val="555555"/>
          <w:sz w:val="24"/>
          <w:szCs w:val="24"/>
        </w:rPr>
        <w:t>Università degli Studi di Bari Aldo Moro</w:t>
      </w:r>
    </w:p>
    <w:p>
      <w:pPr>
        <w:pStyle w:val="Normal"/>
        <w:spacing w:before="0" w:after="80"/>
        <w:jc w:val="center"/>
        <w:rPr/>
      </w:pPr>
      <w:r>
        <w:rPr>
          <w:rFonts w:eastAsia="Arial" w:cs="Arial"/>
          <w:color w:val="555555"/>
          <w:sz w:val="24"/>
          <w:szCs w:val="24"/>
        </w:rPr>
        <w:t>Corso di Ingegneria della Conoscenza (ICon)</w:t>
      </w:r>
    </w:p>
    <w:p>
      <w:pPr>
        <w:pStyle w:val="Normal"/>
        <w:spacing w:before="0" w:after="80"/>
        <w:rPr/>
      </w:pPr>
      <w:r>
        <w:rPr/>
      </w:r>
    </w:p>
    <w:p>
      <w:pPr>
        <w:pStyle w:val="Normal"/>
        <w:spacing w:before="720" w:after="240"/>
        <w:jc w:val="center"/>
        <w:rPr/>
      </w:pPr>
      <w:r>
        <w:rPr>
          <w:rFonts w:eastAsia="Arial" w:cs="Arial"/>
          <w:b/>
          <w:bCs/>
          <w:color w:val="2E75B6"/>
          <w:sz w:val="40"/>
          <w:szCs w:val="40"/>
        </w:rPr>
        <w:t>Sistema a Base di Conoscenza per la Valutazione del Rischio da Frana in Campania</w:t>
      </w:r>
    </w:p>
    <w:p>
      <w:pPr>
        <w:pStyle w:val="Normal"/>
        <w:spacing w:before="0" w:after="960"/>
        <w:jc w:val="center"/>
        <w:rPr/>
      </w:pPr>
      <w:r>
        <w:rPr>
          <w:rFonts w:eastAsia="Arial" w:cs="Arial"/>
          <w:i/>
          <w:iCs/>
          <w:color w:val="555555"/>
          <w:sz w:val="24"/>
          <w:szCs w:val="24"/>
        </w:rPr>
        <w:t>Integrazione di ragionamento logico e apprendimento supervisionato per la mappatura della suscettibilità da frana</w:t>
      </w:r>
    </w:p>
    <w:p>
      <w:pPr>
        <w:pStyle w:val="Normal"/>
        <w:spacing w:before="0" w:after="160"/>
        <w:jc w:val="center"/>
        <w:rPr/>
      </w:pPr>
      <w:r>
        <w:rPr>
          <w:rFonts w:eastAsia="Arial" w:cs="Arial"/>
          <w:b/>
          <w:bCs/>
          <w:sz w:val="24"/>
          <w:szCs w:val="24"/>
        </w:rPr>
        <w:t>Componenti del gruppo</w:t>
      </w:r>
    </w:p>
    <w:p>
      <w:pPr>
        <w:pStyle w:val="Normal"/>
        <w:spacing w:before="0" w:after="80"/>
        <w:jc w:val="center"/>
        <w:rPr/>
      </w:pPr>
      <w:r>
        <w:rPr>
          <w:rFonts w:eastAsia="Arial" w:cs="Arial"/>
          <w:sz w:val="24"/>
          <w:szCs w:val="24"/>
        </w:rPr>
        <w:t>dario gjergo, [725895], gjergo@studenti.uniba.it</w:t>
      </w:r>
    </w:p>
    <w:p>
      <w:pPr>
        <w:pStyle w:val="Normal"/>
        <w:spacing w:before="0" w:after="80"/>
        <w:rPr/>
      </w:pPr>
      <w:r>
        <w:rPr/>
      </w:r>
    </w:p>
    <w:p>
      <w:pPr>
        <w:pStyle w:val="Normal"/>
        <w:spacing w:before="0" w:after="80"/>
        <w:jc w:val="center"/>
        <w:rPr/>
      </w:pPr>
      <w:r>
        <w:rPr>
          <w:rFonts w:eastAsia="Arial" w:cs="Arial"/>
          <w:color w:val="2E75B6"/>
          <w:sz w:val="22"/>
          <w:szCs w:val="22"/>
        </w:rPr>
        <w:t>Repository GitHub: https://github.com/gjergo/campania-landslide-kbs</w:t>
      </w:r>
    </w:p>
    <w:p>
      <w:pPr>
        <w:pStyle w:val="Normal"/>
        <w:spacing w:before="0" w:after="80"/>
        <w:jc w:val="center"/>
        <w:rPr/>
      </w:pPr>
      <w:r>
        <w:rPr>
          <w:rFonts w:eastAsia="Arial" w:cs="Arial"/>
          <w:sz w:val="24"/>
          <w:szCs w:val="24"/>
        </w:rPr>
        <w:t>A.A. 2024-2025</w:t>
      </w:r>
    </w:p>
    <w:p>
      <w:pPr>
        <w:pStyle w:val="Normal"/>
        <w:rPr/>
      </w:pPr>
      <w:r>
        <w:rPr/>
      </w:r>
      <w:r>
        <w:br w:type="page"/>
      </w:r>
    </w:p>
    <w:p>
      <w:pPr>
        <w:pStyle w:val="Heading1"/>
        <w:spacing w:before="0" w:after="160"/>
        <w:rPr/>
      </w:pPr>
      <w:r>
        <w:rPr>
          <w:rFonts w:eastAsia="Arial" w:cs="Arial"/>
          <w:b/>
          <w:bCs/>
          <w:color w:val="2E75B6"/>
          <w:sz w:val="32"/>
          <w:szCs w:val="32"/>
        </w:rPr>
        <w:t>Introduzione</w:t>
      </w:r>
    </w:p>
    <w:p>
      <w:pPr>
        <w:pStyle w:val="Normal"/>
        <w:spacing w:before="0" w:after="160"/>
        <w:rPr/>
      </w:pPr>
      <w:r>
        <w:rPr>
          <w:rFonts w:eastAsia="Arial" w:cs="Arial"/>
          <w:sz w:val="24"/>
          <w:szCs w:val="24"/>
        </w:rPr>
        <w:t xml:space="preserve">Il dissesto idrogeologico rappresenta una delle emergenze ambientali più rilevanti del territorio italiano. La Campania figura tra le regioni con le percentuali più elevate di territorio classificato in classi di pericolosità da frana P3 e P4 (ISPRA, Rapporto 356/2021). </w:t>
      </w:r>
    </w:p>
    <w:p>
      <w:pPr>
        <w:pStyle w:val="Normal"/>
        <w:spacing w:before="0" w:after="160"/>
        <w:rPr/>
      </w:pPr>
      <w:r>
        <w:rPr>
          <w:rFonts w:eastAsia="Arial" w:cs="Arial"/>
          <w:sz w:val="24"/>
          <w:szCs w:val="24"/>
        </w:rPr>
        <w:t>Il presente progetto sviluppa un prototipo di Knowledge-Based System (KBS) per la mappatura della suscettibilità da frana a scala regionale applicato all'intera Campania. Il sistema integra: (1) una base di conoscenza Prolog che codifica regole geomorfologiche esperte derivate dalla letteratura e calibrate sui dati osservati; (2) modelli di apprendimento supervisionato addestrati sull'inventario frane IFFI; (3) un esperimento comparativo che quantifica il contributo della conoscenza esperta rispetto ai soli modelli data-driven.</w:t>
      </w:r>
    </w:p>
    <w:p>
      <w:pPr>
        <w:pStyle w:val="Normal"/>
        <w:spacing w:before="0" w:after="80"/>
        <w:rPr/>
      </w:pPr>
      <w:r>
        <w:rPr/>
      </w:r>
    </w:p>
    <w:p>
      <w:pPr>
        <w:pStyle w:val="Heading2"/>
        <w:rPr/>
      </w:pPr>
      <w:r>
        <w:rPr>
          <w:rFonts w:eastAsia="Arial" w:cs="Arial"/>
          <w:b/>
          <w:bCs/>
          <w:color w:val="2E4057"/>
          <w:sz w:val="28"/>
          <w:szCs w:val="28"/>
        </w:rPr>
        <w:t>Sommario - Argomenti ICon affrontati</w:t>
      </w:r>
    </w:p>
    <w:p>
      <w:pPr>
        <w:pStyle w:val="ListParagraph"/>
        <w:numPr>
          <w:ilvl w:val="0"/>
          <w:numId w:val="8"/>
        </w:numPr>
        <w:spacing w:before="0" w:after="80"/>
        <w:rPr/>
      </w:pPr>
      <w:r>
        <w:rPr>
          <w:rFonts w:eastAsia="Arial" w:cs="Arial"/>
          <w:sz w:val="24"/>
          <w:szCs w:val="24"/>
        </w:rPr>
        <w:t>Rappresentazione della conoscenza e ragionamento logico (Prolog, clausole di Horn): KB con fatti e regole che codificano conoscenza geomorfologica esperta su litologia, pendenza, prossimità alla rete idrografica e copertura del suolo. Ogni query attiva una catena di inferenza a quattro livelli con branching condizionale e negazione-as-failure</w:t>
      </w:r>
    </w:p>
    <w:p>
      <w:pPr>
        <w:pStyle w:val="ListParagraph"/>
        <w:numPr>
          <w:ilvl w:val="0"/>
          <w:numId w:val="6"/>
        </w:numPr>
        <w:spacing w:before="0" w:after="80"/>
        <w:rPr/>
      </w:pPr>
      <w:r>
        <w:rPr>
          <w:rFonts w:eastAsia="Arial" w:cs="Arial"/>
          <w:sz w:val="24"/>
          <w:szCs w:val="24"/>
        </w:rPr>
        <w:t>Apprendimento supervisionato e classificazione: Regressione Logistica e Random Forest con 5-fold stratified CV su ~6M pixel, valutazione tramite AUC-ROC medio ± deviazione standard</w:t>
      </w:r>
    </w:p>
    <w:p>
      <w:pPr>
        <w:pStyle w:val="ListParagraph"/>
        <w:numPr>
          <w:ilvl w:val="0"/>
          <w:numId w:val="6"/>
        </w:numPr>
        <w:spacing w:before="0" w:after="80"/>
        <w:rPr/>
      </w:pPr>
      <w:r>
        <w:rPr>
          <w:rFonts w:eastAsia="Arial" w:cs="Arial"/>
          <w:sz w:val="24"/>
          <w:szCs w:val="24"/>
        </w:rPr>
        <w:t>Integrazione KB+ML (Background Knowledge): esperimento comparativo che verifica se il feature kb_susceptibility — derivato dal ragionamento Prolog — migliora le prestazioni predittive rispetto alla baseline senza conoscenza esperta</w:t>
      </w:r>
    </w:p>
    <w:p>
      <w:pPr>
        <w:pStyle w:val="Normal"/>
        <w:spacing w:before="0" w:after="80"/>
        <w:rPr/>
      </w:pPr>
      <w:r>
        <w:rPr/>
      </w:r>
    </w:p>
    <w:p>
      <w:pPr>
        <w:pStyle w:val="Normal"/>
        <w:rPr>
          <w:rFonts w:ascii="Arial" w:hAnsi="Arial" w:eastAsia="Arial" w:cs="Arial"/>
          <w:b/>
          <w:bCs/>
          <w:color w:val="2E75B6"/>
          <w:sz w:val="32"/>
          <w:szCs w:val="32"/>
        </w:rPr>
      </w:pPr>
      <w:r>
        <w:rPr>
          <w:rFonts w:eastAsia="Arial" w:cs="Arial"/>
          <w:b/>
          <w:bCs/>
          <w:color w:val="2E75B6"/>
          <w:sz w:val="32"/>
          <w:szCs w:val="32"/>
        </w:rPr>
      </w:r>
    </w:p>
    <w:p>
      <w:pPr>
        <w:pStyle w:val="Normal"/>
        <w:rPr>
          <w:rFonts w:ascii="Arial" w:hAnsi="Arial" w:eastAsia="Arial" w:cs="Arial"/>
          <w:b/>
          <w:bCs/>
          <w:color w:val="2E75B6"/>
          <w:sz w:val="32"/>
          <w:szCs w:val="32"/>
        </w:rPr>
      </w:pPr>
      <w:r>
        <w:rPr>
          <w:rFonts w:eastAsia="Arial" w:cs="Arial"/>
          <w:b/>
          <w:bCs/>
          <w:color w:val="2E75B6"/>
          <w:sz w:val="32"/>
          <w:szCs w:val="32"/>
        </w:rPr>
      </w:r>
    </w:p>
    <w:p>
      <w:pPr>
        <w:pStyle w:val="Normal"/>
        <w:rPr>
          <w:rFonts w:ascii="Arial" w:hAnsi="Arial" w:eastAsia="Arial" w:cs="Arial"/>
          <w:b/>
          <w:bCs/>
          <w:color w:val="2E75B6"/>
          <w:sz w:val="32"/>
          <w:szCs w:val="32"/>
        </w:rPr>
      </w:pPr>
      <w:r>
        <w:rPr>
          <w:rFonts w:eastAsia="Arial" w:cs="Arial"/>
          <w:b/>
          <w:bCs/>
          <w:color w:val="2E75B6"/>
          <w:sz w:val="32"/>
          <w:szCs w:val="32"/>
        </w:rPr>
      </w:r>
    </w:p>
    <w:p>
      <w:pPr>
        <w:pStyle w:val="Normal"/>
        <w:rPr>
          <w:rFonts w:ascii="Arial" w:hAnsi="Arial" w:eastAsia="Arial" w:cs="Arial"/>
          <w:b/>
          <w:bCs/>
          <w:color w:val="2E75B6"/>
          <w:sz w:val="32"/>
          <w:szCs w:val="32"/>
        </w:rPr>
      </w:pPr>
      <w:r>
        <w:rPr>
          <w:rFonts w:eastAsia="Arial" w:cs="Arial"/>
          <w:b/>
          <w:bCs/>
          <w:color w:val="2E75B6"/>
          <w:sz w:val="32"/>
          <w:szCs w:val="32"/>
        </w:rPr>
      </w:r>
    </w:p>
    <w:p>
      <w:pPr>
        <w:pStyle w:val="Normal"/>
        <w:rPr>
          <w:rFonts w:ascii="Arial" w:hAnsi="Arial" w:eastAsia="Arial" w:cs="Arial"/>
          <w:b/>
          <w:bCs/>
          <w:color w:val="2E75B6"/>
          <w:sz w:val="32"/>
          <w:szCs w:val="32"/>
        </w:rPr>
      </w:pPr>
      <w:r>
        <w:rPr>
          <w:rFonts w:eastAsia="Arial" w:cs="Arial"/>
          <w:b/>
          <w:bCs/>
          <w:color w:val="2E75B6"/>
          <w:sz w:val="32"/>
          <w:szCs w:val="32"/>
        </w:rPr>
      </w:r>
    </w:p>
    <w:p>
      <w:pPr>
        <w:pStyle w:val="Normal"/>
        <w:rPr>
          <w:rFonts w:ascii="Arial" w:hAnsi="Arial" w:eastAsia="Arial" w:cs="Arial"/>
          <w:b/>
          <w:bCs/>
          <w:color w:val="2E75B6"/>
          <w:sz w:val="32"/>
          <w:szCs w:val="32"/>
        </w:rPr>
      </w:pPr>
      <w:r>
        <w:rPr>
          <w:rFonts w:eastAsia="Arial" w:cs="Arial"/>
          <w:b/>
          <w:bCs/>
          <w:color w:val="2E75B6"/>
          <w:sz w:val="32"/>
          <w:szCs w:val="32"/>
        </w:rPr>
      </w:r>
    </w:p>
    <w:p>
      <w:pPr>
        <w:pStyle w:val="Normal"/>
        <w:rPr>
          <w:rFonts w:ascii="Arial" w:hAnsi="Arial" w:eastAsia="Arial" w:cs="Arial"/>
          <w:b/>
          <w:bCs/>
          <w:color w:val="2E75B6"/>
          <w:sz w:val="32"/>
          <w:szCs w:val="32"/>
        </w:rPr>
      </w:pPr>
      <w:r>
        <w:rPr>
          <w:rFonts w:eastAsia="Arial" w:cs="Arial"/>
          <w:b/>
          <w:bCs/>
          <w:color w:val="2E75B6"/>
          <w:sz w:val="32"/>
          <w:szCs w:val="32"/>
        </w:rPr>
      </w:r>
    </w:p>
    <w:p>
      <w:pPr>
        <w:pStyle w:val="Normal"/>
        <w:rPr>
          <w:rFonts w:ascii="Arial" w:hAnsi="Arial" w:eastAsia="Arial" w:cs="Arial"/>
          <w:b/>
          <w:bCs/>
          <w:color w:val="2E75B6"/>
          <w:sz w:val="32"/>
          <w:szCs w:val="32"/>
        </w:rPr>
      </w:pPr>
      <w:r>
        <w:rPr>
          <w:rFonts w:eastAsia="Arial" w:cs="Arial"/>
          <w:b/>
          <w:bCs/>
          <w:color w:val="2E75B6"/>
          <w:sz w:val="32"/>
          <w:szCs w:val="32"/>
        </w:rPr>
      </w:r>
    </w:p>
    <w:p>
      <w:pPr>
        <w:pStyle w:val="Normal"/>
        <w:rPr>
          <w:rFonts w:ascii="Arial" w:hAnsi="Arial" w:eastAsia="Arial" w:cs="Arial"/>
          <w:b/>
          <w:bCs/>
          <w:color w:val="2E75B6"/>
          <w:sz w:val="32"/>
          <w:szCs w:val="32"/>
        </w:rPr>
      </w:pPr>
      <w:r>
        <w:rPr>
          <w:rFonts w:eastAsia="Arial" w:cs="Arial"/>
          <w:b/>
          <w:bCs/>
          <w:color w:val="2E75B6"/>
          <w:sz w:val="32"/>
          <w:szCs w:val="32"/>
        </w:rPr>
      </w:r>
    </w:p>
    <w:p>
      <w:pPr>
        <w:pStyle w:val="Normal"/>
        <w:rPr>
          <w:rFonts w:ascii="Arial" w:hAnsi="Arial" w:eastAsia="Arial" w:cs="Arial"/>
          <w:b/>
          <w:bCs/>
          <w:color w:val="2E75B6"/>
          <w:sz w:val="32"/>
          <w:szCs w:val="32"/>
        </w:rPr>
      </w:pPr>
      <w:r>
        <w:rPr>
          <w:rFonts w:eastAsia="Arial" w:cs="Arial"/>
          <w:b/>
          <w:bCs/>
          <w:color w:val="2E75B6"/>
          <w:sz w:val="32"/>
          <w:szCs w:val="32"/>
        </w:rPr>
      </w:r>
    </w:p>
    <w:p>
      <w:pPr>
        <w:pStyle w:val="Heading1"/>
        <w:rPr/>
      </w:pPr>
      <w:r>
        <w:rPr/>
        <w:t>Sezione 1 — Rappresentazione della Conoscenza e Ragionamento Logico</w:t>
      </w:r>
    </w:p>
    <w:p>
      <w:pPr>
        <w:pStyle w:val="Heading2"/>
        <w:rPr/>
      </w:pPr>
      <w:r>
        <w:rPr/>
        <w:t>Sommario</w:t>
      </w:r>
    </w:p>
    <w:p>
      <w:pPr>
        <w:pStyle w:val="BodyText"/>
        <w:rPr/>
      </w:pPr>
      <w:r>
        <w:rPr/>
        <w:t xml:space="preserve">La Knowledge Base (KB) è implementata in Prolog (SWI-Prolog via </w:t>
      </w:r>
      <w:r>
        <w:rPr>
          <w:rStyle w:val="SourceText"/>
        </w:rPr>
        <w:t>pyswip</w:t>
      </w:r>
      <w:r>
        <w:rPr/>
        <w:t xml:space="preserve">) e codifica conoscenza geomorfologica esperta sui meccanismi di innesco delle frane in Campania. È composta da </w:t>
      </w:r>
      <w:r>
        <w:rPr>
          <w:rStyle w:val="Strong"/>
        </w:rPr>
        <w:t>15 fatti e 8 regole</w:t>
      </w:r>
      <w:r>
        <w:rPr/>
        <w:t xml:space="preserve"> che combinano litologia, pendenza, prossimità alla rete di drenaggio e copertura del suolo per derivare un punteggio di suscettibilità per ciascun pixel (0 = bassa, 1 = media, 2 = alta).</w:t>
      </w:r>
    </w:p>
    <w:p>
      <w:pPr>
        <w:pStyle w:val="BodyText"/>
        <w:rPr/>
      </w:pPr>
      <w:r>
        <w:rPr/>
        <w:t xml:space="preserve">Ogni query attiva una </w:t>
      </w:r>
      <w:r>
        <w:rPr>
          <w:rStyle w:val="Strong"/>
        </w:rPr>
        <w:t>catena di inferenza a quattro livelli:</w:t>
      </w:r>
    </w:p>
    <w:p>
      <w:pPr>
        <w:pStyle w:val="BodyText"/>
        <w:rPr/>
      </w:pPr>
      <w:r>
        <w:rPr/>
        <w:t>fatti → regole livello 1 → classificazione combinata → encoding numerico</w:t>
      </w:r>
    </w:p>
    <w:p>
      <w:pPr>
        <w:pStyle w:val="BodyText"/>
        <w:rPr/>
      </w:pPr>
      <w:r>
        <w:rPr/>
        <w:t>con branching condizionale e negation-as-failure. Il punteggio viene usato come feature aggiuntiva nei modelli ML, realizzando l'integrazione tra ragionamento simbolico e apprendimento statistico.</w:t>
      </w:r>
    </w:p>
    <w:p>
      <w:pPr>
        <w:pStyle w:val="Heading2"/>
        <w:rPr/>
      </w:pPr>
      <w:r>
        <w:rPr/>
        <w:t>Dati Utilizzati</w:t>
      </w:r>
    </w:p>
    <w:p>
      <w:pPr>
        <w:pStyle w:val="BodyText"/>
        <w:rPr/>
      </w:pPr>
      <w:r>
        <w:rPr/>
        <w:t>I dati geospaziali sono tutti open data:</w:t>
      </w:r>
    </w:p>
    <w:tbl>
      <w:tblPr>
        <w:tblW w:w="9026" w:type="dxa"/>
        <w:jc w:val="start"/>
        <w:tblInd w:w="-5" w:type="dxa"/>
        <w:tblLayout w:type="fixed"/>
        <w:tblCellMar>
          <w:top w:w="55" w:type="dxa"/>
          <w:start w:w="55" w:type="dxa"/>
          <w:bottom w:w="55" w:type="dxa"/>
          <w:end w:w="55" w:type="dxa"/>
        </w:tblCellMar>
      </w:tblPr>
      <w:tblGrid>
        <w:gridCol w:w="3313"/>
        <w:gridCol w:w="1867"/>
        <w:gridCol w:w="3846"/>
      </w:tblGrid>
      <w:tr>
        <w:trPr>
          <w:tblHeader w:val="true"/>
        </w:trPr>
        <w:tc>
          <w:tcPr>
            <w:tcW w:w="3313" w:type="dxa"/>
            <w:tcBorders>
              <w:top w:val="single" w:sz="4" w:space="0" w:color="000000"/>
              <w:start w:val="single" w:sz="4" w:space="0" w:color="000000"/>
              <w:bottom w:val="single" w:sz="4" w:space="0" w:color="000000"/>
            </w:tcBorders>
            <w:vAlign w:val="center"/>
          </w:tcPr>
          <w:p>
            <w:pPr>
              <w:pStyle w:val="TableContents"/>
              <w:rPr/>
            </w:pPr>
            <w:r>
              <w:rPr/>
              <w:t>Sorgente</w:t>
            </w:r>
          </w:p>
        </w:tc>
        <w:tc>
          <w:tcPr>
            <w:tcW w:w="1867" w:type="dxa"/>
            <w:tcBorders>
              <w:top w:val="single" w:sz="4" w:space="0" w:color="000000"/>
              <w:start w:val="single" w:sz="4" w:space="0" w:color="000000"/>
              <w:bottom w:val="single" w:sz="4" w:space="0" w:color="000000"/>
            </w:tcBorders>
            <w:vAlign w:val="center"/>
          </w:tcPr>
          <w:p>
            <w:pPr>
              <w:pStyle w:val="TableContents"/>
              <w:rPr/>
            </w:pPr>
            <w:r>
              <w:rPr/>
              <w:t>Risoluzione</w:t>
            </w:r>
          </w:p>
        </w:tc>
        <w:tc>
          <w:tcPr>
            <w:tcW w:w="3846"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t>Utilizzo</w:t>
            </w:r>
          </w:p>
        </w:tc>
      </w:tr>
      <w:tr>
        <w:trPr/>
        <w:tc>
          <w:tcPr>
            <w:tcW w:w="3313" w:type="dxa"/>
            <w:tcBorders>
              <w:start w:val="single" w:sz="4" w:space="0" w:color="000000"/>
              <w:bottom w:val="single" w:sz="4" w:space="0" w:color="000000"/>
            </w:tcBorders>
            <w:vAlign w:val="center"/>
          </w:tcPr>
          <w:p>
            <w:pPr>
              <w:pStyle w:val="TableContents"/>
              <w:rPr/>
            </w:pPr>
            <w:r>
              <w:rPr/>
              <w:t>ISPRA IFFI (IdroGEO)</w:t>
            </w:r>
          </w:p>
        </w:tc>
        <w:tc>
          <w:tcPr>
            <w:tcW w:w="1867" w:type="dxa"/>
            <w:tcBorders>
              <w:start w:val="single" w:sz="4" w:space="0" w:color="000000"/>
              <w:bottom w:val="single" w:sz="4" w:space="0" w:color="000000"/>
            </w:tcBorders>
            <w:vAlign w:val="center"/>
          </w:tcPr>
          <w:p>
            <w:pPr>
              <w:pStyle w:val="TableContents"/>
              <w:rPr/>
            </w:pPr>
            <w:r>
              <w:rPr/>
              <w:t>Vettoriale 1:10.000</w:t>
            </w:r>
          </w:p>
        </w:tc>
        <w:tc>
          <w:tcPr>
            <w:tcW w:w="3846" w:type="dxa"/>
            <w:tcBorders>
              <w:start w:val="single" w:sz="4" w:space="0" w:color="000000"/>
              <w:bottom w:val="single" w:sz="4" w:space="0" w:color="000000"/>
              <w:end w:val="single" w:sz="4" w:space="0" w:color="000000"/>
            </w:tcBorders>
            <w:vAlign w:val="center"/>
          </w:tcPr>
          <w:p>
            <w:pPr>
              <w:pStyle w:val="TableContents"/>
              <w:rPr/>
            </w:pPr>
            <w:r>
              <w:rPr/>
              <w:t>Ground truth — poligoni frana (label=1)</w:t>
            </w:r>
          </w:p>
        </w:tc>
      </w:tr>
      <w:tr>
        <w:trPr/>
        <w:tc>
          <w:tcPr>
            <w:tcW w:w="3313" w:type="dxa"/>
            <w:tcBorders>
              <w:start w:val="single" w:sz="4" w:space="0" w:color="000000"/>
              <w:bottom w:val="single" w:sz="4" w:space="0" w:color="000000"/>
            </w:tcBorders>
            <w:vAlign w:val="center"/>
          </w:tcPr>
          <w:p>
            <w:pPr>
              <w:pStyle w:val="TableContents"/>
              <w:rPr/>
            </w:pPr>
            <w:r>
              <w:rPr/>
              <w:t>Copernicus GLO-30 DEM (ESA)</w:t>
            </w:r>
          </w:p>
        </w:tc>
        <w:tc>
          <w:tcPr>
            <w:tcW w:w="1867" w:type="dxa"/>
            <w:tcBorders>
              <w:start w:val="single" w:sz="4" w:space="0" w:color="000000"/>
              <w:bottom w:val="single" w:sz="4" w:space="0" w:color="000000"/>
            </w:tcBorders>
            <w:vAlign w:val="center"/>
          </w:tcPr>
          <w:p>
            <w:pPr>
              <w:pStyle w:val="TableContents"/>
              <w:rPr/>
            </w:pPr>
            <w:r>
              <w:rPr/>
              <w:t>30 m</w:t>
            </w:r>
          </w:p>
        </w:tc>
        <w:tc>
          <w:tcPr>
            <w:tcW w:w="3846" w:type="dxa"/>
            <w:tcBorders>
              <w:start w:val="single" w:sz="4" w:space="0" w:color="000000"/>
              <w:bottom w:val="single" w:sz="4" w:space="0" w:color="000000"/>
              <w:end w:val="single" w:sz="4" w:space="0" w:color="000000"/>
            </w:tcBorders>
            <w:vAlign w:val="center"/>
          </w:tcPr>
          <w:p>
            <w:pPr>
              <w:pStyle w:val="TableContents"/>
              <w:rPr/>
            </w:pPr>
            <w:r>
              <w:rPr/>
              <w:t>slope, aspect, TWI, curvature, flow accumulation</w:t>
            </w:r>
          </w:p>
        </w:tc>
      </w:tr>
      <w:tr>
        <w:trPr/>
        <w:tc>
          <w:tcPr>
            <w:tcW w:w="3313" w:type="dxa"/>
            <w:tcBorders>
              <w:start w:val="single" w:sz="4" w:space="0" w:color="000000"/>
              <w:bottom w:val="single" w:sz="4" w:space="0" w:color="000000"/>
            </w:tcBorders>
            <w:vAlign w:val="center"/>
          </w:tcPr>
          <w:p>
            <w:pPr>
              <w:pStyle w:val="TableContents"/>
              <w:rPr/>
            </w:pPr>
            <w:r>
              <w:rPr/>
              <w:t>Carta Geologica 1:100.000 (ISPRA SGI)</w:t>
            </w:r>
          </w:p>
        </w:tc>
        <w:tc>
          <w:tcPr>
            <w:tcW w:w="1867" w:type="dxa"/>
            <w:tcBorders>
              <w:start w:val="single" w:sz="4" w:space="0" w:color="000000"/>
              <w:bottom w:val="single" w:sz="4" w:space="0" w:color="000000"/>
            </w:tcBorders>
            <w:vAlign w:val="center"/>
          </w:tcPr>
          <w:p>
            <w:pPr>
              <w:pStyle w:val="TableContents"/>
              <w:rPr/>
            </w:pPr>
            <w:r>
              <w:rPr/>
              <w:t>Vettoriale 1:100.000</w:t>
            </w:r>
          </w:p>
        </w:tc>
        <w:tc>
          <w:tcPr>
            <w:tcW w:w="3846" w:type="dxa"/>
            <w:tcBorders>
              <w:start w:val="single" w:sz="4" w:space="0" w:color="000000"/>
              <w:bottom w:val="single" w:sz="4" w:space="0" w:color="000000"/>
              <w:end w:val="single" w:sz="4" w:space="0" w:color="000000"/>
            </w:tcBorders>
            <w:vAlign w:val="center"/>
          </w:tcPr>
          <w:p>
            <w:pPr>
              <w:pStyle w:val="TableContents"/>
              <w:rPr/>
            </w:pPr>
            <w:r>
              <w:rPr/>
              <w:t>Classi litologiche — 5 classi geotecniche</w:t>
            </w:r>
          </w:p>
        </w:tc>
      </w:tr>
      <w:tr>
        <w:trPr/>
        <w:tc>
          <w:tcPr>
            <w:tcW w:w="3313" w:type="dxa"/>
            <w:tcBorders>
              <w:start w:val="single" w:sz="4" w:space="0" w:color="000000"/>
              <w:bottom w:val="single" w:sz="4" w:space="0" w:color="000000"/>
            </w:tcBorders>
            <w:vAlign w:val="center"/>
          </w:tcPr>
          <w:p>
            <w:pPr>
              <w:pStyle w:val="TableContents"/>
              <w:rPr/>
            </w:pPr>
            <w:r>
              <w:rPr/>
              <w:t>CORINE Land Cover 2018 (Copernicus)</w:t>
            </w:r>
          </w:p>
        </w:tc>
        <w:tc>
          <w:tcPr>
            <w:tcW w:w="1867" w:type="dxa"/>
            <w:tcBorders>
              <w:start w:val="single" w:sz="4" w:space="0" w:color="000000"/>
              <w:bottom w:val="single" w:sz="4" w:space="0" w:color="000000"/>
            </w:tcBorders>
            <w:vAlign w:val="center"/>
          </w:tcPr>
          <w:p>
            <w:pPr>
              <w:pStyle w:val="TableContents"/>
              <w:rPr/>
            </w:pPr>
            <w:r>
              <w:rPr/>
              <w:t>100 m → 30 m</w:t>
            </w:r>
          </w:p>
        </w:tc>
        <w:tc>
          <w:tcPr>
            <w:tcW w:w="3846" w:type="dxa"/>
            <w:tcBorders>
              <w:start w:val="single" w:sz="4" w:space="0" w:color="000000"/>
              <w:bottom w:val="single" w:sz="4" w:space="0" w:color="000000"/>
              <w:end w:val="single" w:sz="4" w:space="0" w:color="000000"/>
            </w:tcBorders>
            <w:vAlign w:val="center"/>
          </w:tcPr>
          <w:p>
            <w:pPr>
              <w:pStyle w:val="TableContents"/>
              <w:rPr/>
            </w:pPr>
            <w:r>
              <w:rPr/>
              <w:t>Copertura del suolo (input KB + feature ML)</w:t>
            </w:r>
          </w:p>
        </w:tc>
      </w:tr>
      <w:tr>
        <w:trPr/>
        <w:tc>
          <w:tcPr>
            <w:tcW w:w="3313" w:type="dxa"/>
            <w:tcBorders>
              <w:start w:val="single" w:sz="4" w:space="0" w:color="000000"/>
              <w:bottom w:val="single" w:sz="4" w:space="0" w:color="000000"/>
            </w:tcBorders>
            <w:vAlign w:val="center"/>
          </w:tcPr>
          <w:p>
            <w:pPr>
              <w:pStyle w:val="TableContents"/>
              <w:rPr/>
            </w:pPr>
            <w:r>
              <w:rPr/>
              <w:t>OpenStreetMap / Geofabrik</w:t>
            </w:r>
          </w:p>
        </w:tc>
        <w:tc>
          <w:tcPr>
            <w:tcW w:w="1867" w:type="dxa"/>
            <w:tcBorders>
              <w:start w:val="single" w:sz="4" w:space="0" w:color="000000"/>
              <w:bottom w:val="single" w:sz="4" w:space="0" w:color="000000"/>
            </w:tcBorders>
            <w:vAlign w:val="center"/>
          </w:tcPr>
          <w:p>
            <w:pPr>
              <w:pStyle w:val="TableContents"/>
              <w:rPr/>
            </w:pPr>
            <w:r>
              <w:rPr/>
              <w:t>Vettoriale</w:t>
            </w:r>
          </w:p>
        </w:tc>
        <w:tc>
          <w:tcPr>
            <w:tcW w:w="3846" w:type="dxa"/>
            <w:tcBorders>
              <w:start w:val="single" w:sz="4" w:space="0" w:color="000000"/>
              <w:bottom w:val="single" w:sz="4" w:space="0" w:color="000000"/>
              <w:end w:val="single" w:sz="4" w:space="0" w:color="000000"/>
            </w:tcBorders>
            <w:vAlign w:val="center"/>
          </w:tcPr>
          <w:p>
            <w:pPr>
              <w:pStyle w:val="TableContents"/>
              <w:rPr/>
            </w:pPr>
            <w:r>
              <w:rPr/>
              <w:t>Distanza rete viaria (log-trasformata)</w:t>
            </w:r>
          </w:p>
        </w:tc>
      </w:tr>
      <w:tr>
        <w:trPr/>
        <w:tc>
          <w:tcPr>
            <w:tcW w:w="3313" w:type="dxa"/>
            <w:tcBorders>
              <w:start w:val="single" w:sz="4" w:space="0" w:color="000000"/>
              <w:bottom w:val="single" w:sz="4" w:space="0" w:color="000000"/>
            </w:tcBorders>
            <w:vAlign w:val="center"/>
          </w:tcPr>
          <w:p>
            <w:pPr>
              <w:pStyle w:val="TableContents"/>
              <w:rPr/>
            </w:pPr>
            <w:r>
              <w:rPr/>
              <w:t>Rete drenaggio (da DEM)</w:t>
            </w:r>
          </w:p>
        </w:tc>
        <w:tc>
          <w:tcPr>
            <w:tcW w:w="1867" w:type="dxa"/>
            <w:tcBorders>
              <w:start w:val="single" w:sz="4" w:space="0" w:color="000000"/>
              <w:bottom w:val="single" w:sz="4" w:space="0" w:color="000000"/>
            </w:tcBorders>
            <w:vAlign w:val="center"/>
          </w:tcPr>
          <w:p>
            <w:pPr>
              <w:pStyle w:val="TableContents"/>
              <w:rPr/>
            </w:pPr>
            <w:r>
              <w:rPr/>
              <w:t>30 m derivata</w:t>
            </w:r>
          </w:p>
        </w:tc>
        <w:tc>
          <w:tcPr>
            <w:tcW w:w="3846" w:type="dxa"/>
            <w:tcBorders>
              <w:start w:val="single" w:sz="4" w:space="0" w:color="000000"/>
              <w:bottom w:val="single" w:sz="4" w:space="0" w:color="000000"/>
              <w:end w:val="single" w:sz="4" w:space="0" w:color="000000"/>
            </w:tcBorders>
            <w:vAlign w:val="center"/>
          </w:tcPr>
          <w:p>
            <w:pPr>
              <w:pStyle w:val="TableContents"/>
              <w:rPr/>
            </w:pPr>
            <w:r>
              <w:rPr/>
              <w:t>Distanza rete idrografica</w:t>
            </w:r>
          </w:p>
        </w:tc>
      </w:tr>
    </w:tbl>
    <w:p>
      <w:pPr>
        <w:pStyle w:val="Heading2"/>
        <w:spacing w:before="0" w:after="283"/>
        <w:rPr>
          <w:color w:val="auto"/>
          <w:sz w:val="24"/>
          <w:szCs w:val="24"/>
        </w:rPr>
      </w:pPr>
      <w:r>
        <w:rPr>
          <w:color w:val="auto"/>
          <w:sz w:val="24"/>
          <w:szCs w:val="24"/>
        </w:rPr>
      </w:r>
    </w:p>
    <w:p>
      <w:pPr>
        <w:pStyle w:val="Heading2"/>
        <w:rPr/>
      </w:pPr>
      <w:r>
        <w:rPr/>
        <w:t>Decisioni di Progetto nella Pipeline</w:t>
      </w:r>
    </w:p>
    <w:p>
      <w:pPr>
        <w:pStyle w:val="Heading3"/>
        <w:rPr/>
      </w:pPr>
      <w:r>
        <w:rPr/>
        <w:t>Classificazione litologica</w:t>
      </w:r>
    </w:p>
    <w:p>
      <w:pPr>
        <w:pStyle w:val="BodyText"/>
        <w:rPr/>
      </w:pPr>
      <w:r>
        <w:rPr/>
        <w:t xml:space="preserve">La Carta Geologica 1:100.000 contiene 433 nomi di unità distinti su 19.286 poligoni: la stessa formazione riceve denominazioni diverse nei diversi fogli cartografici (artefatti da bordo foglio). Per rendere il dato utilizzabile dalla KB si è proceduto ad aggregare le unità in </w:t>
      </w:r>
      <w:r>
        <w:rPr>
          <w:rStyle w:val="Strong"/>
        </w:rPr>
        <w:t>5 classi geotecniche</w:t>
      </w:r>
      <w:r>
        <w:rPr/>
        <w:t xml:space="preserve"> omogenee per meccanismo di cedimento (Catani et al., 2013), tramite classificazione keyword-based con ordine di priorità. Il risultato copre il 97% dei poligoni; un filtro di maggioranza 3×3 pixel attenua gli artefatti residui sul raster.</w:t>
      </w:r>
    </w:p>
    <w:tbl>
      <w:tblPr>
        <w:tblW w:w="9026" w:type="dxa"/>
        <w:jc w:val="start"/>
        <w:tblInd w:w="-5" w:type="dxa"/>
        <w:tblLayout w:type="fixed"/>
        <w:tblCellMar>
          <w:top w:w="55" w:type="dxa"/>
          <w:start w:w="55" w:type="dxa"/>
          <w:bottom w:w="55" w:type="dxa"/>
          <w:end w:w="55" w:type="dxa"/>
        </w:tblCellMar>
      </w:tblPr>
      <w:tblGrid>
        <w:gridCol w:w="3001"/>
        <w:gridCol w:w="639"/>
        <w:gridCol w:w="3121"/>
        <w:gridCol w:w="2265"/>
      </w:tblGrid>
      <w:tr>
        <w:trPr>
          <w:tblHeader w:val="true"/>
        </w:trPr>
        <w:tc>
          <w:tcPr>
            <w:tcW w:w="3001" w:type="dxa"/>
            <w:tcBorders>
              <w:top w:val="single" w:sz="4" w:space="0" w:color="2A6099"/>
              <w:start w:val="single" w:sz="4" w:space="0" w:color="2A6099"/>
              <w:bottom w:val="single" w:sz="4" w:space="0" w:color="2A6099"/>
              <w:end w:val="single" w:sz="4" w:space="0" w:color="2A6099"/>
            </w:tcBorders>
            <w:shd w:fill="729FCF" w:val="clear"/>
            <w:vAlign w:val="center"/>
          </w:tcPr>
          <w:p>
            <w:pPr>
              <w:pStyle w:val="TableHeading"/>
              <w:rPr/>
            </w:pPr>
            <w:r>
              <w:rPr/>
              <w:t>Classe</w:t>
            </w:r>
          </w:p>
        </w:tc>
        <w:tc>
          <w:tcPr>
            <w:tcW w:w="639" w:type="dxa"/>
            <w:tcBorders>
              <w:top w:val="single" w:sz="4" w:space="0" w:color="2A6099"/>
              <w:start w:val="single" w:sz="4" w:space="0" w:color="2A6099"/>
              <w:bottom w:val="single" w:sz="4" w:space="0" w:color="2A6099"/>
              <w:end w:val="single" w:sz="4" w:space="0" w:color="2A6099"/>
            </w:tcBorders>
            <w:shd w:fill="729FCF" w:val="clear"/>
            <w:vAlign w:val="center"/>
          </w:tcPr>
          <w:p>
            <w:pPr>
              <w:pStyle w:val="TableHeading"/>
              <w:rPr/>
            </w:pPr>
            <w:r>
              <w:rPr/>
              <w:t>Cod.</w:t>
            </w:r>
          </w:p>
        </w:tc>
        <w:tc>
          <w:tcPr>
            <w:tcW w:w="3121" w:type="dxa"/>
            <w:tcBorders>
              <w:top w:val="single" w:sz="4" w:space="0" w:color="2A6099"/>
              <w:start w:val="single" w:sz="4" w:space="0" w:color="2A6099"/>
              <w:bottom w:val="single" w:sz="4" w:space="0" w:color="2A6099"/>
              <w:end w:val="single" w:sz="4" w:space="0" w:color="2A6099"/>
            </w:tcBorders>
            <w:shd w:fill="729FCF" w:val="clear"/>
            <w:vAlign w:val="center"/>
          </w:tcPr>
          <w:p>
            <w:pPr>
              <w:pStyle w:val="TableHeading"/>
              <w:rPr/>
            </w:pPr>
            <w:r>
              <w:rPr/>
              <w:t>Descrizione</w:t>
            </w:r>
          </w:p>
        </w:tc>
        <w:tc>
          <w:tcPr>
            <w:tcW w:w="2265" w:type="dxa"/>
            <w:tcBorders>
              <w:top w:val="single" w:sz="4" w:space="0" w:color="2A6099"/>
              <w:start w:val="single" w:sz="4" w:space="0" w:color="2A6099"/>
              <w:bottom w:val="single" w:sz="4" w:space="0" w:color="2A6099"/>
              <w:end w:val="single" w:sz="4" w:space="0" w:color="2A6099"/>
            </w:tcBorders>
            <w:shd w:fill="729FCF" w:val="clear"/>
            <w:vAlign w:val="center"/>
          </w:tcPr>
          <w:p>
            <w:pPr>
              <w:pStyle w:val="TableHeading"/>
              <w:rPr/>
            </w:pPr>
            <w:r>
              <w:rPr/>
              <w:t>Suscettibilità intrinseca</w:t>
            </w:r>
          </w:p>
        </w:tc>
      </w:tr>
      <w:tr>
        <w:trPr/>
        <w:tc>
          <w:tcPr>
            <w:tcW w:w="3001" w:type="dxa"/>
            <w:tcBorders>
              <w:start w:val="single" w:sz="4" w:space="0" w:color="000000"/>
              <w:bottom w:val="single" w:sz="4" w:space="0" w:color="000000"/>
            </w:tcBorders>
            <w:vAlign w:val="center"/>
          </w:tcPr>
          <w:p>
            <w:pPr>
              <w:pStyle w:val="TableContents"/>
              <w:rPr/>
            </w:pPr>
            <w:r>
              <w:rPr>
                <w:rStyle w:val="SourceText"/>
              </w:rPr>
              <w:t>unconsolidated_weak</w:t>
            </w:r>
          </w:p>
        </w:tc>
        <w:tc>
          <w:tcPr>
            <w:tcW w:w="639" w:type="dxa"/>
            <w:tcBorders>
              <w:start w:val="single" w:sz="4" w:space="0" w:color="000000"/>
              <w:bottom w:val="single" w:sz="4" w:space="0" w:color="000000"/>
            </w:tcBorders>
            <w:vAlign w:val="center"/>
          </w:tcPr>
          <w:p>
            <w:pPr>
              <w:pStyle w:val="TableContents"/>
              <w:rPr/>
            </w:pPr>
            <w:r>
              <w:rPr/>
              <w:t>1</w:t>
            </w:r>
          </w:p>
        </w:tc>
        <w:tc>
          <w:tcPr>
            <w:tcW w:w="3121" w:type="dxa"/>
            <w:tcBorders>
              <w:start w:val="single" w:sz="4" w:space="0" w:color="000000"/>
              <w:bottom w:val="single" w:sz="4" w:space="0" w:color="000000"/>
            </w:tcBorders>
            <w:vAlign w:val="center"/>
          </w:tcPr>
          <w:p>
            <w:pPr>
              <w:pStyle w:val="TableContents"/>
              <w:rPr/>
            </w:pPr>
            <w:r>
              <w:rPr/>
              <w:t>Depositi versante, alluvioni, suoli residuali</w:t>
            </w:r>
          </w:p>
        </w:tc>
        <w:tc>
          <w:tcPr>
            <w:tcW w:w="2265" w:type="dxa"/>
            <w:tcBorders>
              <w:start w:val="single" w:sz="4" w:space="0" w:color="000000"/>
              <w:bottom w:val="single" w:sz="4" w:space="0" w:color="000000"/>
              <w:end w:val="single" w:sz="4" w:space="0" w:color="000000"/>
            </w:tcBorders>
            <w:vAlign w:val="center"/>
          </w:tcPr>
          <w:p>
            <w:pPr>
              <w:pStyle w:val="TableContents"/>
              <w:rPr/>
            </w:pPr>
            <w:r>
              <w:rPr/>
              <w:t>Molto alta</w:t>
            </w:r>
          </w:p>
        </w:tc>
      </w:tr>
      <w:tr>
        <w:trPr/>
        <w:tc>
          <w:tcPr>
            <w:tcW w:w="3001" w:type="dxa"/>
            <w:tcBorders>
              <w:start w:val="single" w:sz="4" w:space="0" w:color="000000"/>
              <w:bottom w:val="single" w:sz="4" w:space="0" w:color="000000"/>
            </w:tcBorders>
            <w:vAlign w:val="center"/>
          </w:tcPr>
          <w:p>
            <w:pPr>
              <w:pStyle w:val="TableContents"/>
              <w:rPr/>
            </w:pPr>
            <w:r>
              <w:rPr>
                <w:rStyle w:val="SourceText"/>
              </w:rPr>
              <w:t>volcanic_pyroclastic</w:t>
            </w:r>
          </w:p>
        </w:tc>
        <w:tc>
          <w:tcPr>
            <w:tcW w:w="639" w:type="dxa"/>
            <w:tcBorders>
              <w:start w:val="single" w:sz="4" w:space="0" w:color="000000"/>
              <w:bottom w:val="single" w:sz="4" w:space="0" w:color="000000"/>
            </w:tcBorders>
            <w:vAlign w:val="center"/>
          </w:tcPr>
          <w:p>
            <w:pPr>
              <w:pStyle w:val="TableContents"/>
              <w:rPr/>
            </w:pPr>
            <w:r>
              <w:rPr/>
              <w:t>2</w:t>
            </w:r>
          </w:p>
        </w:tc>
        <w:tc>
          <w:tcPr>
            <w:tcW w:w="3121" w:type="dxa"/>
            <w:tcBorders>
              <w:start w:val="single" w:sz="4" w:space="0" w:color="000000"/>
              <w:bottom w:val="single" w:sz="4" w:space="0" w:color="000000"/>
            </w:tcBorders>
            <w:vAlign w:val="center"/>
          </w:tcPr>
          <w:p>
            <w:pPr>
              <w:pStyle w:val="TableContents"/>
              <w:rPr/>
            </w:pPr>
            <w:r>
              <w:rPr/>
              <w:t>Tufi, ignimbriti, lave, piroclastiti</w:t>
            </w:r>
          </w:p>
        </w:tc>
        <w:tc>
          <w:tcPr>
            <w:tcW w:w="2265" w:type="dxa"/>
            <w:tcBorders>
              <w:start w:val="single" w:sz="4" w:space="0" w:color="000000"/>
              <w:bottom w:val="single" w:sz="4" w:space="0" w:color="000000"/>
              <w:end w:val="single" w:sz="4" w:space="0" w:color="000000"/>
            </w:tcBorders>
            <w:vAlign w:val="center"/>
          </w:tcPr>
          <w:p>
            <w:pPr>
              <w:pStyle w:val="TableContents"/>
              <w:rPr/>
            </w:pPr>
            <w:r>
              <w:rPr/>
              <w:t>Alta</w:t>
            </w:r>
          </w:p>
        </w:tc>
      </w:tr>
      <w:tr>
        <w:trPr/>
        <w:tc>
          <w:tcPr>
            <w:tcW w:w="3001" w:type="dxa"/>
            <w:tcBorders>
              <w:start w:val="single" w:sz="4" w:space="0" w:color="000000"/>
              <w:bottom w:val="single" w:sz="4" w:space="0" w:color="000000"/>
            </w:tcBorders>
            <w:vAlign w:val="center"/>
          </w:tcPr>
          <w:p>
            <w:pPr>
              <w:pStyle w:val="TableContents"/>
              <w:rPr/>
            </w:pPr>
            <w:r>
              <w:rPr>
                <w:rStyle w:val="SourceText"/>
              </w:rPr>
              <w:t>flysch_clastic</w:t>
            </w:r>
          </w:p>
        </w:tc>
        <w:tc>
          <w:tcPr>
            <w:tcW w:w="639" w:type="dxa"/>
            <w:tcBorders>
              <w:start w:val="single" w:sz="4" w:space="0" w:color="000000"/>
              <w:bottom w:val="single" w:sz="4" w:space="0" w:color="000000"/>
            </w:tcBorders>
            <w:vAlign w:val="center"/>
          </w:tcPr>
          <w:p>
            <w:pPr>
              <w:pStyle w:val="TableContents"/>
              <w:rPr/>
            </w:pPr>
            <w:r>
              <w:rPr/>
              <w:t>3</w:t>
            </w:r>
          </w:p>
        </w:tc>
        <w:tc>
          <w:tcPr>
            <w:tcW w:w="3121" w:type="dxa"/>
            <w:tcBorders>
              <w:start w:val="single" w:sz="4" w:space="0" w:color="000000"/>
              <w:bottom w:val="single" w:sz="4" w:space="0" w:color="000000"/>
            </w:tcBorders>
            <w:vAlign w:val="center"/>
          </w:tcPr>
          <w:p>
            <w:pPr>
              <w:pStyle w:val="TableContents"/>
              <w:rPr/>
            </w:pPr>
            <w:r>
              <w:rPr/>
              <w:t>Argille, marne, arenarie, flysch</w:t>
            </w:r>
          </w:p>
        </w:tc>
        <w:tc>
          <w:tcPr>
            <w:tcW w:w="2265" w:type="dxa"/>
            <w:tcBorders>
              <w:start w:val="single" w:sz="4" w:space="0" w:color="000000"/>
              <w:bottom w:val="single" w:sz="4" w:space="0" w:color="000000"/>
              <w:end w:val="single" w:sz="4" w:space="0" w:color="000000"/>
            </w:tcBorders>
            <w:vAlign w:val="center"/>
          </w:tcPr>
          <w:p>
            <w:pPr>
              <w:pStyle w:val="TableContents"/>
              <w:rPr/>
            </w:pPr>
            <w:r>
              <w:rPr/>
              <w:t>Alta</w:t>
            </w:r>
          </w:p>
        </w:tc>
      </w:tr>
      <w:tr>
        <w:trPr/>
        <w:tc>
          <w:tcPr>
            <w:tcW w:w="3001" w:type="dxa"/>
            <w:tcBorders>
              <w:start w:val="single" w:sz="4" w:space="0" w:color="000000"/>
              <w:bottom w:val="single" w:sz="4" w:space="0" w:color="000000"/>
            </w:tcBorders>
            <w:vAlign w:val="center"/>
          </w:tcPr>
          <w:p>
            <w:pPr>
              <w:pStyle w:val="TableContents"/>
              <w:rPr/>
            </w:pPr>
            <w:r>
              <w:rPr>
                <w:rStyle w:val="SourceText"/>
              </w:rPr>
              <w:t>competent_clastic</w:t>
            </w:r>
          </w:p>
        </w:tc>
        <w:tc>
          <w:tcPr>
            <w:tcW w:w="639" w:type="dxa"/>
            <w:tcBorders>
              <w:start w:val="single" w:sz="4" w:space="0" w:color="000000"/>
              <w:bottom w:val="single" w:sz="4" w:space="0" w:color="000000"/>
            </w:tcBorders>
            <w:vAlign w:val="center"/>
          </w:tcPr>
          <w:p>
            <w:pPr>
              <w:pStyle w:val="TableContents"/>
              <w:rPr/>
            </w:pPr>
            <w:r>
              <w:rPr/>
              <w:t>4</w:t>
            </w:r>
          </w:p>
        </w:tc>
        <w:tc>
          <w:tcPr>
            <w:tcW w:w="3121" w:type="dxa"/>
            <w:tcBorders>
              <w:start w:val="single" w:sz="4" w:space="0" w:color="000000"/>
              <w:bottom w:val="single" w:sz="4" w:space="0" w:color="000000"/>
            </w:tcBorders>
            <w:vAlign w:val="center"/>
          </w:tcPr>
          <w:p>
            <w:pPr>
              <w:pStyle w:val="TableContents"/>
              <w:rPr/>
            </w:pPr>
            <w:r>
              <w:rPr/>
              <w:t>Conglomerati, brecce cementate</w:t>
            </w:r>
          </w:p>
        </w:tc>
        <w:tc>
          <w:tcPr>
            <w:tcW w:w="2265" w:type="dxa"/>
            <w:tcBorders>
              <w:start w:val="single" w:sz="4" w:space="0" w:color="000000"/>
              <w:bottom w:val="single" w:sz="4" w:space="0" w:color="000000"/>
              <w:end w:val="single" w:sz="4" w:space="0" w:color="000000"/>
            </w:tcBorders>
            <w:vAlign w:val="center"/>
          </w:tcPr>
          <w:p>
            <w:pPr>
              <w:pStyle w:val="TableContents"/>
              <w:rPr/>
            </w:pPr>
            <w:r>
              <w:rPr/>
              <w:t>Media</w:t>
            </w:r>
          </w:p>
        </w:tc>
      </w:tr>
      <w:tr>
        <w:trPr>
          <w:trHeight w:val="109" w:hRule="atLeast"/>
        </w:trPr>
        <w:tc>
          <w:tcPr>
            <w:tcW w:w="3001" w:type="dxa"/>
            <w:tcBorders>
              <w:start w:val="single" w:sz="4" w:space="0" w:color="000000"/>
              <w:bottom w:val="single" w:sz="4" w:space="0" w:color="000000"/>
            </w:tcBorders>
            <w:vAlign w:val="center"/>
          </w:tcPr>
          <w:p>
            <w:pPr>
              <w:pStyle w:val="TableContents"/>
              <w:rPr/>
            </w:pPr>
            <w:r>
              <w:rPr>
                <w:rStyle w:val="SourceText"/>
              </w:rPr>
              <w:t>hard_rock</w:t>
            </w:r>
          </w:p>
        </w:tc>
        <w:tc>
          <w:tcPr>
            <w:tcW w:w="639" w:type="dxa"/>
            <w:tcBorders>
              <w:start w:val="single" w:sz="4" w:space="0" w:color="000000"/>
              <w:bottom w:val="single" w:sz="4" w:space="0" w:color="000000"/>
            </w:tcBorders>
            <w:vAlign w:val="center"/>
          </w:tcPr>
          <w:p>
            <w:pPr>
              <w:pStyle w:val="TableContents"/>
              <w:rPr/>
            </w:pPr>
            <w:r>
              <w:rPr/>
              <w:t>5</w:t>
            </w:r>
          </w:p>
        </w:tc>
        <w:tc>
          <w:tcPr>
            <w:tcW w:w="3121" w:type="dxa"/>
            <w:tcBorders>
              <w:start w:val="single" w:sz="4" w:space="0" w:color="000000"/>
              <w:bottom w:val="single" w:sz="4" w:space="0" w:color="000000"/>
            </w:tcBorders>
            <w:vAlign w:val="center"/>
          </w:tcPr>
          <w:p>
            <w:pPr>
              <w:pStyle w:val="TableContents"/>
              <w:rPr/>
            </w:pPr>
            <w:r>
              <w:rPr/>
              <w:t>Calcari, dolomie</w:t>
            </w:r>
          </w:p>
        </w:tc>
        <w:tc>
          <w:tcPr>
            <w:tcW w:w="2265" w:type="dxa"/>
            <w:tcBorders>
              <w:start w:val="single" w:sz="4" w:space="0" w:color="000000"/>
              <w:bottom w:val="single" w:sz="4" w:space="0" w:color="000000"/>
              <w:end w:val="single" w:sz="4" w:space="0" w:color="000000"/>
            </w:tcBorders>
            <w:vAlign w:val="center"/>
          </w:tcPr>
          <w:p>
            <w:pPr>
              <w:pStyle w:val="TableContents"/>
              <w:rPr/>
            </w:pPr>
            <w:r>
              <w:rPr/>
              <w:t>Bassa</w:t>
            </w:r>
          </w:p>
        </w:tc>
      </w:tr>
    </w:tbl>
    <w:p>
      <w:pPr>
        <w:pStyle w:val="Heading3"/>
        <w:rPr/>
      </w:pPr>
      <w:r>
        <w:rPr/>
        <w:t>Derivazione morfometrica e rete di drenaggio</w:t>
      </w:r>
    </w:p>
    <w:p>
      <w:pPr>
        <w:pStyle w:val="BodyText"/>
        <w:rPr/>
      </w:pPr>
      <w:r>
        <w:rPr/>
        <w:t xml:space="preserve">Slope e aspect sono calcolati con </w:t>
      </w:r>
      <w:r>
        <w:rPr>
          <w:rStyle w:val="SourceText"/>
        </w:rPr>
        <w:t>pysheds</w:t>
      </w:r>
      <w:r>
        <w:rPr/>
        <w:t xml:space="preserve"> sul DEM in EPSG:32633 (UTM 33N). TWI = ln(flow_accumulation / tan(slope)); curvature calcolate con </w:t>
      </w:r>
      <w:r>
        <w:rPr>
          <w:rStyle w:val="SourceText"/>
        </w:rPr>
        <w:t>scipy.ndimage</w:t>
      </w:r>
      <w:r>
        <w:rPr/>
        <w:t xml:space="preserve">. La rete di drenaggio è estratta dal DEM con soglia flow_accumulation &gt; 1000 celle upstream (~0,9 km²). La distanza euclidea è calcolata con </w:t>
      </w:r>
      <w:r>
        <w:rPr>
          <w:rStyle w:val="SourceText"/>
        </w:rPr>
        <w:t>scipy.ndimage.distance_transform_edt</w:t>
      </w:r>
      <w:r>
        <w:rPr/>
        <w:t>; la distanza da strade OSM è log-trasformata — log(1 + dist_m) — per attenuare l'effetto a grandi distanze.</w:t>
      </w:r>
    </w:p>
    <w:p>
      <w:pPr>
        <w:pStyle w:val="Heading3"/>
        <w:rPr/>
      </w:pPr>
      <w:r>
        <w:rPr/>
        <w:t>Motivazione della struttura combinata delle regole</w:t>
      </w:r>
    </w:p>
    <w:p>
      <w:pPr>
        <w:pStyle w:val="BodyText"/>
        <w:rPr/>
      </w:pPr>
      <w:r>
        <w:rPr/>
        <w:t xml:space="preserve">L'analisi esplorativa ha rivelato un apparente paradosso: il tasso grezzo di frana per classe litologica mostrava </w:t>
      </w:r>
      <w:r>
        <w:rPr>
          <w:rStyle w:val="SourceText"/>
        </w:rPr>
        <w:t>volcanic_pyroclastic</w:t>
      </w:r>
      <w:r>
        <w:rPr/>
        <w:t xml:space="preserve"> con solo il 3% di pixel in frana (il più basso), mentre </w:t>
      </w:r>
      <w:r>
        <w:rPr>
          <w:rStyle w:val="SourceText"/>
        </w:rPr>
        <w:t>flysch_clastic</w:t>
      </w:r>
      <w:r>
        <w:rPr/>
        <w:t xml:space="preserve"> raggiungeva il 30%. La spiegazione risiede nella distribuzione topografica: i pixel vulcanici in Campania sono concentrati nella piana dei Campi Flegrei (pendenza media 6,1°), dove il cedimento di versante è impossibile a prescindere dalla litologia. Il modello corretto non è quindi </w:t>
      </w:r>
      <w:r>
        <w:rPr>
          <w:rStyle w:val="Emphasis"/>
        </w:rPr>
        <w:t>litologia → suscettibilità</w:t>
      </w:r>
      <w:r>
        <w:rPr/>
        <w:t xml:space="preserve"> ma </w:t>
      </w:r>
      <w:r>
        <w:rPr>
          <w:rStyle w:val="Strong"/>
        </w:rPr>
        <w:t>litologia × pendenza → suscettibilità</w:t>
      </w:r>
      <w:r>
        <w:rPr/>
        <w:t>, il che giustifica la struttura combinata delle regole Prolog descritta nel seguito.</w:t>
      </w:r>
    </w:p>
    <w:p>
      <w:pPr>
        <w:pStyle w:val="Heading2"/>
        <w:rPr/>
      </w:pPr>
      <w:r>
        <w:rPr/>
        <w:t>Struttura della Knowledge Base</w:t>
      </w:r>
    </w:p>
    <w:p>
      <w:pPr>
        <w:pStyle w:val="BodyText"/>
        <w:rPr/>
      </w:pPr>
      <w:r>
        <w:rPr/>
        <w:t xml:space="preserve">La KB è nel file </w:t>
      </w:r>
      <w:r>
        <w:rPr>
          <w:rStyle w:val="SourceText"/>
        </w:rPr>
        <w:t>src/kb/landslide_kb.pl</w:t>
      </w:r>
      <w:r>
        <w:rPr/>
        <w:t xml:space="preserve">, caricata a runtime via </w:t>
      </w:r>
      <w:r>
        <w:rPr>
          <w:rStyle w:val="SourceText"/>
        </w:rPr>
        <w:t>prolog.consult()</w:t>
      </w:r>
      <w:r>
        <w:rPr/>
        <w:t xml:space="preserve"> con path assoluto.</w:t>
      </w:r>
    </w:p>
    <w:p>
      <w:pPr>
        <w:pStyle w:val="Heading3"/>
        <w:rPr/>
      </w:pPr>
      <w:r>
        <w:rPr/>
        <w:t>Fatti (15)</w:t>
      </w:r>
    </w:p>
    <w:p>
      <w:pPr>
        <w:pStyle w:val="BodyText"/>
        <w:rPr/>
      </w:pPr>
      <w:r>
        <w:rPr/>
        <w:t>I fatti codificano la conoscenza di dominio sotto forma di clausole atomiche (clausole definite con corpo vuoto):</w:t>
      </w:r>
    </w:p>
    <w:p>
      <w:pPr>
        <w:pStyle w:val="PreformattedText"/>
        <w:rPr>
          <w:rFonts w:ascii="Arial" w:hAnsi="Arial" w:eastAsia="Arial" w:cs="Arial"/>
          <w:sz w:val="24"/>
          <w:szCs w:val="24"/>
        </w:rPr>
      </w:pPr>
      <w:r>
        <w:rPr>
          <w:rStyle w:val="SourceText"/>
          <w:rFonts w:ascii="Arial" w:hAnsi="Arial"/>
          <w:sz w:val="24"/>
          <w:szCs w:val="24"/>
        </w:rPr>
        <w:tab/>
      </w:r>
      <w:r>
        <w:rPr>
          <w:rStyle w:val="SourceText"/>
          <w:rFonts w:ascii="Adwaita Mono" w:hAnsi="Adwaita Mono"/>
          <w:sz w:val="22"/>
          <w:szCs w:val="22"/>
        </w:rPr>
        <w:t xml:space="preserve">% Soglie pendenza per litologia (mediana IFFI, derivate </w:t>
        <w:tab/>
        <w:t>empiricamente)</w:t>
      </w:r>
    </w:p>
    <w:p>
      <w:pPr>
        <w:pStyle w:val="PreformattedText"/>
        <w:rPr/>
      </w:pPr>
      <w:r>
        <w:rPr>
          <w:rStyle w:val="SourceText"/>
          <w:rFonts w:ascii="Adwaita Mono" w:hAnsi="Adwaita Mono"/>
          <w:sz w:val="22"/>
          <w:szCs w:val="22"/>
        </w:rPr>
        <w:tab/>
        <w:t>critical_slope(hard_rock, 18.0).</w:t>
      </w:r>
    </w:p>
    <w:p>
      <w:pPr>
        <w:pStyle w:val="PreformattedText"/>
        <w:rPr/>
      </w:pPr>
      <w:r>
        <w:rPr>
          <w:rStyle w:val="SourceText"/>
          <w:rFonts w:ascii="Adwaita Mono" w:hAnsi="Adwaita Mono"/>
          <w:sz w:val="22"/>
          <w:szCs w:val="22"/>
        </w:rPr>
        <w:tab/>
        <w:t>critical_slope(competent_clastic, 11.0).</w:t>
      </w:r>
    </w:p>
    <w:p>
      <w:pPr>
        <w:pStyle w:val="PreformattedText"/>
        <w:rPr/>
      </w:pPr>
      <w:r>
        <w:rPr>
          <w:rStyle w:val="SourceText"/>
          <w:rFonts w:ascii="Adwaita Mono" w:hAnsi="Adwaita Mono"/>
          <w:sz w:val="22"/>
          <w:szCs w:val="22"/>
        </w:rPr>
        <w:tab/>
        <w:t>critical_slope(flysch_clastic, 10.0).</w:t>
      </w:r>
    </w:p>
    <w:p>
      <w:pPr>
        <w:pStyle w:val="PreformattedText"/>
        <w:rPr/>
      </w:pPr>
      <w:r>
        <w:rPr>
          <w:rStyle w:val="SourceText"/>
          <w:rFonts w:ascii="Adwaita Mono" w:hAnsi="Adwaita Mono"/>
          <w:sz w:val="22"/>
          <w:szCs w:val="22"/>
        </w:rPr>
        <w:tab/>
        <w:t>critical_slope(unconsolidated_weak, 9.0).</w:t>
      </w:r>
    </w:p>
    <w:p>
      <w:pPr>
        <w:pStyle w:val="PreformattedText"/>
        <w:rPr/>
      </w:pPr>
      <w:r>
        <w:rPr>
          <w:rStyle w:val="SourceText"/>
          <w:rFonts w:ascii="Adwaita Mono" w:hAnsi="Adwaita Mono"/>
          <w:sz w:val="22"/>
          <w:szCs w:val="22"/>
        </w:rPr>
        <w:tab/>
        <w:t>critical_slope(volcanic_pyroclastic, 9.0).</w:t>
      </w:r>
    </w:p>
    <w:p>
      <w:pPr>
        <w:pStyle w:val="PreformattedText"/>
        <w:rPr/>
      </w:pPr>
      <w:r>
        <w:rPr>
          <w:rStyle w:val="SourceText"/>
          <w:rFonts w:ascii="Adwaita Mono" w:hAnsi="Adwaita Mono"/>
          <w:sz w:val="22"/>
          <w:szCs w:val="22"/>
        </w:rPr>
        <w:tab/>
        <w:t>critical_slope(unknown, 10.0).</w:t>
      </w:r>
    </w:p>
    <w:p>
      <w:pPr>
        <w:pStyle w:val="PreformattedText"/>
        <w:rPr>
          <w:rFonts w:ascii="Adwaita Mono" w:hAnsi="Adwaita Mono" w:eastAsia="Arial" w:cs="Arial"/>
          <w:sz w:val="22"/>
          <w:szCs w:val="22"/>
        </w:rPr>
      </w:pPr>
      <w:r>
        <w:rPr>
          <w:rFonts w:eastAsia="Arial" w:cs="Arial" w:ascii="Adwaita Mono" w:hAnsi="Adwaita Mono"/>
          <w:sz w:val="22"/>
          <w:szCs w:val="22"/>
        </w:rPr>
      </w:r>
    </w:p>
    <w:p>
      <w:pPr>
        <w:pStyle w:val="PreformattedText"/>
        <w:rPr/>
      </w:pPr>
      <w:r>
        <w:rPr>
          <w:rStyle w:val="SourceText"/>
          <w:rFonts w:ascii="Adwaita Mono" w:hAnsi="Adwaita Mono"/>
          <w:sz w:val="22"/>
          <w:szCs w:val="22"/>
        </w:rPr>
        <w:tab/>
        <w:t>% Classi geotecnicamente deboli (Catani et al., 2013)</w:t>
      </w:r>
    </w:p>
    <w:p>
      <w:pPr>
        <w:pStyle w:val="PreformattedText"/>
        <w:rPr/>
      </w:pPr>
      <w:r>
        <w:rPr>
          <w:rStyle w:val="SourceText"/>
          <w:rFonts w:ascii="Adwaita Mono" w:hAnsi="Adwaita Mono"/>
          <w:sz w:val="22"/>
          <w:szCs w:val="22"/>
        </w:rPr>
        <w:tab/>
        <w:t>weak_material(unconsolidated_weak).</w:t>
      </w:r>
    </w:p>
    <w:p>
      <w:pPr>
        <w:pStyle w:val="PreformattedText"/>
        <w:rPr/>
      </w:pPr>
      <w:r>
        <w:rPr>
          <w:rStyle w:val="SourceText"/>
          <w:rFonts w:ascii="Adwaita Mono" w:hAnsi="Adwaita Mono"/>
          <w:sz w:val="22"/>
          <w:szCs w:val="22"/>
        </w:rPr>
        <w:tab/>
        <w:t>weak_material(volcanic_pyroclastic).</w:t>
      </w:r>
    </w:p>
    <w:p>
      <w:pPr>
        <w:pStyle w:val="PreformattedText"/>
        <w:rPr/>
      </w:pPr>
      <w:r>
        <w:rPr>
          <w:rStyle w:val="SourceText"/>
          <w:rFonts w:ascii="Adwaita Mono" w:hAnsi="Adwaita Mono"/>
          <w:sz w:val="22"/>
          <w:szCs w:val="22"/>
        </w:rPr>
        <w:tab/>
        <w:t>weak_material(flysch_clastic).</w:t>
      </w:r>
    </w:p>
    <w:p>
      <w:pPr>
        <w:pStyle w:val="PreformattedText"/>
        <w:rPr>
          <w:rFonts w:ascii="Adwaita Mono" w:hAnsi="Adwaita Mono" w:eastAsia="Arial" w:cs="Arial"/>
          <w:sz w:val="22"/>
          <w:szCs w:val="22"/>
        </w:rPr>
      </w:pPr>
      <w:r>
        <w:rPr>
          <w:rFonts w:eastAsia="Arial" w:cs="Arial" w:ascii="Adwaita Mono" w:hAnsi="Adwaita Mono"/>
          <w:sz w:val="22"/>
          <w:szCs w:val="22"/>
        </w:rPr>
      </w:r>
    </w:p>
    <w:p>
      <w:pPr>
        <w:pStyle w:val="PreformattedText"/>
        <w:rPr/>
      </w:pPr>
      <w:r>
        <w:rPr>
          <w:rStyle w:val="SourceText"/>
          <w:rFonts w:ascii="Adwaita Mono" w:hAnsi="Adwaita Mono"/>
          <w:sz w:val="22"/>
          <w:szCs w:val="22"/>
        </w:rPr>
        <w:tab/>
        <w:t xml:space="preserve">% Soglia prossimità drenaggio in metri (Corominas et al., </w:t>
        <w:tab/>
        <w:t>2014)</w:t>
      </w:r>
    </w:p>
    <w:p>
      <w:pPr>
        <w:pStyle w:val="PreformattedText"/>
        <w:rPr/>
      </w:pPr>
      <w:r>
        <w:rPr>
          <w:rStyle w:val="SourceText"/>
          <w:rFonts w:ascii="Adwaita Mono" w:hAnsi="Adwaita Mono"/>
          <w:sz w:val="22"/>
          <w:szCs w:val="22"/>
        </w:rPr>
        <w:tab/>
        <w:t>drainage_risk_threshold(200.0).</w:t>
      </w:r>
    </w:p>
    <w:p>
      <w:pPr>
        <w:pStyle w:val="PreformattedText"/>
        <w:rPr>
          <w:rFonts w:ascii="Adwaita Mono" w:hAnsi="Adwaita Mono" w:eastAsia="Arial" w:cs="Arial"/>
          <w:sz w:val="22"/>
          <w:szCs w:val="22"/>
        </w:rPr>
      </w:pPr>
      <w:r>
        <w:rPr>
          <w:rFonts w:eastAsia="Arial" w:cs="Arial" w:ascii="Adwaita Mono" w:hAnsi="Adwaita Mono"/>
          <w:sz w:val="22"/>
          <w:szCs w:val="22"/>
        </w:rPr>
      </w:r>
    </w:p>
    <w:p>
      <w:pPr>
        <w:pStyle w:val="PreformattedText"/>
        <w:rPr/>
      </w:pPr>
      <w:r>
        <w:rPr>
          <w:rStyle w:val="SourceText"/>
          <w:rFonts w:ascii="Adwaita Mono" w:hAnsi="Adwaita Mono"/>
          <w:sz w:val="22"/>
          <w:szCs w:val="22"/>
        </w:rPr>
        <w:tab/>
        <w:t xml:space="preserve">% Copertura stabilizzante/destabilizzante (Löbmann et </w:t>
        <w:tab/>
        <w:t>al., 2020)</w:t>
      </w:r>
    </w:p>
    <w:p>
      <w:pPr>
        <w:pStyle w:val="PreformattedText"/>
        <w:rPr/>
      </w:pPr>
      <w:r>
        <w:rPr>
          <w:rStyle w:val="SourceText"/>
          <w:rFonts w:ascii="Adwaita Mono" w:hAnsi="Adwaita Mono"/>
          <w:sz w:val="22"/>
          <w:szCs w:val="22"/>
        </w:rPr>
        <w:tab/>
        <w:t xml:space="preserve">stabilizing_cover(311).  stabilizing_cover(312).  </w:t>
        <w:tab/>
        <w:t>stabilizing_cover(313).</w:t>
      </w:r>
    </w:p>
    <w:p>
      <w:pPr>
        <w:pStyle w:val="PreformattedText"/>
        <w:rPr/>
      </w:pPr>
      <w:r>
        <w:rPr>
          <w:rStyle w:val="SourceText"/>
          <w:rFonts w:ascii="Adwaita Mono" w:hAnsi="Adwaita Mono"/>
          <w:sz w:val="22"/>
          <w:szCs w:val="22"/>
        </w:rPr>
        <w:tab/>
        <w:t>destabilizing_cover(331). destabilizing_cover(332).</w:t>
      </w:r>
    </w:p>
    <w:p>
      <w:pPr>
        <w:pStyle w:val="PreformattedText"/>
        <w:spacing w:before="0" w:after="283"/>
        <w:rPr/>
      </w:pPr>
      <w:r>
        <w:rPr>
          <w:rStyle w:val="SourceText"/>
          <w:rFonts w:ascii="Adwaita Mono" w:hAnsi="Adwaita Mono"/>
          <w:sz w:val="22"/>
          <w:szCs w:val="22"/>
        </w:rPr>
        <w:tab/>
        <w:t>destabilizing_cover(333). destabilizing_cover(334).</w:t>
      </w:r>
    </w:p>
    <w:p>
      <w:pPr>
        <w:pStyle w:val="Heading3"/>
        <w:rPr/>
      </w:pPr>
      <w:r>
        <w:rPr/>
        <w:t>Regole livello 1: condizioni atomiche (5 regole)</w:t>
      </w:r>
    </w:p>
    <w:p>
      <w:pPr>
        <w:pStyle w:val="BodyText"/>
        <w:rPr/>
      </w:pPr>
      <w:r>
        <w:rPr/>
        <w:t xml:space="preserve">Ciascuna regola è una clausola definita della forma </w:t>
      </w:r>
      <w:r>
        <w:rPr>
          <w:rStyle w:val="SourceText"/>
        </w:rPr>
        <w:t>h ← a₁ ∧ ... ∧ aₘ</w:t>
      </w:r>
      <w:r>
        <w:rPr/>
        <w:t xml:space="preserve"> che verifica una singola condizione predisponente:</w:t>
      </w:r>
    </w:p>
    <w:p>
      <w:pPr>
        <w:pStyle w:val="PreformattedText"/>
        <w:rPr>
          <w:rFonts w:ascii="Arial" w:hAnsi="Arial" w:eastAsia="Arial" w:cs="Arial"/>
          <w:sz w:val="24"/>
          <w:szCs w:val="24"/>
        </w:rPr>
      </w:pPr>
      <w:r>
        <w:rPr>
          <w:rStyle w:val="SourceText"/>
          <w:rFonts w:ascii="Arial" w:hAnsi="Arial"/>
          <w:sz w:val="22"/>
          <w:szCs w:val="22"/>
        </w:rPr>
        <w:tab/>
      </w:r>
      <w:r>
        <w:rPr>
          <w:rStyle w:val="SourceText"/>
          <w:rFonts w:ascii="Adwaita Mono" w:hAnsi="Adwaita Mono"/>
          <w:sz w:val="22"/>
          <w:szCs w:val="22"/>
        </w:rPr>
        <w:t>slope_susceptible(L, S)    :- critical_slope(L, T), S &gt; T.</w:t>
      </w:r>
    </w:p>
    <w:p>
      <w:pPr>
        <w:pStyle w:val="PreformattedText"/>
        <w:rPr/>
      </w:pPr>
      <w:r>
        <w:rPr>
          <w:rStyle w:val="SourceText"/>
          <w:rFonts w:ascii="Adwaita Mono" w:hAnsi="Adwaita Mono"/>
          <w:sz w:val="22"/>
          <w:szCs w:val="22"/>
        </w:rPr>
        <w:tab/>
        <w:t>material_susceptible(L, S) :- weak_material(L), S &gt; 5.0.</w:t>
      </w:r>
    </w:p>
    <w:p>
      <w:pPr>
        <w:pStyle w:val="PreformattedText"/>
        <w:rPr/>
      </w:pPr>
      <w:r>
        <w:rPr>
          <w:rStyle w:val="SourceText"/>
          <w:rFonts w:ascii="Adwaita Mono" w:hAnsi="Adwaita Mono"/>
          <w:sz w:val="22"/>
          <w:szCs w:val="22"/>
        </w:rPr>
        <w:tab/>
        <w:t xml:space="preserve">drainage_susceptible(L, D) :- weak_material(L), </w:t>
        <w:tab/>
        <w:t>drainage_risk_threshold(T), D &lt; T.</w:t>
      </w:r>
    </w:p>
    <w:p>
      <w:pPr>
        <w:pStyle w:val="PreformattedText"/>
        <w:rPr/>
      </w:pPr>
      <w:r>
        <w:rPr>
          <w:rStyle w:val="SourceText"/>
          <w:rFonts w:ascii="Adwaita Mono" w:hAnsi="Adwaita Mono"/>
          <w:sz w:val="22"/>
          <w:szCs w:val="22"/>
        </w:rPr>
        <w:tab/>
        <w:t>cover_destabilized(C)      :- destabilizing_cover(C).</w:t>
      </w:r>
    </w:p>
    <w:p>
      <w:pPr>
        <w:pStyle w:val="PreformattedText"/>
        <w:spacing w:before="0" w:after="283"/>
        <w:rPr/>
      </w:pPr>
      <w:r>
        <w:rPr>
          <w:rStyle w:val="SourceText"/>
          <w:rFonts w:ascii="Adwaita Mono" w:hAnsi="Adwaita Mono"/>
          <w:sz w:val="22"/>
          <w:szCs w:val="22"/>
        </w:rPr>
        <w:tab/>
        <w:t>cover_stabilized(C)        :- stabilizing_cover(C).</w:t>
      </w:r>
    </w:p>
    <w:p>
      <w:pPr>
        <w:pStyle w:val="Heading3"/>
        <w:rPr/>
      </w:pPr>
      <w:r>
        <w:rPr/>
        <w:t>Regole livello 2: classificazione combinata (6 regole, di cui 3 clausole di Horn)</w:t>
      </w:r>
    </w:p>
    <w:p>
      <w:pPr>
        <w:pStyle w:val="BodyText"/>
        <w:rPr/>
      </w:pPr>
      <w:r>
        <w:rPr/>
        <w:t xml:space="preserve">Questo livello implementa il cuore del ragionamento. Le regole assegnano la classe di suscettibilità combinando le condizioni atomiche del livello 1. L'ordine delle clausole è significativo: Prolog tenta la risoluzione SLD dall'alto verso il basso, per cui le regole per </w:t>
      </w:r>
      <w:r>
        <w:rPr>
          <w:rStyle w:val="SourceText"/>
        </w:rPr>
        <w:t>high</w:t>
      </w:r>
      <w:r>
        <w:rPr/>
        <w:t xml:space="preserve"> precedono quelle per </w:t>
      </w:r>
      <w:r>
        <w:rPr>
          <w:rStyle w:val="SourceText"/>
        </w:rPr>
        <w:t>medium</w:t>
      </w:r>
      <w:r>
        <w:rPr/>
        <w:t xml:space="preserve">, che a loro volta precedono il fallback </w:t>
      </w:r>
      <w:r>
        <w:rPr>
          <w:rStyle w:val="SourceText"/>
        </w:rPr>
        <w:t>low</w:t>
      </w:r>
      <w:r>
        <w:rPr/>
        <w:t>.</w:t>
      </w:r>
    </w:p>
    <w:p>
      <w:pPr>
        <w:pStyle w:val="PreformattedText"/>
        <w:rPr>
          <w:rFonts w:ascii="Arial" w:hAnsi="Arial" w:eastAsia="Arial" w:cs="Arial"/>
          <w:sz w:val="24"/>
          <w:szCs w:val="24"/>
        </w:rPr>
      </w:pPr>
      <w:r>
        <w:rPr>
          <w:rStyle w:val="SourceText"/>
          <w:rFonts w:ascii="Arial" w:hAnsi="Arial"/>
          <w:sz w:val="24"/>
          <w:szCs w:val="24"/>
        </w:rPr>
        <w:tab/>
      </w:r>
      <w:r>
        <w:rPr>
          <w:rStyle w:val="SourceText"/>
          <w:rFonts w:ascii="Adwaita Mono" w:hAnsi="Adwaita Mono"/>
          <w:sz w:val="22"/>
          <w:szCs w:val="22"/>
        </w:rPr>
        <w:t>% HIGH: pendenza critica + materiale debole</w:t>
      </w:r>
    </w:p>
    <w:p>
      <w:pPr>
        <w:pStyle w:val="PreformattedText"/>
        <w:rPr/>
      </w:pPr>
      <w:r>
        <w:rPr>
          <w:rStyle w:val="SourceText"/>
          <w:rFonts w:ascii="Adwaita Mono" w:hAnsi="Adwaita Mono"/>
          <w:sz w:val="22"/>
          <w:szCs w:val="22"/>
        </w:rPr>
        <w:tab/>
        <w:t>kb_susceptibility(L, S, _, _, high) :-</w:t>
      </w:r>
    </w:p>
    <w:p>
      <w:pPr>
        <w:pStyle w:val="PreformattedText"/>
        <w:rPr/>
      </w:pPr>
      <w:r>
        <w:rPr>
          <w:rStyle w:val="SourceText"/>
          <w:rFonts w:ascii="Adwaita Mono" w:hAnsi="Adwaita Mono"/>
          <w:sz w:val="22"/>
          <w:szCs w:val="22"/>
        </w:rPr>
        <w:t xml:space="preserve">    </w:t>
      </w:r>
      <w:r>
        <w:rPr>
          <w:rStyle w:val="SourceText"/>
          <w:rFonts w:ascii="Adwaita Mono" w:hAnsi="Adwaita Mono"/>
          <w:sz w:val="22"/>
          <w:szCs w:val="22"/>
        </w:rPr>
        <w:tab/>
        <w:tab/>
        <w:t>slope_susceptible(L, S), weak_material(L).</w:t>
      </w:r>
    </w:p>
    <w:p>
      <w:pPr>
        <w:pStyle w:val="PreformattedText"/>
        <w:rPr>
          <w:rFonts w:ascii="Adwaita Mono" w:hAnsi="Adwaita Mono" w:eastAsia="Arial" w:cs="Arial"/>
          <w:sz w:val="22"/>
          <w:szCs w:val="22"/>
        </w:rPr>
      </w:pPr>
      <w:r>
        <w:rPr>
          <w:rFonts w:eastAsia="Arial" w:cs="Arial" w:ascii="Adwaita Mono" w:hAnsi="Adwaita Mono"/>
          <w:sz w:val="22"/>
          <w:szCs w:val="22"/>
        </w:rPr>
      </w:r>
    </w:p>
    <w:p>
      <w:pPr>
        <w:pStyle w:val="PreformattedText"/>
        <w:rPr/>
      </w:pPr>
      <w:r>
        <w:rPr>
          <w:rStyle w:val="SourceText"/>
          <w:rFonts w:ascii="Adwaita Mono" w:hAnsi="Adwaita Mono"/>
          <w:sz w:val="22"/>
          <w:szCs w:val="22"/>
        </w:rPr>
        <w:tab/>
        <w:t xml:space="preserve">% HIGH: pendenza critica + prossimità drenaggio </w:t>
        <w:tab/>
        <w:t>(materiale debole)</w:t>
      </w:r>
    </w:p>
    <w:p>
      <w:pPr>
        <w:pStyle w:val="PreformattedText"/>
        <w:rPr/>
      </w:pPr>
      <w:r>
        <w:rPr>
          <w:rStyle w:val="SourceText"/>
          <w:rFonts w:ascii="Adwaita Mono" w:hAnsi="Adwaita Mono"/>
          <w:sz w:val="22"/>
          <w:szCs w:val="22"/>
        </w:rPr>
        <w:tab/>
        <w:t>kb_susceptibility(L, S, D, _, high) :-</w:t>
      </w:r>
    </w:p>
    <w:p>
      <w:pPr>
        <w:pStyle w:val="PreformattedText"/>
        <w:rPr/>
      </w:pPr>
      <w:r>
        <w:rPr>
          <w:rStyle w:val="SourceText"/>
          <w:rFonts w:ascii="Adwaita Mono" w:hAnsi="Adwaita Mono"/>
          <w:sz w:val="22"/>
          <w:szCs w:val="22"/>
        </w:rPr>
        <w:t xml:space="preserve">    </w:t>
      </w:r>
      <w:r>
        <w:rPr>
          <w:rStyle w:val="SourceText"/>
          <w:rFonts w:ascii="Adwaita Mono" w:hAnsi="Adwaita Mono"/>
          <w:sz w:val="22"/>
          <w:szCs w:val="22"/>
        </w:rPr>
        <w:tab/>
        <w:tab/>
        <w:t>slope_susceptible(L, S), drainage_susceptible(L, D).</w:t>
      </w:r>
    </w:p>
    <w:p>
      <w:pPr>
        <w:pStyle w:val="PreformattedText"/>
        <w:rPr>
          <w:rFonts w:ascii="Adwaita Mono" w:hAnsi="Adwaita Mono" w:eastAsia="Arial" w:cs="Arial"/>
          <w:sz w:val="22"/>
          <w:szCs w:val="22"/>
        </w:rPr>
      </w:pPr>
      <w:r>
        <w:rPr>
          <w:rFonts w:eastAsia="Arial" w:cs="Arial" w:ascii="Adwaita Mono" w:hAnsi="Adwaita Mono"/>
          <w:sz w:val="22"/>
          <w:szCs w:val="22"/>
        </w:rPr>
      </w:r>
    </w:p>
    <w:p>
      <w:pPr>
        <w:pStyle w:val="PreformattedText"/>
        <w:rPr/>
      </w:pPr>
      <w:r>
        <w:rPr>
          <w:rStyle w:val="SourceText"/>
          <w:rFonts w:ascii="Adwaita Mono" w:hAnsi="Adwaita Mono"/>
          <w:sz w:val="22"/>
          <w:szCs w:val="22"/>
        </w:rPr>
        <w:tab/>
        <w:t xml:space="preserve">% HIGH: pendenza critica + copertura destabilizzante </w:t>
        <w:tab/>
        <w:t>(materiale NON debole)</w:t>
      </w:r>
    </w:p>
    <w:p>
      <w:pPr>
        <w:pStyle w:val="PreformattedText"/>
        <w:rPr/>
      </w:pPr>
      <w:r>
        <w:rPr>
          <w:rStyle w:val="SourceText"/>
          <w:rFonts w:ascii="Adwaita Mono" w:hAnsi="Adwaita Mono"/>
          <w:sz w:val="22"/>
          <w:szCs w:val="22"/>
        </w:rPr>
        <w:tab/>
        <w:t>kb_susceptibility(L, S, _, C, high) :-</w:t>
      </w:r>
    </w:p>
    <w:p>
      <w:pPr>
        <w:pStyle w:val="PreformattedText"/>
        <w:rPr/>
      </w:pPr>
      <w:r>
        <w:rPr>
          <w:rStyle w:val="SourceText"/>
          <w:rFonts w:ascii="Adwaita Mono" w:hAnsi="Adwaita Mono"/>
          <w:sz w:val="22"/>
          <w:szCs w:val="22"/>
        </w:rPr>
        <w:t xml:space="preserve">    </w:t>
      </w:r>
      <w:r>
        <w:rPr>
          <w:rStyle w:val="SourceText"/>
          <w:rFonts w:ascii="Adwaita Mono" w:hAnsi="Adwaita Mono"/>
          <w:sz w:val="22"/>
          <w:szCs w:val="22"/>
        </w:rPr>
        <w:tab/>
        <w:tab/>
        <w:t xml:space="preserve">slope_susceptible(L, S), cover_destabilized(C), \+ </w:t>
        <w:tab/>
        <w:t>weak_material(L).</w:t>
      </w:r>
    </w:p>
    <w:p>
      <w:pPr>
        <w:pStyle w:val="PreformattedText"/>
        <w:rPr>
          <w:rFonts w:ascii="Adwaita Mono" w:hAnsi="Adwaita Mono" w:eastAsia="Arial" w:cs="Arial"/>
          <w:sz w:val="22"/>
          <w:szCs w:val="22"/>
        </w:rPr>
      </w:pPr>
      <w:r>
        <w:rPr>
          <w:rFonts w:eastAsia="Arial" w:cs="Arial" w:ascii="Adwaita Mono" w:hAnsi="Adwaita Mono"/>
          <w:sz w:val="22"/>
          <w:szCs w:val="22"/>
        </w:rPr>
      </w:r>
    </w:p>
    <w:p>
      <w:pPr>
        <w:pStyle w:val="PreformattedText"/>
        <w:rPr/>
      </w:pPr>
      <w:r>
        <w:rPr>
          <w:rStyle w:val="SourceText"/>
          <w:rFonts w:ascii="Adwaita Mono" w:hAnsi="Adwaita Mono"/>
          <w:sz w:val="22"/>
          <w:szCs w:val="22"/>
        </w:rPr>
        <w:tab/>
        <w:t xml:space="preserve">% MEDIUM: pendenza critica ma nessuna condizione </w:t>
        <w:tab/>
        <w:t>aggravante (materiale NON debole)</w:t>
      </w:r>
    </w:p>
    <w:p>
      <w:pPr>
        <w:pStyle w:val="PreformattedText"/>
        <w:rPr/>
      </w:pPr>
      <w:r>
        <w:rPr>
          <w:rStyle w:val="SourceText"/>
          <w:rFonts w:ascii="Adwaita Mono" w:hAnsi="Adwaita Mono"/>
          <w:sz w:val="22"/>
          <w:szCs w:val="22"/>
        </w:rPr>
        <w:tab/>
        <w:t>kb_susceptibility(L, S, _, C, medium) :-</w:t>
      </w:r>
    </w:p>
    <w:p>
      <w:pPr>
        <w:pStyle w:val="PreformattedText"/>
        <w:rPr/>
      </w:pPr>
      <w:r>
        <w:rPr>
          <w:rStyle w:val="SourceText"/>
          <w:rFonts w:ascii="Adwaita Mono" w:hAnsi="Adwaita Mono"/>
          <w:sz w:val="22"/>
          <w:szCs w:val="22"/>
        </w:rPr>
        <w:t xml:space="preserve">    </w:t>
      </w:r>
      <w:r>
        <w:rPr>
          <w:rStyle w:val="SourceText"/>
          <w:rFonts w:ascii="Adwaita Mono" w:hAnsi="Adwaita Mono"/>
          <w:sz w:val="22"/>
          <w:szCs w:val="22"/>
        </w:rPr>
        <w:tab/>
        <w:tab/>
        <w:t xml:space="preserve">slope_susceptible(L, S), \+ weak_material(L), \+ </w:t>
        <w:tab/>
        <w:t>cover_destabilized(C).</w:t>
      </w:r>
    </w:p>
    <w:p>
      <w:pPr>
        <w:pStyle w:val="PreformattedText"/>
        <w:rPr>
          <w:rFonts w:ascii="Adwaita Mono" w:hAnsi="Adwaita Mono" w:eastAsia="Arial" w:cs="Arial"/>
          <w:sz w:val="22"/>
          <w:szCs w:val="22"/>
        </w:rPr>
      </w:pPr>
      <w:r>
        <w:rPr>
          <w:rFonts w:eastAsia="Arial" w:cs="Arial" w:ascii="Adwaita Mono" w:hAnsi="Adwaita Mono"/>
          <w:sz w:val="22"/>
          <w:szCs w:val="22"/>
        </w:rPr>
      </w:r>
    </w:p>
    <w:p>
      <w:pPr>
        <w:pStyle w:val="PreformattedText"/>
        <w:rPr/>
      </w:pPr>
      <w:r>
        <w:rPr>
          <w:rStyle w:val="SourceText"/>
          <w:rFonts w:ascii="Adwaita Mono" w:hAnsi="Adwaita Mono"/>
          <w:sz w:val="22"/>
          <w:szCs w:val="22"/>
        </w:rPr>
        <w:tab/>
        <w:t xml:space="preserve">% MEDIUM: materiale debole su pendenza bassa (&gt; 5° ma </w:t>
        <w:tab/>
        <w:t>sotto soglia critica)</w:t>
      </w:r>
    </w:p>
    <w:p>
      <w:pPr>
        <w:pStyle w:val="PreformattedText"/>
        <w:rPr/>
      </w:pPr>
      <w:r>
        <w:rPr>
          <w:rStyle w:val="SourceText"/>
          <w:rFonts w:ascii="Adwaita Mono" w:hAnsi="Adwaita Mono"/>
          <w:sz w:val="22"/>
          <w:szCs w:val="22"/>
        </w:rPr>
        <w:tab/>
        <w:t>kb_susceptibility(L, S, _, _, medium) :-</w:t>
      </w:r>
    </w:p>
    <w:p>
      <w:pPr>
        <w:pStyle w:val="PreformattedText"/>
        <w:rPr/>
      </w:pPr>
      <w:r>
        <w:rPr>
          <w:rStyle w:val="SourceText"/>
          <w:rFonts w:ascii="Adwaita Mono" w:hAnsi="Adwaita Mono"/>
          <w:sz w:val="22"/>
          <w:szCs w:val="22"/>
        </w:rPr>
        <w:t xml:space="preserve">    </w:t>
      </w:r>
      <w:r>
        <w:rPr>
          <w:rStyle w:val="SourceText"/>
          <w:rFonts w:ascii="Adwaita Mono" w:hAnsi="Adwaita Mono"/>
          <w:sz w:val="22"/>
          <w:szCs w:val="22"/>
        </w:rPr>
        <w:tab/>
        <w:t xml:space="preserve">  material_susceptible(L, S), \+ slope_susceptible(L, S).</w:t>
      </w:r>
    </w:p>
    <w:p>
      <w:pPr>
        <w:pStyle w:val="PreformattedText"/>
        <w:rPr>
          <w:rFonts w:ascii="Adwaita Mono" w:hAnsi="Adwaita Mono" w:eastAsia="Arial" w:cs="Arial"/>
          <w:sz w:val="22"/>
          <w:szCs w:val="22"/>
        </w:rPr>
      </w:pPr>
      <w:r>
        <w:rPr>
          <w:rFonts w:eastAsia="Arial" w:cs="Arial" w:ascii="Adwaita Mono" w:hAnsi="Adwaita Mono"/>
          <w:sz w:val="22"/>
          <w:szCs w:val="22"/>
        </w:rPr>
      </w:r>
    </w:p>
    <w:p>
      <w:pPr>
        <w:pStyle w:val="PreformattedText"/>
        <w:rPr/>
      </w:pPr>
      <w:r>
        <w:rPr>
          <w:rStyle w:val="SourceText"/>
          <w:rFonts w:ascii="Adwaita Mono" w:hAnsi="Adwaita Mono"/>
          <w:sz w:val="22"/>
          <w:szCs w:val="22"/>
        </w:rPr>
        <w:tab/>
        <w:t>% LOW: fallback — nessuna condizione attivata</w:t>
      </w:r>
    </w:p>
    <w:p>
      <w:pPr>
        <w:pStyle w:val="PreformattedText"/>
        <w:spacing w:before="0" w:after="283"/>
        <w:rPr/>
      </w:pPr>
      <w:r>
        <w:rPr>
          <w:rStyle w:val="SourceText"/>
          <w:rFonts w:ascii="Adwaita Mono" w:hAnsi="Adwaita Mono"/>
          <w:sz w:val="22"/>
          <w:szCs w:val="22"/>
        </w:rPr>
        <w:tab/>
        <w:t>kb_susceptibility(_, _, _, _, low).</w:t>
      </w:r>
    </w:p>
    <w:p>
      <w:pPr>
        <w:pStyle w:val="BodyText"/>
        <w:rPr/>
      </w:pPr>
      <w:r>
        <w:rPr/>
        <w:t xml:space="preserve">Le tre clausole che usano </w:t>
      </w:r>
      <w:r>
        <w:rPr>
          <w:rStyle w:val="SourceText"/>
        </w:rPr>
        <w:t>\+</w:t>
      </w:r>
      <w:r>
        <w:rPr/>
        <w:t xml:space="preserve"> (negation-as-failure, NAF) sono </w:t>
      </w:r>
      <w:r>
        <w:rPr>
          <w:rStyle w:val="Strong"/>
        </w:rPr>
        <w:t>clausole di Horn</w:t>
      </w:r>
      <w:r>
        <w:rPr/>
        <w:t xml:space="preserve">: la NAF corrisponde a verificare che un certo atomo non sia dimostrabile dalla KB, trasformando la clausola definita in un vincolo implicito. Come trattato nella teoria (§4.7 delle dispense), la NAF implementa l'assunzione di mondo chiuso (CWA): se </w:t>
      </w:r>
      <w:r>
        <w:rPr>
          <w:rStyle w:val="SourceText"/>
        </w:rPr>
        <w:t>weak_material(L)</w:t>
      </w:r>
      <w:r>
        <w:rPr/>
        <w:t xml:space="preserve"> non è dimostrabile per un dato </w:t>
      </w:r>
      <w:r>
        <w:rPr>
          <w:rStyle w:val="SourceText"/>
        </w:rPr>
        <w:t>L</w:t>
      </w:r>
      <w:r>
        <w:rPr/>
        <w:t xml:space="preserve">, si conclude che il materiale non è debole. La KB è </w:t>
      </w:r>
      <w:r>
        <w:rPr>
          <w:rStyle w:val="Strong"/>
        </w:rPr>
        <w:t>aciclica</w:t>
      </w:r>
      <w:r>
        <w:rPr/>
        <w:t>, il che garantisce che il completamento di Clark sia consistente e che la NAF termini sempre.</w:t>
      </w:r>
    </w:p>
    <w:p>
      <w:pPr>
        <w:pStyle w:val="Heading3"/>
        <w:spacing w:before="0" w:after="283"/>
        <w:rPr>
          <w:rFonts w:ascii="Arial" w:hAnsi="Arial" w:eastAsia="Arial" w:cs="Arial"/>
          <w:color w:val="auto"/>
        </w:rPr>
      </w:pPr>
      <w:r>
        <w:rPr>
          <w:rFonts w:eastAsia="Arial" w:cs="Arial" w:ascii="Arial" w:hAnsi="Arial"/>
          <w:color w:val="auto"/>
        </w:rPr>
        <w:t>Regole livello 3: encoding numerico (3 regole)</w:t>
      </w:r>
    </w:p>
    <w:p>
      <w:pPr>
        <w:pStyle w:val="PreformattedText"/>
        <w:rPr>
          <w:rFonts w:ascii="Arial" w:hAnsi="Arial" w:eastAsia="Arial" w:cs="Arial"/>
          <w:sz w:val="24"/>
          <w:szCs w:val="24"/>
        </w:rPr>
      </w:pPr>
      <w:r>
        <w:rPr>
          <w:rStyle w:val="SourceText"/>
          <w:rFonts w:ascii="Arial" w:hAnsi="Arial"/>
          <w:sz w:val="24"/>
          <w:szCs w:val="24"/>
        </w:rPr>
        <w:tab/>
        <w:t>s</w:t>
      </w:r>
      <w:r>
        <w:rPr>
          <w:rStyle w:val="SourceText"/>
          <w:rFonts w:ascii="Adwaita Mono" w:hAnsi="Adwaita Mono"/>
          <w:sz w:val="22"/>
          <w:szCs w:val="22"/>
        </w:rPr>
        <w:t xml:space="preserve">usceptibility_score(L, S, D, C, 2) :- </w:t>
        <w:tab/>
        <w:t>kb_susceptibility(L, S, D, C, high).</w:t>
      </w:r>
    </w:p>
    <w:p>
      <w:pPr>
        <w:pStyle w:val="PreformattedText"/>
        <w:rPr/>
      </w:pPr>
      <w:r>
        <w:rPr>
          <w:rStyle w:val="SourceText"/>
          <w:rFonts w:ascii="Adwaita Mono" w:hAnsi="Adwaita Mono"/>
          <w:sz w:val="22"/>
          <w:szCs w:val="22"/>
        </w:rPr>
        <w:tab/>
      </w:r>
    </w:p>
    <w:p>
      <w:pPr>
        <w:pStyle w:val="PreformattedText"/>
        <w:rPr/>
      </w:pPr>
      <w:r>
        <w:rPr>
          <w:rStyle w:val="SourceText"/>
          <w:rFonts w:ascii="Adwaita Mono" w:hAnsi="Adwaita Mono"/>
          <w:sz w:val="22"/>
          <w:szCs w:val="22"/>
        </w:rPr>
        <w:tab/>
        <w:t xml:space="preserve">susceptibility_score(L, S, D, C, 1) :- </w:t>
        <w:tab/>
        <w:t>kb_susceptibility(L, S, D, C, medium).</w:t>
      </w:r>
    </w:p>
    <w:p>
      <w:pPr>
        <w:pStyle w:val="PreformattedText"/>
        <w:rPr>
          <w:rFonts w:ascii="Adwaita Mono" w:hAnsi="Adwaita Mono" w:eastAsia="Arial" w:cs="Arial"/>
          <w:sz w:val="22"/>
          <w:szCs w:val="22"/>
        </w:rPr>
      </w:pPr>
      <w:r>
        <w:rPr>
          <w:rFonts w:eastAsia="Arial" w:cs="Arial" w:ascii="Adwaita Mono" w:hAnsi="Adwaita Mono"/>
          <w:sz w:val="22"/>
          <w:szCs w:val="22"/>
        </w:rPr>
      </w:r>
    </w:p>
    <w:p>
      <w:pPr>
        <w:pStyle w:val="PreformattedText"/>
        <w:spacing w:before="0" w:after="283"/>
        <w:rPr/>
      </w:pPr>
      <w:r>
        <w:rPr>
          <w:rStyle w:val="SourceText"/>
          <w:rFonts w:ascii="Adwaita Mono" w:hAnsi="Adwaita Mono"/>
          <w:sz w:val="22"/>
          <w:szCs w:val="22"/>
        </w:rPr>
        <w:tab/>
        <w:t>susceptibility_score(_, _, _, _, 0).</w:t>
      </w:r>
    </w:p>
    <w:p>
      <w:pPr>
        <w:pStyle w:val="BodyText"/>
        <w:rPr/>
      </w:pPr>
      <w:r>
        <w:rPr/>
        <w:t>Queste regole traducono l'output simbolico (</w:t>
      </w:r>
      <w:r>
        <w:rPr>
          <w:rStyle w:val="SourceText"/>
        </w:rPr>
        <w:t>high</w:t>
      </w:r>
      <w:r>
        <w:rPr/>
        <w:t xml:space="preserve">, </w:t>
      </w:r>
      <w:r>
        <w:rPr>
          <w:rStyle w:val="SourceText"/>
        </w:rPr>
        <w:t>medium</w:t>
      </w:r>
      <w:r>
        <w:rPr/>
        <w:t xml:space="preserve">, </w:t>
      </w:r>
      <w:r>
        <w:rPr>
          <w:rStyle w:val="SourceText"/>
        </w:rPr>
        <w:t>low</w:t>
      </w:r>
      <w:r>
        <w:rPr/>
        <w:t>) in un valore numerico utilizzabile come feature dai modelli ML.</w:t>
      </w:r>
    </w:p>
    <w:p>
      <w:pPr>
        <w:pStyle w:val="Heading2"/>
        <w:rPr/>
      </w:pPr>
      <w:r>
        <w:rPr/>
        <w:t>Catena di Inferenza</w:t>
      </w:r>
    </w:p>
    <w:p>
      <w:pPr>
        <w:pStyle w:val="BodyText"/>
        <w:rPr/>
      </w:pPr>
      <w:r>
        <w:rPr/>
        <w:t xml:space="preserve">Ogni query </w:t>
      </w:r>
      <w:r>
        <w:rPr>
          <w:rStyle w:val="SourceText"/>
        </w:rPr>
        <w:t>susceptibility_score(L, S, D, C, Score)</w:t>
      </w:r>
      <w:r>
        <w:rPr/>
        <w:t xml:space="preserve"> attiva una dimostrazione </w:t>
      </w:r>
      <w:r>
        <w:rPr>
          <w:rStyle w:val="Strong"/>
        </w:rPr>
        <w:t>top-down</w:t>
      </w:r>
      <w:r>
        <w:rPr/>
        <w:t xml:space="preserve"> (risoluzione SLD) su quattro livelli:</w:t>
      </w:r>
    </w:p>
    <w:p>
      <w:pPr>
        <w:pStyle w:val="BodyText"/>
        <w:numPr>
          <w:ilvl w:val="0"/>
          <w:numId w:val="1"/>
        </w:numPr>
        <w:tabs>
          <w:tab w:val="clear" w:pos="720"/>
          <w:tab w:val="left" w:pos="0" w:leader="none"/>
        </w:tabs>
        <w:spacing w:before="0" w:after="0"/>
        <w:ind w:hanging="283" w:start="709"/>
        <w:rPr/>
      </w:pPr>
      <w:r>
        <w:rPr>
          <w:rStyle w:val="Strong"/>
        </w:rPr>
        <w:t>Fatti</w:t>
      </w:r>
      <w:r>
        <w:rPr/>
        <w:t>: il motore Prolog unifica i parametri con i fatti (</w:t>
      </w:r>
      <w:r>
        <w:rPr>
          <w:rStyle w:val="SourceText"/>
        </w:rPr>
        <w:t>critical_slope/2</w:t>
      </w:r>
      <w:r>
        <w:rPr/>
        <w:t xml:space="preserve">, </w:t>
      </w:r>
      <w:r>
        <w:rPr>
          <w:rStyle w:val="SourceText"/>
        </w:rPr>
        <w:t>weak_material/1</w:t>
      </w:r>
      <w:r>
        <w:rPr/>
        <w:t xml:space="preserve">, ecc.) </w:t>
      </w:r>
    </w:p>
    <w:p>
      <w:pPr>
        <w:pStyle w:val="BodyText"/>
        <w:numPr>
          <w:ilvl w:val="0"/>
          <w:numId w:val="1"/>
        </w:numPr>
        <w:tabs>
          <w:tab w:val="clear" w:pos="720"/>
          <w:tab w:val="left" w:pos="0" w:leader="none"/>
        </w:tabs>
        <w:spacing w:before="0" w:after="0"/>
        <w:ind w:hanging="283" w:start="709"/>
        <w:rPr/>
      </w:pPr>
      <w:r>
        <w:rPr>
          <w:rStyle w:val="Strong"/>
        </w:rPr>
        <w:t>Regole livello 1</w:t>
      </w:r>
      <w:r>
        <w:rPr/>
        <w:t xml:space="preserve">: verifica delle condizioni atomiche (confronti numerici e lookup) </w:t>
      </w:r>
    </w:p>
    <w:p>
      <w:pPr>
        <w:pStyle w:val="BodyText"/>
        <w:numPr>
          <w:ilvl w:val="0"/>
          <w:numId w:val="1"/>
        </w:numPr>
        <w:tabs>
          <w:tab w:val="clear" w:pos="720"/>
          <w:tab w:val="left" w:pos="0" w:leader="none"/>
        </w:tabs>
        <w:spacing w:before="0" w:after="0"/>
        <w:ind w:hanging="283" w:start="709"/>
        <w:rPr/>
      </w:pPr>
      <w:r>
        <w:rPr>
          <w:rStyle w:val="Strong"/>
        </w:rPr>
        <w:t>Regole livello 2</w:t>
      </w:r>
      <w:r>
        <w:rPr/>
        <w:t>: classificazione combinata con branching condizionale; la NAF (</w:t>
      </w:r>
      <w:r>
        <w:rPr>
          <w:rStyle w:val="SourceText"/>
        </w:rPr>
        <w:t>\+</w:t>
      </w:r>
      <w:r>
        <w:rPr/>
        <w:t xml:space="preserve">) innesca sotto-dimostrazioni che possono avere successo o fallire </w:t>
      </w:r>
    </w:p>
    <w:p>
      <w:pPr>
        <w:pStyle w:val="BodyText"/>
        <w:numPr>
          <w:ilvl w:val="0"/>
          <w:numId w:val="1"/>
        </w:numPr>
        <w:tabs>
          <w:tab w:val="clear" w:pos="720"/>
          <w:tab w:val="left" w:pos="0" w:leader="none"/>
        </w:tabs>
        <w:ind w:hanging="283" w:start="709"/>
        <w:rPr/>
      </w:pPr>
      <w:r>
        <w:rPr>
          <w:rStyle w:val="Strong"/>
        </w:rPr>
        <w:t>Regole livello 3</w:t>
      </w:r>
      <w:r>
        <w:rPr/>
        <w:t xml:space="preserve">: mapping simbolico → numerico </w:t>
      </w:r>
    </w:p>
    <w:p>
      <w:pPr>
        <w:pStyle w:val="BodyText"/>
        <w:rPr/>
      </w:pPr>
      <w:r>
        <w:rPr/>
        <w:t xml:space="preserve">Il risultato è </w:t>
      </w:r>
      <w:r>
        <w:rPr>
          <w:rStyle w:val="Strong"/>
        </w:rPr>
        <w:t>output derivato</w:t>
      </w:r>
      <w:r>
        <w:rPr/>
        <w:t>: il punteggio numerico non è mai esplicitamente memorizzato nella KB ma viene calcolato per ogni query attraverso la catena inferenziale. Questo corrisponde alla relazione KB ⊢ g della teoria della dimostrazione: dato un pixel con attributi (L, S, D, C), il sistema dimostra quale score ne segue logicamente.</w:t>
      </w:r>
    </w:p>
    <w:p>
      <w:pPr>
        <w:pStyle w:val="Heading2"/>
        <w:rPr/>
      </w:pPr>
      <w:r>
        <w:rPr/>
        <w:t>Scelte Progettuali</w:t>
      </w:r>
    </w:p>
    <w:p>
      <w:pPr>
        <w:pStyle w:val="Heading3"/>
        <w:rPr/>
      </w:pPr>
      <w:r>
        <w:rPr/>
        <w:t>Soglie di pendenza critica</w:t>
      </w:r>
    </w:p>
    <w:p>
      <w:pPr>
        <w:pStyle w:val="BodyText"/>
        <w:rPr/>
      </w:pPr>
      <w:r>
        <w:rPr/>
        <w:t xml:space="preserve">Le soglie sono derivate empiricamente dalla </w:t>
      </w:r>
      <w:r>
        <w:rPr>
          <w:rStyle w:val="Strong"/>
        </w:rPr>
        <w:t>mediana della pendenza dei pixel IFFI</w:t>
      </w:r>
      <w:r>
        <w:rPr/>
        <w:t xml:space="preserve"> (inventario frane) per ciascuna classe litologica, approccio analogo a Catani et al. (2013). Sono impostate leggermente sotto la mediana per catturare condizioni necessarie non sufficienti:</w:t>
      </w:r>
    </w:p>
    <w:tbl>
      <w:tblPr>
        <w:tblW w:w="7512" w:type="dxa"/>
        <w:jc w:val="start"/>
        <w:tblInd w:w="0" w:type="dxa"/>
        <w:tblLayout w:type="fixed"/>
        <w:tblCellMar>
          <w:top w:w="28" w:type="dxa"/>
          <w:start w:w="28" w:type="dxa"/>
          <w:bottom w:w="28" w:type="dxa"/>
          <w:end w:w="28" w:type="dxa"/>
        </w:tblCellMar>
      </w:tblPr>
      <w:tblGrid>
        <w:gridCol w:w="3001"/>
        <w:gridCol w:w="1880"/>
        <w:gridCol w:w="1559"/>
        <w:gridCol w:w="1072"/>
      </w:tblGrid>
      <w:tr>
        <w:trPr>
          <w:tblHeader w:val="true"/>
        </w:trPr>
        <w:tc>
          <w:tcPr>
            <w:tcW w:w="3001" w:type="dxa"/>
            <w:tcBorders/>
            <w:vAlign w:val="center"/>
          </w:tcPr>
          <w:p>
            <w:pPr>
              <w:pStyle w:val="TableHeading"/>
              <w:rPr/>
            </w:pPr>
            <w:r>
              <w:rPr/>
              <w:t>Classe</w:t>
            </w:r>
          </w:p>
        </w:tc>
        <w:tc>
          <w:tcPr>
            <w:tcW w:w="1880" w:type="dxa"/>
            <w:tcBorders/>
            <w:vAlign w:val="center"/>
          </w:tcPr>
          <w:p>
            <w:pPr>
              <w:pStyle w:val="TableHeading"/>
              <w:rPr/>
            </w:pPr>
            <w:r>
              <w:rPr/>
              <w:t>Mediana IFFI (°)</w:t>
            </w:r>
          </w:p>
        </w:tc>
        <w:tc>
          <w:tcPr>
            <w:tcW w:w="1559" w:type="dxa"/>
            <w:tcBorders/>
            <w:vAlign w:val="center"/>
          </w:tcPr>
          <w:p>
            <w:pPr>
              <w:pStyle w:val="TableHeading"/>
              <w:rPr/>
            </w:pPr>
            <w:r>
              <w:rPr/>
              <w:t>Soglia KB (°)</w:t>
            </w:r>
          </w:p>
        </w:tc>
        <w:tc>
          <w:tcPr>
            <w:tcW w:w="1072" w:type="dxa"/>
            <w:tcBorders/>
            <w:vAlign w:val="center"/>
          </w:tcPr>
          <w:p>
            <w:pPr>
              <w:pStyle w:val="TableHeading"/>
              <w:rPr/>
            </w:pPr>
            <w:r>
              <w:rPr/>
              <w:t>Margine</w:t>
            </w:r>
          </w:p>
        </w:tc>
      </w:tr>
      <w:tr>
        <w:trPr/>
        <w:tc>
          <w:tcPr>
            <w:tcW w:w="3001" w:type="dxa"/>
            <w:tcBorders/>
            <w:vAlign w:val="center"/>
          </w:tcPr>
          <w:p>
            <w:pPr>
              <w:pStyle w:val="TableContents"/>
              <w:rPr/>
            </w:pPr>
            <w:r>
              <w:rPr>
                <w:rStyle w:val="SourceText"/>
              </w:rPr>
              <w:t>hard_rock</w:t>
            </w:r>
          </w:p>
        </w:tc>
        <w:tc>
          <w:tcPr>
            <w:tcW w:w="1880" w:type="dxa"/>
            <w:tcBorders/>
            <w:vAlign w:val="center"/>
          </w:tcPr>
          <w:p>
            <w:pPr>
              <w:pStyle w:val="TableContents"/>
              <w:rPr/>
            </w:pPr>
            <w:r>
              <w:rPr/>
              <w:t>19,6</w:t>
            </w:r>
          </w:p>
        </w:tc>
        <w:tc>
          <w:tcPr>
            <w:tcW w:w="1559" w:type="dxa"/>
            <w:tcBorders/>
            <w:vAlign w:val="center"/>
          </w:tcPr>
          <w:p>
            <w:pPr>
              <w:pStyle w:val="TableContents"/>
              <w:rPr/>
            </w:pPr>
            <w:r>
              <w:rPr/>
              <w:t>18,0</w:t>
            </w:r>
          </w:p>
        </w:tc>
        <w:tc>
          <w:tcPr>
            <w:tcW w:w="1072" w:type="dxa"/>
            <w:tcBorders/>
            <w:vAlign w:val="center"/>
          </w:tcPr>
          <w:p>
            <w:pPr>
              <w:pStyle w:val="TableContents"/>
              <w:rPr/>
            </w:pPr>
            <w:r>
              <w:rPr/>
              <w:t>−</w:t>
            </w:r>
            <w:r>
              <w:rPr/>
              <w:t>1,6</w:t>
            </w:r>
          </w:p>
        </w:tc>
      </w:tr>
      <w:tr>
        <w:trPr/>
        <w:tc>
          <w:tcPr>
            <w:tcW w:w="3001" w:type="dxa"/>
            <w:tcBorders/>
            <w:vAlign w:val="center"/>
          </w:tcPr>
          <w:p>
            <w:pPr>
              <w:pStyle w:val="TableContents"/>
              <w:rPr/>
            </w:pPr>
            <w:r>
              <w:rPr>
                <w:rStyle w:val="SourceText"/>
              </w:rPr>
              <w:t>competent_clastic</w:t>
            </w:r>
          </w:p>
        </w:tc>
        <w:tc>
          <w:tcPr>
            <w:tcW w:w="1880" w:type="dxa"/>
            <w:tcBorders/>
            <w:vAlign w:val="center"/>
          </w:tcPr>
          <w:p>
            <w:pPr>
              <w:pStyle w:val="TableContents"/>
              <w:rPr/>
            </w:pPr>
            <w:r>
              <w:rPr/>
              <w:t>12,0</w:t>
            </w:r>
          </w:p>
        </w:tc>
        <w:tc>
          <w:tcPr>
            <w:tcW w:w="1559" w:type="dxa"/>
            <w:tcBorders/>
            <w:vAlign w:val="center"/>
          </w:tcPr>
          <w:p>
            <w:pPr>
              <w:pStyle w:val="TableContents"/>
              <w:rPr/>
            </w:pPr>
            <w:r>
              <w:rPr/>
              <w:t>11,0</w:t>
            </w:r>
          </w:p>
        </w:tc>
        <w:tc>
          <w:tcPr>
            <w:tcW w:w="1072" w:type="dxa"/>
            <w:tcBorders/>
            <w:vAlign w:val="center"/>
          </w:tcPr>
          <w:p>
            <w:pPr>
              <w:pStyle w:val="TableContents"/>
              <w:rPr/>
            </w:pPr>
            <w:r>
              <w:rPr/>
              <w:t>−</w:t>
            </w:r>
            <w:r>
              <w:rPr/>
              <w:t>1,0</w:t>
            </w:r>
          </w:p>
        </w:tc>
      </w:tr>
      <w:tr>
        <w:trPr/>
        <w:tc>
          <w:tcPr>
            <w:tcW w:w="3001" w:type="dxa"/>
            <w:tcBorders/>
            <w:vAlign w:val="center"/>
          </w:tcPr>
          <w:p>
            <w:pPr>
              <w:pStyle w:val="TableContents"/>
              <w:rPr/>
            </w:pPr>
            <w:r>
              <w:rPr>
                <w:rStyle w:val="SourceText"/>
              </w:rPr>
              <w:t>flysch_clastic</w:t>
            </w:r>
          </w:p>
        </w:tc>
        <w:tc>
          <w:tcPr>
            <w:tcW w:w="1880" w:type="dxa"/>
            <w:tcBorders/>
            <w:vAlign w:val="center"/>
          </w:tcPr>
          <w:p>
            <w:pPr>
              <w:pStyle w:val="TableContents"/>
              <w:rPr/>
            </w:pPr>
            <w:r>
              <w:rPr/>
              <w:t>10,6</w:t>
            </w:r>
          </w:p>
        </w:tc>
        <w:tc>
          <w:tcPr>
            <w:tcW w:w="1559" w:type="dxa"/>
            <w:tcBorders/>
            <w:vAlign w:val="center"/>
          </w:tcPr>
          <w:p>
            <w:pPr>
              <w:pStyle w:val="TableContents"/>
              <w:rPr/>
            </w:pPr>
            <w:r>
              <w:rPr/>
              <w:t>10,0</w:t>
            </w:r>
          </w:p>
        </w:tc>
        <w:tc>
          <w:tcPr>
            <w:tcW w:w="1072" w:type="dxa"/>
            <w:tcBorders/>
            <w:vAlign w:val="center"/>
          </w:tcPr>
          <w:p>
            <w:pPr>
              <w:pStyle w:val="TableContents"/>
              <w:rPr/>
            </w:pPr>
            <w:r>
              <w:rPr/>
              <w:t>−</w:t>
            </w:r>
            <w:r>
              <w:rPr/>
              <w:t>0,6</w:t>
            </w:r>
          </w:p>
        </w:tc>
      </w:tr>
      <w:tr>
        <w:trPr/>
        <w:tc>
          <w:tcPr>
            <w:tcW w:w="3001" w:type="dxa"/>
            <w:tcBorders/>
            <w:vAlign w:val="center"/>
          </w:tcPr>
          <w:p>
            <w:pPr>
              <w:pStyle w:val="TableContents"/>
              <w:rPr/>
            </w:pPr>
            <w:r>
              <w:rPr>
                <w:rStyle w:val="SourceText"/>
              </w:rPr>
              <w:t>unconsolidated_weak</w:t>
            </w:r>
          </w:p>
        </w:tc>
        <w:tc>
          <w:tcPr>
            <w:tcW w:w="1880" w:type="dxa"/>
            <w:tcBorders/>
            <w:vAlign w:val="center"/>
          </w:tcPr>
          <w:p>
            <w:pPr>
              <w:pStyle w:val="TableContents"/>
              <w:rPr/>
            </w:pPr>
            <w:r>
              <w:rPr/>
              <w:t>9,9</w:t>
            </w:r>
          </w:p>
        </w:tc>
        <w:tc>
          <w:tcPr>
            <w:tcW w:w="1559" w:type="dxa"/>
            <w:tcBorders/>
            <w:vAlign w:val="center"/>
          </w:tcPr>
          <w:p>
            <w:pPr>
              <w:pStyle w:val="TableContents"/>
              <w:rPr/>
            </w:pPr>
            <w:r>
              <w:rPr/>
              <w:t>9,0</w:t>
            </w:r>
          </w:p>
        </w:tc>
        <w:tc>
          <w:tcPr>
            <w:tcW w:w="1072" w:type="dxa"/>
            <w:tcBorders/>
            <w:vAlign w:val="center"/>
          </w:tcPr>
          <w:p>
            <w:pPr>
              <w:pStyle w:val="TableContents"/>
              <w:rPr/>
            </w:pPr>
            <w:r>
              <w:rPr/>
              <w:t>−</w:t>
            </w:r>
            <w:r>
              <w:rPr/>
              <w:t>0,9</w:t>
            </w:r>
          </w:p>
        </w:tc>
      </w:tr>
      <w:tr>
        <w:trPr/>
        <w:tc>
          <w:tcPr>
            <w:tcW w:w="3001" w:type="dxa"/>
            <w:tcBorders/>
            <w:vAlign w:val="center"/>
          </w:tcPr>
          <w:p>
            <w:pPr>
              <w:pStyle w:val="TableContents"/>
              <w:rPr/>
            </w:pPr>
            <w:r>
              <w:rPr>
                <w:rStyle w:val="SourceText"/>
              </w:rPr>
              <w:t>volcanic_pyroclastic</w:t>
            </w:r>
          </w:p>
        </w:tc>
        <w:tc>
          <w:tcPr>
            <w:tcW w:w="1880" w:type="dxa"/>
            <w:tcBorders/>
            <w:vAlign w:val="center"/>
          </w:tcPr>
          <w:p>
            <w:pPr>
              <w:pStyle w:val="TableContents"/>
              <w:rPr/>
            </w:pPr>
            <w:r>
              <w:rPr/>
              <w:t>9,9</w:t>
            </w:r>
          </w:p>
        </w:tc>
        <w:tc>
          <w:tcPr>
            <w:tcW w:w="1559" w:type="dxa"/>
            <w:tcBorders/>
            <w:vAlign w:val="center"/>
          </w:tcPr>
          <w:p>
            <w:pPr>
              <w:pStyle w:val="TableContents"/>
              <w:rPr/>
            </w:pPr>
            <w:r>
              <w:rPr/>
              <w:t>9,0</w:t>
            </w:r>
          </w:p>
        </w:tc>
        <w:tc>
          <w:tcPr>
            <w:tcW w:w="1072" w:type="dxa"/>
            <w:tcBorders/>
            <w:vAlign w:val="center"/>
          </w:tcPr>
          <w:p>
            <w:pPr>
              <w:pStyle w:val="TableContents"/>
              <w:rPr/>
            </w:pPr>
            <w:r>
              <w:rPr/>
              <w:t>−</w:t>
            </w:r>
            <w:r>
              <w:rPr/>
              <w:t>0,9</w:t>
            </w:r>
          </w:p>
        </w:tc>
      </w:tr>
    </w:tbl>
    <w:p>
      <w:pPr>
        <w:pStyle w:val="Heading3"/>
        <w:spacing w:before="0" w:after="283"/>
        <w:rPr>
          <w:rFonts w:ascii="Arial" w:hAnsi="Arial" w:eastAsia="Arial" w:cs="Arial"/>
          <w:color w:val="auto"/>
        </w:rPr>
      </w:pPr>
      <w:r>
        <w:rPr>
          <w:rFonts w:eastAsia="Arial" w:cs="Arial" w:ascii="Arial" w:hAnsi="Arial"/>
          <w:color w:val="auto"/>
        </w:rPr>
        <w:t>Soglia di drenaggio (200 m)</w:t>
      </w:r>
    </w:p>
    <w:p>
      <w:pPr>
        <w:pStyle w:val="BodyText"/>
        <w:rPr/>
      </w:pPr>
      <w:r>
        <w:rPr/>
        <w:t>Motivata da Corominas et al. (2014): lo scalzamento al piede da parte dei corsi d'acqua è un meccanismo predisponente primario per le classi di materiale debole.</w:t>
      </w:r>
    </w:p>
    <w:p>
      <w:pPr>
        <w:pStyle w:val="Heading3"/>
        <w:rPr/>
      </w:pPr>
      <w:r>
        <w:rPr/>
        <w:t>Classi CORINE stabilizzanti/destabilizzanti</w:t>
      </w:r>
    </w:p>
    <w:p>
      <w:pPr>
        <w:pStyle w:val="BodyText"/>
        <w:rPr/>
      </w:pPr>
      <w:r>
        <w:rPr/>
        <w:t>Motivate da Löbmann et al. (2020): la copertura forestale (codici 311–313) aumenta la coesione del suolo tramite ancoraggio radicale; le superfici nude, scarsamente vegetate o bruciate (codici 331–334) sono destabilizzanti per assenza di questo effetto. Queste classi intervengono nella KB solo come fattore aggravante o neutro, non come condizione sufficiente di per sé.</w:t>
      </w:r>
    </w:p>
    <w:p>
      <w:pPr>
        <w:pStyle w:val="Heading3"/>
        <w:rPr/>
      </w:pPr>
      <w:r>
        <w:rPr/>
        <w:t>Ottimizzazione per efficienza</w:t>
      </w:r>
    </w:p>
    <w:p>
      <w:pPr>
        <w:pStyle w:val="BodyText"/>
        <w:rPr/>
      </w:pPr>
      <w:r>
        <w:rPr/>
        <w:t xml:space="preserve">L'area di studio comprende circa 6 milioni di pixel. Per evitare 6M query Prolog singole, l'inferenza opera sulle </w:t>
      </w:r>
      <w:r>
        <w:rPr>
          <w:rStyle w:val="Strong"/>
        </w:rPr>
        <w:t>combinazioni uniche</w:t>
      </w:r>
      <w:r>
        <w:rPr/>
        <w:t xml:space="preserve"> di (litho_class, bin_slope_0.5°, bin_dist_drain_50m, corine_code), riducendo le query da ~6M a ~24.000. Questa ottimizzazione è possibile perché la KB è </w:t>
      </w:r>
      <w:r>
        <w:rPr>
          <w:rStyle w:val="Strong"/>
        </w:rPr>
        <w:t>deterministica</w:t>
      </w:r>
      <w:r>
        <w:rPr/>
        <w:t>: stessi input producono sempre lo stesso output, proprietà garantita dalla struttura a clausole definite con NAF aciclica.</w:t>
      </w:r>
    </w:p>
    <w:p>
      <w:pPr>
        <w:pStyle w:val="Heading2"/>
        <w:rPr/>
      </w:pPr>
      <w:r>
        <w:rPr/>
        <w:t>Valutazione della KB</w:t>
      </w:r>
    </w:p>
    <w:p>
      <w:pPr>
        <w:pStyle w:val="Heading3"/>
        <w:rPr/>
      </w:pPr>
      <w:r>
        <w:rPr/>
        <w:t>Come classificatore autonomo</w:t>
      </w:r>
    </w:p>
    <w:p>
      <w:pPr>
        <w:pStyle w:val="BodyText"/>
        <w:rPr/>
      </w:pPr>
      <w:r>
        <w:rPr/>
        <w:t>La KB viene valutata come classificatore binario con soglia score ≥ 1 → positivo:</w:t>
      </w:r>
    </w:p>
    <w:tbl>
      <w:tblPr>
        <w:tblW w:w="4054" w:type="dxa"/>
        <w:jc w:val="start"/>
        <w:tblInd w:w="-5" w:type="dxa"/>
        <w:tblLayout w:type="fixed"/>
        <w:tblCellMar>
          <w:top w:w="55" w:type="dxa"/>
          <w:start w:w="55" w:type="dxa"/>
          <w:bottom w:w="55" w:type="dxa"/>
          <w:end w:w="55" w:type="dxa"/>
        </w:tblCellMar>
      </w:tblPr>
      <w:tblGrid>
        <w:gridCol w:w="1201"/>
        <w:gridCol w:w="813"/>
        <w:gridCol w:w="705"/>
        <w:gridCol w:w="1335"/>
      </w:tblGrid>
      <w:tr>
        <w:trPr>
          <w:tblHeader w:val="true"/>
        </w:trPr>
        <w:tc>
          <w:tcPr>
            <w:tcW w:w="1201" w:type="dxa"/>
            <w:tcBorders>
              <w:top w:val="single" w:sz="4" w:space="0" w:color="2A6099"/>
              <w:start w:val="single" w:sz="4" w:space="0" w:color="2A6099"/>
              <w:bottom w:val="single" w:sz="4" w:space="0" w:color="2A6099"/>
            </w:tcBorders>
            <w:shd w:fill="729FCF" w:val="clear"/>
            <w:vAlign w:val="center"/>
          </w:tcPr>
          <w:p>
            <w:pPr>
              <w:pStyle w:val="TableHeading"/>
              <w:rPr/>
            </w:pPr>
            <w:r>
              <w:rPr/>
              <w:t>Precision</w:t>
            </w:r>
          </w:p>
        </w:tc>
        <w:tc>
          <w:tcPr>
            <w:tcW w:w="813" w:type="dxa"/>
            <w:tcBorders>
              <w:top w:val="single" w:sz="4" w:space="0" w:color="2A6099"/>
              <w:start w:val="single" w:sz="4" w:space="0" w:color="2A6099"/>
              <w:bottom w:val="single" w:sz="4" w:space="0" w:color="2A6099"/>
            </w:tcBorders>
            <w:shd w:fill="729FCF" w:val="clear"/>
            <w:vAlign w:val="center"/>
          </w:tcPr>
          <w:p>
            <w:pPr>
              <w:pStyle w:val="TableHeading"/>
              <w:rPr/>
            </w:pPr>
            <w:r>
              <w:rPr/>
              <w:t>Recall</w:t>
            </w:r>
          </w:p>
        </w:tc>
        <w:tc>
          <w:tcPr>
            <w:tcW w:w="705" w:type="dxa"/>
            <w:tcBorders>
              <w:top w:val="single" w:sz="4" w:space="0" w:color="2A6099"/>
              <w:start w:val="single" w:sz="4" w:space="0" w:color="2A6099"/>
              <w:bottom w:val="single" w:sz="4" w:space="0" w:color="2A6099"/>
            </w:tcBorders>
            <w:shd w:fill="729FCF" w:val="clear"/>
            <w:vAlign w:val="center"/>
          </w:tcPr>
          <w:p>
            <w:pPr>
              <w:pStyle w:val="TableHeading"/>
              <w:rPr/>
            </w:pPr>
            <w:r>
              <w:rPr/>
              <w:t>F1</w:t>
            </w:r>
          </w:p>
        </w:tc>
        <w:tc>
          <w:tcPr>
            <w:tcW w:w="1335" w:type="dxa"/>
            <w:tcBorders>
              <w:top w:val="single" w:sz="4" w:space="0" w:color="2A6099"/>
              <w:start w:val="single" w:sz="4" w:space="0" w:color="2A6099"/>
              <w:bottom w:val="single" w:sz="4" w:space="0" w:color="2A6099"/>
              <w:end w:val="single" w:sz="4" w:space="0" w:color="2A6099"/>
            </w:tcBorders>
            <w:shd w:fill="729FCF" w:val="clear"/>
            <w:vAlign w:val="center"/>
          </w:tcPr>
          <w:p>
            <w:pPr>
              <w:pStyle w:val="TableHeading"/>
              <w:rPr/>
            </w:pPr>
            <w:r>
              <w:rPr/>
              <w:t>AUC-ROC</w:t>
            </w:r>
          </w:p>
        </w:tc>
      </w:tr>
      <w:tr>
        <w:trPr/>
        <w:tc>
          <w:tcPr>
            <w:tcW w:w="1201" w:type="dxa"/>
            <w:tcBorders>
              <w:start w:val="single" w:sz="4" w:space="0" w:color="000000"/>
              <w:bottom w:val="single" w:sz="4" w:space="0" w:color="000000"/>
            </w:tcBorders>
            <w:vAlign w:val="center"/>
          </w:tcPr>
          <w:p>
            <w:pPr>
              <w:pStyle w:val="TableContents"/>
              <w:rPr/>
            </w:pPr>
            <w:r>
              <w:rPr/>
              <w:t>0,232</w:t>
            </w:r>
          </w:p>
        </w:tc>
        <w:tc>
          <w:tcPr>
            <w:tcW w:w="813" w:type="dxa"/>
            <w:tcBorders>
              <w:start w:val="single" w:sz="4" w:space="0" w:color="000000"/>
              <w:bottom w:val="single" w:sz="4" w:space="0" w:color="000000"/>
            </w:tcBorders>
            <w:vAlign w:val="center"/>
          </w:tcPr>
          <w:p>
            <w:pPr>
              <w:pStyle w:val="TableContents"/>
              <w:rPr/>
            </w:pPr>
            <w:r>
              <w:rPr/>
              <w:t>0,874</w:t>
            </w:r>
          </w:p>
        </w:tc>
        <w:tc>
          <w:tcPr>
            <w:tcW w:w="705" w:type="dxa"/>
            <w:tcBorders>
              <w:start w:val="single" w:sz="4" w:space="0" w:color="000000"/>
              <w:bottom w:val="single" w:sz="4" w:space="0" w:color="000000"/>
            </w:tcBorders>
            <w:vAlign w:val="center"/>
          </w:tcPr>
          <w:p>
            <w:pPr>
              <w:pStyle w:val="TableContents"/>
              <w:rPr/>
            </w:pPr>
            <w:r>
              <w:rPr/>
              <w:t>0,367</w:t>
            </w:r>
          </w:p>
        </w:tc>
        <w:tc>
          <w:tcPr>
            <w:tcW w:w="1335" w:type="dxa"/>
            <w:tcBorders>
              <w:start w:val="single" w:sz="4" w:space="0" w:color="000000"/>
              <w:bottom w:val="single" w:sz="4" w:space="0" w:color="000000"/>
              <w:end w:val="single" w:sz="4" w:space="0" w:color="000000"/>
            </w:tcBorders>
            <w:vAlign w:val="center"/>
          </w:tcPr>
          <w:p>
            <w:pPr>
              <w:pStyle w:val="TableContents"/>
              <w:rPr/>
            </w:pPr>
            <w:r>
              <w:rPr/>
              <w:t>0,677</w:t>
            </w:r>
          </w:p>
        </w:tc>
      </w:tr>
    </w:tbl>
    <w:p>
      <w:pPr>
        <w:pStyle w:val="BodyText"/>
        <w:rPr/>
      </w:pPr>
      <w:r>
        <w:rPr/>
      </w:r>
    </w:p>
    <w:p>
      <w:pPr>
        <w:pStyle w:val="BodyText"/>
        <w:rPr/>
      </w:pPr>
      <w:r>
        <w:rPr/>
        <w:t xml:space="preserve">L'elevato recall (0,874) con bassa precision (0,232) è il </w:t>
      </w:r>
      <w:r>
        <w:rPr>
          <w:rStyle w:val="Strong"/>
        </w:rPr>
        <w:t>pattern atteso per condizioni necessarie non sufficienti</w:t>
      </w:r>
      <w:r>
        <w:rPr/>
        <w:t>: la KB identifica quasi tutti i pixel di frana reali ma include anche versanti predisposti che non hanno ancora ceduto. In contesto di risk assessment questa asimmetria è desiderabile, poiché un falso negativo (area pericolosa non identificata) è più grave di un falso positivo.</w:t>
      </w:r>
    </w:p>
    <w:p>
      <w:pPr>
        <w:pStyle w:val="Heading3"/>
        <w:rPr/>
      </w:pPr>
      <w:r>
        <w:rPr/>
        <w:t>Distribuzione del punteggio per classe</w:t>
      </w:r>
    </w:p>
    <w:tbl>
      <w:tblPr>
        <w:tblW w:w="9026" w:type="dxa"/>
        <w:jc w:val="start"/>
        <w:tblInd w:w="-5" w:type="dxa"/>
        <w:tblLayout w:type="fixed"/>
        <w:tblCellMar>
          <w:top w:w="55" w:type="dxa"/>
          <w:start w:w="55" w:type="dxa"/>
          <w:bottom w:w="55" w:type="dxa"/>
          <w:end w:w="55" w:type="dxa"/>
        </w:tblCellMar>
      </w:tblPr>
      <w:tblGrid>
        <w:gridCol w:w="1207"/>
        <w:gridCol w:w="5170"/>
        <w:gridCol w:w="1094"/>
        <w:gridCol w:w="1555"/>
      </w:tblGrid>
      <w:tr>
        <w:trPr>
          <w:tblHeader w:val="true"/>
        </w:trPr>
        <w:tc>
          <w:tcPr>
            <w:tcW w:w="1207" w:type="dxa"/>
            <w:tcBorders>
              <w:top w:val="single" w:sz="4" w:space="0" w:color="2A6099"/>
              <w:start w:val="single" w:sz="4" w:space="0" w:color="2A6099"/>
              <w:bottom w:val="single" w:sz="4" w:space="0" w:color="2A6099"/>
            </w:tcBorders>
            <w:shd w:fill="729FCF" w:val="clear"/>
            <w:vAlign w:val="center"/>
          </w:tcPr>
          <w:p>
            <w:pPr>
              <w:pStyle w:val="TableHeading"/>
              <w:rPr/>
            </w:pPr>
            <w:r>
              <w:rPr/>
              <w:t>Score</w:t>
            </w:r>
          </w:p>
        </w:tc>
        <w:tc>
          <w:tcPr>
            <w:tcW w:w="5170" w:type="dxa"/>
            <w:tcBorders>
              <w:top w:val="single" w:sz="4" w:space="0" w:color="2A6099"/>
              <w:start w:val="single" w:sz="4" w:space="0" w:color="2A6099"/>
              <w:bottom w:val="single" w:sz="4" w:space="0" w:color="2A6099"/>
            </w:tcBorders>
            <w:shd w:fill="729FCF" w:val="clear"/>
            <w:vAlign w:val="center"/>
          </w:tcPr>
          <w:p>
            <w:pPr>
              <w:pStyle w:val="TableHeading"/>
              <w:rPr/>
            </w:pPr>
            <w:r>
              <w:rPr/>
              <w:t>Condizione logica attivata</w:t>
            </w:r>
          </w:p>
        </w:tc>
        <w:tc>
          <w:tcPr>
            <w:tcW w:w="1094" w:type="dxa"/>
            <w:tcBorders>
              <w:top w:val="single" w:sz="4" w:space="0" w:color="2A6099"/>
              <w:start w:val="single" w:sz="4" w:space="0" w:color="2A6099"/>
              <w:bottom w:val="single" w:sz="4" w:space="0" w:color="2A6099"/>
            </w:tcBorders>
            <w:shd w:fill="729FCF" w:val="clear"/>
            <w:vAlign w:val="center"/>
          </w:tcPr>
          <w:p>
            <w:pPr>
              <w:pStyle w:val="TableHeading"/>
              <w:rPr/>
            </w:pPr>
            <w:r>
              <w:rPr/>
              <w:t>Pixel frana</w:t>
            </w:r>
          </w:p>
        </w:tc>
        <w:tc>
          <w:tcPr>
            <w:tcW w:w="1555" w:type="dxa"/>
            <w:tcBorders>
              <w:top w:val="single" w:sz="4" w:space="0" w:color="2A6099"/>
              <w:start w:val="single" w:sz="4" w:space="0" w:color="2A6099"/>
              <w:bottom w:val="single" w:sz="4" w:space="0" w:color="2A6099"/>
              <w:end w:val="single" w:sz="4" w:space="0" w:color="2A6099"/>
            </w:tcBorders>
            <w:shd w:fill="729FCF" w:val="clear"/>
            <w:vAlign w:val="center"/>
          </w:tcPr>
          <w:p>
            <w:pPr>
              <w:pStyle w:val="TableHeading"/>
              <w:rPr/>
            </w:pPr>
            <w:r>
              <w:rPr/>
              <w:t>Background</w:t>
            </w:r>
          </w:p>
        </w:tc>
      </w:tr>
      <w:tr>
        <w:trPr/>
        <w:tc>
          <w:tcPr>
            <w:tcW w:w="1207" w:type="dxa"/>
            <w:tcBorders>
              <w:start w:val="single" w:sz="4" w:space="0" w:color="000000"/>
              <w:bottom w:val="single" w:sz="4" w:space="0" w:color="000000"/>
            </w:tcBorders>
            <w:vAlign w:val="center"/>
          </w:tcPr>
          <w:p>
            <w:pPr>
              <w:pStyle w:val="TableContents"/>
              <w:rPr/>
            </w:pPr>
            <w:r>
              <w:rPr/>
              <w:t>2 — alta</w:t>
            </w:r>
          </w:p>
        </w:tc>
        <w:tc>
          <w:tcPr>
            <w:tcW w:w="5170" w:type="dxa"/>
            <w:tcBorders>
              <w:start w:val="single" w:sz="4" w:space="0" w:color="000000"/>
              <w:bottom w:val="single" w:sz="4" w:space="0" w:color="000000"/>
            </w:tcBorders>
            <w:vAlign w:val="center"/>
          </w:tcPr>
          <w:p>
            <w:pPr>
              <w:pStyle w:val="TableContents"/>
              <w:rPr/>
            </w:pPr>
            <w:r>
              <w:rPr>
                <w:rStyle w:val="SourceText"/>
              </w:rPr>
              <w:t>slope_susc ∧ (weak ∨ near_drain ∨ bare_cover)</w:t>
            </w:r>
          </w:p>
        </w:tc>
        <w:tc>
          <w:tcPr>
            <w:tcW w:w="1094" w:type="dxa"/>
            <w:tcBorders>
              <w:start w:val="single" w:sz="4" w:space="0" w:color="000000"/>
              <w:bottom w:val="single" w:sz="4" w:space="0" w:color="000000"/>
            </w:tcBorders>
            <w:vAlign w:val="center"/>
          </w:tcPr>
          <w:p>
            <w:pPr>
              <w:pStyle w:val="TableContents"/>
              <w:rPr/>
            </w:pPr>
            <w:r>
              <w:rPr/>
              <w:t>46,3%</w:t>
            </w:r>
          </w:p>
        </w:tc>
        <w:tc>
          <w:tcPr>
            <w:tcW w:w="1555" w:type="dxa"/>
            <w:tcBorders>
              <w:start w:val="single" w:sz="4" w:space="0" w:color="000000"/>
              <w:bottom w:val="single" w:sz="4" w:space="0" w:color="000000"/>
              <w:end w:val="single" w:sz="4" w:space="0" w:color="000000"/>
            </w:tcBorders>
            <w:vAlign w:val="center"/>
          </w:tcPr>
          <w:p>
            <w:pPr>
              <w:pStyle w:val="TableContents"/>
              <w:rPr/>
            </w:pPr>
            <w:r>
              <w:rPr/>
              <w:t>24,1%</w:t>
            </w:r>
          </w:p>
        </w:tc>
      </w:tr>
      <w:tr>
        <w:trPr/>
        <w:tc>
          <w:tcPr>
            <w:tcW w:w="1207" w:type="dxa"/>
            <w:tcBorders>
              <w:start w:val="single" w:sz="4" w:space="0" w:color="000000"/>
              <w:bottom w:val="single" w:sz="4" w:space="0" w:color="000000"/>
            </w:tcBorders>
            <w:vAlign w:val="center"/>
          </w:tcPr>
          <w:p>
            <w:pPr>
              <w:pStyle w:val="TableContents"/>
              <w:rPr/>
            </w:pPr>
            <w:r>
              <w:rPr/>
              <w:t>1 — media</w:t>
            </w:r>
          </w:p>
        </w:tc>
        <w:tc>
          <w:tcPr>
            <w:tcW w:w="5170" w:type="dxa"/>
            <w:tcBorders>
              <w:start w:val="single" w:sz="4" w:space="0" w:color="000000"/>
              <w:bottom w:val="single" w:sz="4" w:space="0" w:color="000000"/>
            </w:tcBorders>
            <w:vAlign w:val="center"/>
          </w:tcPr>
          <w:p>
            <w:pPr>
              <w:pStyle w:val="TableContents"/>
              <w:rPr/>
            </w:pPr>
            <w:r>
              <w:rPr>
                <w:rStyle w:val="SourceText"/>
              </w:rPr>
              <w:t>slope_susc ∨ material_susc</w:t>
            </w:r>
            <w:r>
              <w:rPr/>
              <w:t xml:space="preserve"> (senza condizioni per high)</w:t>
            </w:r>
          </w:p>
        </w:tc>
        <w:tc>
          <w:tcPr>
            <w:tcW w:w="1094" w:type="dxa"/>
            <w:tcBorders>
              <w:start w:val="single" w:sz="4" w:space="0" w:color="000000"/>
              <w:bottom w:val="single" w:sz="4" w:space="0" w:color="000000"/>
            </w:tcBorders>
            <w:vAlign w:val="center"/>
          </w:tcPr>
          <w:p>
            <w:pPr>
              <w:pStyle w:val="TableContents"/>
              <w:rPr/>
            </w:pPr>
            <w:r>
              <w:rPr/>
              <w:t>41,1%</w:t>
            </w:r>
          </w:p>
        </w:tc>
        <w:tc>
          <w:tcPr>
            <w:tcW w:w="1555" w:type="dxa"/>
            <w:tcBorders>
              <w:start w:val="single" w:sz="4" w:space="0" w:color="000000"/>
              <w:bottom w:val="single" w:sz="4" w:space="0" w:color="000000"/>
              <w:end w:val="single" w:sz="4" w:space="0" w:color="000000"/>
            </w:tcBorders>
            <w:vAlign w:val="center"/>
          </w:tcPr>
          <w:p>
            <w:pPr>
              <w:pStyle w:val="TableContents"/>
              <w:rPr/>
            </w:pPr>
            <w:r>
              <w:rPr/>
              <w:t>33,8%</w:t>
            </w:r>
          </w:p>
        </w:tc>
      </w:tr>
      <w:tr>
        <w:trPr/>
        <w:tc>
          <w:tcPr>
            <w:tcW w:w="1207" w:type="dxa"/>
            <w:tcBorders>
              <w:start w:val="single" w:sz="4" w:space="0" w:color="000000"/>
              <w:bottom w:val="single" w:sz="4" w:space="0" w:color="000000"/>
            </w:tcBorders>
            <w:vAlign w:val="center"/>
          </w:tcPr>
          <w:p>
            <w:pPr>
              <w:pStyle w:val="TableContents"/>
              <w:rPr/>
            </w:pPr>
            <w:r>
              <w:rPr/>
              <w:t>0 — bassa</w:t>
            </w:r>
          </w:p>
        </w:tc>
        <w:tc>
          <w:tcPr>
            <w:tcW w:w="5170" w:type="dxa"/>
            <w:tcBorders>
              <w:start w:val="single" w:sz="4" w:space="0" w:color="000000"/>
              <w:bottom w:val="single" w:sz="4" w:space="0" w:color="000000"/>
            </w:tcBorders>
            <w:vAlign w:val="center"/>
          </w:tcPr>
          <w:p>
            <w:pPr>
              <w:pStyle w:val="TableContents"/>
              <w:rPr/>
            </w:pPr>
            <w:r>
              <w:rPr/>
              <w:t>Nessuna condizione attivata</w:t>
            </w:r>
          </w:p>
        </w:tc>
        <w:tc>
          <w:tcPr>
            <w:tcW w:w="1094" w:type="dxa"/>
            <w:tcBorders>
              <w:start w:val="single" w:sz="4" w:space="0" w:color="000000"/>
              <w:bottom w:val="single" w:sz="4" w:space="0" w:color="000000"/>
            </w:tcBorders>
            <w:vAlign w:val="center"/>
          </w:tcPr>
          <w:p>
            <w:pPr>
              <w:pStyle w:val="TableContents"/>
              <w:rPr/>
            </w:pPr>
            <w:r>
              <w:rPr/>
              <w:t>12,6%</w:t>
            </w:r>
          </w:p>
        </w:tc>
        <w:tc>
          <w:tcPr>
            <w:tcW w:w="1555" w:type="dxa"/>
            <w:tcBorders>
              <w:start w:val="single" w:sz="4" w:space="0" w:color="000000"/>
              <w:bottom w:val="single" w:sz="4" w:space="0" w:color="000000"/>
              <w:end w:val="single" w:sz="4" w:space="0" w:color="000000"/>
            </w:tcBorders>
            <w:vAlign w:val="center"/>
          </w:tcPr>
          <w:p>
            <w:pPr>
              <w:pStyle w:val="TableContents"/>
              <w:rPr/>
            </w:pPr>
            <w:r>
              <w:rPr/>
              <w:t>42,1%</w:t>
            </w:r>
          </w:p>
        </w:tc>
      </w:tr>
    </w:tbl>
    <w:p>
      <w:pPr>
        <w:pStyle w:val="BodyText"/>
        <w:rPr/>
      </w:pPr>
      <w:r>
        <w:rPr/>
      </w:r>
    </w:p>
    <w:p>
      <w:pPr>
        <w:pStyle w:val="BodyText"/>
        <w:rPr/>
      </w:pPr>
      <w:r>
        <w:rPr/>
        <w:t>La distribuzione conferma il potere discriminante della KB: il 46,3% dei pixel in frana ottiene score 2 (vs. 24,1% nel background), mentre solo il 12,6% finisce a score 0 (vs. 42,1%). Il punteggio KB cattura quindi informazione complementare rispetto alle sole feature numeriche, giustificandone l'integrazione nei modelli ML.</w:t>
      </w:r>
    </w:p>
    <w:p>
      <w:pPr>
        <w:pStyle w:val="Heading3"/>
        <w:spacing w:before="0" w:after="283"/>
        <w:rPr>
          <w:rFonts w:ascii="Arial" w:hAnsi="Arial" w:eastAsia="Arial" w:cs="Arial"/>
          <w:color w:val="auto"/>
        </w:rPr>
      </w:pPr>
      <w:r>
        <w:rPr>
          <w:rFonts w:eastAsia="Arial" w:cs="Arial" w:ascii="Arial" w:hAnsi="Arial"/>
          <w:color w:val="auto"/>
        </w:rPr>
        <w:t>Analisi della complessità</w:t>
      </w:r>
    </w:p>
    <w:p>
      <w:pPr>
        <w:pStyle w:val="BodyText"/>
        <w:rPr/>
      </w:pPr>
      <w:r>
        <w:rPr/>
        <w:t xml:space="preserve">La KB ha una struttura a clausole definite estese con NAF, il che la colloca nel frammento delle </w:t>
      </w:r>
      <w:r>
        <w:rPr>
          <w:rStyle w:val="Strong"/>
        </w:rPr>
        <w:t>clausole di Horn</w:t>
      </w:r>
      <w:r>
        <w:rPr/>
        <w:t>. La dimostrazione per ciascuna query ha complessità limitata:</w:t>
      </w:r>
    </w:p>
    <w:p>
      <w:pPr>
        <w:pStyle w:val="BodyText"/>
        <w:numPr>
          <w:ilvl w:val="0"/>
          <w:numId w:val="2"/>
        </w:numPr>
        <w:tabs>
          <w:tab w:val="clear" w:pos="720"/>
          <w:tab w:val="left" w:pos="0" w:leader="none"/>
        </w:tabs>
        <w:spacing w:before="0" w:after="0"/>
        <w:ind w:hanging="283" w:start="709"/>
        <w:rPr/>
      </w:pPr>
      <w:r>
        <w:rPr>
          <w:rStyle w:val="Strong"/>
        </w:rPr>
        <w:t>Profondità massima della catena inferenziale</w:t>
      </w:r>
      <w:r>
        <w:rPr/>
        <w:t xml:space="preserve">: 4 livelli (score → susceptibility → condizione atomica → fatto), quindi costante rispetto alla dimensione dell'area di studio. </w:t>
      </w:r>
    </w:p>
    <w:p>
      <w:pPr>
        <w:pStyle w:val="BodyText"/>
        <w:numPr>
          <w:ilvl w:val="0"/>
          <w:numId w:val="2"/>
        </w:numPr>
        <w:tabs>
          <w:tab w:val="clear" w:pos="720"/>
          <w:tab w:val="left" w:pos="0" w:leader="none"/>
        </w:tabs>
        <w:spacing w:before="0" w:after="0"/>
        <w:ind w:hanging="283" w:start="709"/>
        <w:rPr/>
      </w:pPr>
      <w:r>
        <w:rPr>
          <w:rStyle w:val="Strong"/>
        </w:rPr>
        <w:t>Branching</w:t>
      </w:r>
      <w:r>
        <w:rPr/>
        <w:t xml:space="preserve">: al livello 2 ci sono 6 clausole alternative per </w:t>
      </w:r>
      <w:r>
        <w:rPr>
          <w:rStyle w:val="SourceText"/>
        </w:rPr>
        <w:t>kb_susceptibility</w:t>
      </w:r>
      <w:r>
        <w:rPr/>
        <w:t xml:space="preserve">, ma Prolog le tenta in ordine e si arresta alla prima che ha successo (cut implicito per la semantica dell'applicazione). Nel caso peggiore si tentano tutte e 6 le clausole. </w:t>
      </w:r>
    </w:p>
    <w:p>
      <w:pPr>
        <w:pStyle w:val="BodyText"/>
        <w:numPr>
          <w:ilvl w:val="0"/>
          <w:numId w:val="2"/>
        </w:numPr>
        <w:tabs>
          <w:tab w:val="clear" w:pos="720"/>
          <w:tab w:val="left" w:pos="0" w:leader="none"/>
        </w:tabs>
        <w:spacing w:before="0" w:after="0"/>
        <w:ind w:hanging="283" w:start="709"/>
        <w:rPr/>
      </w:pPr>
      <w:r>
        <w:rPr>
          <w:rStyle w:val="Strong"/>
        </w:rPr>
        <w:t>NAF</w:t>
      </w:r>
      <w:r>
        <w:rPr/>
        <w:t xml:space="preserve">: ciascuna invocazione di </w:t>
      </w:r>
      <w:r>
        <w:rPr>
          <w:rStyle w:val="SourceText"/>
        </w:rPr>
        <w:t>\+</w:t>
      </w:r>
      <w:r>
        <w:rPr/>
        <w:t xml:space="preserve"> richiede al più una sotto-dimostrazione di profondità 1 (verifica di un fatto), quindi non introduce rischi di cicli o divergenza. </w:t>
      </w:r>
    </w:p>
    <w:p>
      <w:pPr>
        <w:pStyle w:val="BodyText"/>
        <w:numPr>
          <w:ilvl w:val="0"/>
          <w:numId w:val="2"/>
        </w:numPr>
        <w:tabs>
          <w:tab w:val="clear" w:pos="720"/>
          <w:tab w:val="left" w:pos="0" w:leader="none"/>
        </w:tabs>
        <w:ind w:hanging="283" w:start="709"/>
        <w:rPr/>
      </w:pPr>
      <w:r>
        <w:rPr>
          <w:rStyle w:val="Strong"/>
        </w:rPr>
        <w:t>Complessità totale per query</w:t>
      </w:r>
      <w:r>
        <w:rPr/>
        <w:t xml:space="preserve">: O(1), poiché il numero di fatti e regole è fisso e piccolo (23 clausole). </w:t>
      </w:r>
    </w:p>
    <w:p>
      <w:pPr>
        <w:pStyle w:val="Heading2"/>
        <w:rPr/>
      </w:pPr>
      <w:r>
        <w:rPr/>
        <w:t>Strumenti Utilizzati</w:t>
      </w:r>
    </w:p>
    <w:p>
      <w:pPr>
        <w:pStyle w:val="BodyText"/>
        <w:numPr>
          <w:ilvl w:val="0"/>
          <w:numId w:val="3"/>
        </w:numPr>
        <w:tabs>
          <w:tab w:val="clear" w:pos="720"/>
          <w:tab w:val="left" w:pos="0" w:leader="none"/>
        </w:tabs>
        <w:spacing w:before="0" w:after="0"/>
        <w:ind w:hanging="283" w:start="709"/>
        <w:rPr/>
      </w:pPr>
      <w:r>
        <w:rPr>
          <w:rStyle w:val="Strong"/>
        </w:rPr>
        <w:t>SWI-Prolog / pyswip</w:t>
      </w:r>
      <w:r>
        <w:rPr/>
        <w:t xml:space="preserve">: motore inferenziale Prolog invocato da Python </w:t>
      </w:r>
    </w:p>
    <w:p>
      <w:pPr>
        <w:pStyle w:val="BodyText"/>
        <w:numPr>
          <w:ilvl w:val="0"/>
          <w:numId w:val="3"/>
        </w:numPr>
        <w:tabs>
          <w:tab w:val="clear" w:pos="720"/>
          <w:tab w:val="left" w:pos="0" w:leader="none"/>
        </w:tabs>
        <w:spacing w:before="0" w:after="0"/>
        <w:ind w:hanging="283" w:start="709"/>
        <w:rPr/>
      </w:pPr>
      <w:r>
        <w:rPr>
          <w:rStyle w:val="Strong"/>
        </w:rPr>
        <w:t>geopandas, rasterio, shapely</w:t>
      </w:r>
      <w:r>
        <w:rPr/>
        <w:t xml:space="preserve">: processing GIS e rasterizzazione vettoriale </w:t>
      </w:r>
    </w:p>
    <w:p>
      <w:pPr>
        <w:pStyle w:val="BodyText"/>
        <w:numPr>
          <w:ilvl w:val="0"/>
          <w:numId w:val="3"/>
        </w:numPr>
        <w:tabs>
          <w:tab w:val="clear" w:pos="720"/>
          <w:tab w:val="left" w:pos="0" w:leader="none"/>
        </w:tabs>
        <w:ind w:hanging="283" w:start="709"/>
        <w:rPr/>
      </w:pPr>
      <w:r>
        <w:rPr>
          <w:rStyle w:val="Strong"/>
        </w:rPr>
        <w:t>pysheds, scipy.ndimage</w:t>
      </w:r>
      <w:r>
        <w:rPr/>
        <w:t xml:space="preserve">: parametri morfometrici e calcolo distanze euclidee </w:t>
      </w:r>
    </w:p>
    <w:p>
      <w:pPr>
        <w:pStyle w:val="Normal"/>
        <w:rPr/>
      </w:pPr>
      <w:r>
        <w:rPr/>
      </w:r>
    </w:p>
    <w:p>
      <w:pPr>
        <w:pStyle w:val="Heading1"/>
        <w:spacing w:before="0" w:after="160"/>
        <w:rPr>
          <w:rFonts w:ascii="Arial" w:hAnsi="Arial" w:eastAsia="Arial" w:cs="Arial"/>
          <w:b/>
          <w:bCs/>
          <w:color w:val="2E75B6"/>
          <w:sz w:val="32"/>
          <w:szCs w:val="32"/>
        </w:rPr>
      </w:pPr>
      <w:r>
        <w:rPr>
          <w:rFonts w:eastAsia="Arial" w:cs="Arial"/>
          <w:b/>
          <w:bCs/>
          <w:color w:val="2E75B6"/>
          <w:sz w:val="32"/>
          <w:szCs w:val="32"/>
        </w:rPr>
      </w:r>
    </w:p>
    <w:p>
      <w:pPr>
        <w:pStyle w:val="Heading1"/>
        <w:spacing w:before="0" w:after="160"/>
        <w:rPr>
          <w:rFonts w:ascii="Arial" w:hAnsi="Arial" w:eastAsia="Arial" w:cs="Arial"/>
          <w:b/>
          <w:bCs/>
          <w:color w:val="2E75B6"/>
          <w:sz w:val="32"/>
          <w:szCs w:val="32"/>
        </w:rPr>
      </w:pPr>
      <w:r>
        <w:rPr>
          <w:rFonts w:eastAsia="Arial" w:cs="Arial"/>
          <w:b/>
          <w:bCs/>
          <w:color w:val="2E75B6"/>
          <w:sz w:val="32"/>
          <w:szCs w:val="32"/>
        </w:rPr>
      </w:r>
    </w:p>
    <w:p>
      <w:pPr>
        <w:pStyle w:val="Heading1"/>
        <w:spacing w:before="0" w:after="160"/>
        <w:rPr>
          <w:rFonts w:ascii="Arial" w:hAnsi="Arial" w:eastAsia="Arial" w:cs="Arial"/>
          <w:b/>
          <w:bCs/>
          <w:color w:val="2E75B6"/>
          <w:sz w:val="32"/>
          <w:szCs w:val="32"/>
        </w:rPr>
      </w:pPr>
      <w:r>
        <w:rPr>
          <w:rFonts w:eastAsia="Arial" w:cs="Arial"/>
          <w:b/>
          <w:bCs/>
          <w:color w:val="2E75B6"/>
          <w:sz w:val="32"/>
          <w:szCs w:val="32"/>
        </w:rPr>
      </w:r>
    </w:p>
    <w:p>
      <w:pPr>
        <w:pStyle w:val="Heading1"/>
        <w:spacing w:before="0" w:after="160"/>
        <w:rPr>
          <w:rFonts w:ascii="Arial" w:hAnsi="Arial" w:eastAsia="Arial" w:cs="Arial"/>
          <w:b/>
          <w:bCs/>
          <w:color w:val="2E75B6"/>
          <w:sz w:val="32"/>
          <w:szCs w:val="32"/>
        </w:rPr>
      </w:pPr>
      <w:r>
        <w:rPr>
          <w:rFonts w:eastAsia="Arial" w:cs="Arial"/>
          <w:b/>
          <w:bCs/>
          <w:color w:val="2E75B6"/>
          <w:sz w:val="32"/>
          <w:szCs w:val="32"/>
        </w:rPr>
      </w:r>
    </w:p>
    <w:p>
      <w:pPr>
        <w:pStyle w:val="Heading1"/>
        <w:spacing w:before="0" w:after="160"/>
        <w:rPr>
          <w:rFonts w:ascii="Arial" w:hAnsi="Arial" w:eastAsia="Arial" w:cs="Arial"/>
          <w:b/>
          <w:bCs/>
          <w:color w:val="2E75B6"/>
          <w:sz w:val="32"/>
          <w:szCs w:val="32"/>
        </w:rPr>
      </w:pPr>
      <w:r>
        <w:rPr>
          <w:rFonts w:eastAsia="Arial" w:cs="Arial"/>
          <w:b/>
          <w:bCs/>
          <w:color w:val="2E75B6"/>
          <w:sz w:val="32"/>
          <w:szCs w:val="32"/>
        </w:rPr>
      </w:r>
    </w:p>
    <w:p>
      <w:pPr>
        <w:pStyle w:val="Heading1"/>
        <w:spacing w:before="0" w:after="160"/>
        <w:rPr>
          <w:rFonts w:ascii="Arial" w:hAnsi="Arial" w:eastAsia="Arial" w:cs="Arial"/>
          <w:b/>
          <w:bCs/>
          <w:color w:val="2E75B6"/>
          <w:sz w:val="32"/>
          <w:szCs w:val="32"/>
        </w:rPr>
      </w:pPr>
      <w:r>
        <w:rPr>
          <w:rFonts w:eastAsia="Arial" w:cs="Arial"/>
          <w:b/>
          <w:bCs/>
          <w:color w:val="2E75B6"/>
          <w:sz w:val="32"/>
          <w:szCs w:val="32"/>
        </w:rPr>
      </w:r>
    </w:p>
    <w:p>
      <w:pPr>
        <w:pStyle w:val="Heading1"/>
        <w:spacing w:before="0" w:after="160"/>
        <w:rPr>
          <w:rFonts w:ascii="Arial" w:hAnsi="Arial" w:eastAsia="Arial" w:cs="Arial"/>
          <w:b/>
          <w:bCs/>
          <w:color w:val="2E75B6"/>
          <w:sz w:val="32"/>
          <w:szCs w:val="32"/>
        </w:rPr>
      </w:pPr>
      <w:r>
        <w:rPr>
          <w:rFonts w:eastAsia="Arial" w:cs="Arial"/>
          <w:b/>
          <w:bCs/>
          <w:color w:val="2E75B6"/>
          <w:sz w:val="32"/>
          <w:szCs w:val="32"/>
        </w:rPr>
      </w:r>
    </w:p>
    <w:p>
      <w:pPr>
        <w:pStyle w:val="Heading1"/>
        <w:spacing w:before="0" w:after="160"/>
        <w:rPr>
          <w:rFonts w:ascii="Arial" w:hAnsi="Arial" w:eastAsia="Arial" w:cs="Arial"/>
          <w:b/>
          <w:bCs/>
          <w:color w:val="2E75B6"/>
          <w:sz w:val="32"/>
          <w:szCs w:val="32"/>
        </w:rPr>
      </w:pPr>
      <w:r>
        <w:rPr>
          <w:rFonts w:eastAsia="Arial" w:cs="Arial"/>
          <w:b/>
          <w:bCs/>
          <w:color w:val="2E75B6"/>
          <w:sz w:val="32"/>
          <w:szCs w:val="32"/>
        </w:rPr>
      </w:r>
    </w:p>
    <w:p>
      <w:pPr>
        <w:pStyle w:val="Heading1"/>
        <w:spacing w:before="0" w:after="160"/>
        <w:rPr>
          <w:rFonts w:ascii="Arial" w:hAnsi="Arial" w:eastAsia="Arial" w:cs="Arial"/>
          <w:b/>
          <w:bCs/>
          <w:color w:val="2E75B6"/>
          <w:sz w:val="32"/>
          <w:szCs w:val="32"/>
        </w:rPr>
      </w:pPr>
      <w:r>
        <w:rPr>
          <w:rFonts w:eastAsia="Arial" w:cs="Arial"/>
          <w:b/>
          <w:bCs/>
          <w:color w:val="2E75B6"/>
          <w:sz w:val="32"/>
          <w:szCs w:val="32"/>
        </w:rPr>
      </w:r>
    </w:p>
    <w:p>
      <w:pPr>
        <w:pStyle w:val="Heading1"/>
        <w:spacing w:before="0" w:after="160"/>
        <w:rPr>
          <w:rFonts w:ascii="Arial" w:hAnsi="Arial" w:eastAsia="Arial" w:cs="Arial"/>
          <w:b/>
          <w:bCs/>
          <w:color w:val="2E75B6"/>
          <w:sz w:val="32"/>
          <w:szCs w:val="32"/>
        </w:rPr>
      </w:pPr>
      <w:r>
        <w:rPr>
          <w:rFonts w:eastAsia="Arial" w:cs="Arial"/>
          <w:b/>
          <w:bCs/>
          <w:color w:val="2E75B6"/>
          <w:sz w:val="32"/>
          <w:szCs w:val="32"/>
        </w:rPr>
      </w:r>
    </w:p>
    <w:p>
      <w:pPr>
        <w:pStyle w:val="Heading1"/>
        <w:spacing w:before="0" w:after="160"/>
        <w:rPr>
          <w:rFonts w:ascii="Arial" w:hAnsi="Arial" w:eastAsia="Arial" w:cs="Arial"/>
          <w:b/>
          <w:bCs/>
          <w:color w:val="2E75B6"/>
          <w:sz w:val="32"/>
          <w:szCs w:val="32"/>
        </w:rPr>
      </w:pPr>
      <w:r>
        <w:rPr>
          <w:rFonts w:eastAsia="Arial" w:cs="Arial"/>
          <w:b/>
          <w:bCs/>
          <w:color w:val="2E75B6"/>
          <w:sz w:val="32"/>
          <w:szCs w:val="32"/>
        </w:rPr>
      </w:r>
    </w:p>
    <w:p>
      <w:pPr>
        <w:pStyle w:val="Heading1"/>
        <w:spacing w:before="0" w:after="160"/>
        <w:rPr>
          <w:rFonts w:ascii="Arial" w:hAnsi="Arial" w:eastAsia="Arial" w:cs="Arial"/>
          <w:b/>
          <w:bCs/>
          <w:color w:val="2E75B6"/>
          <w:sz w:val="32"/>
          <w:szCs w:val="32"/>
        </w:rPr>
      </w:pPr>
      <w:r>
        <w:rPr>
          <w:rFonts w:eastAsia="Arial" w:cs="Arial"/>
          <w:b/>
          <w:bCs/>
          <w:color w:val="2E75B6"/>
          <w:sz w:val="32"/>
          <w:szCs w:val="32"/>
        </w:rPr>
      </w:r>
    </w:p>
    <w:p>
      <w:pPr>
        <w:pStyle w:val="Heading1"/>
        <w:spacing w:before="0" w:after="160"/>
        <w:rPr>
          <w:rFonts w:ascii="Arial" w:hAnsi="Arial" w:eastAsia="Arial" w:cs="Arial"/>
          <w:b/>
          <w:bCs/>
          <w:color w:val="2E75B6"/>
          <w:sz w:val="32"/>
          <w:szCs w:val="32"/>
        </w:rPr>
      </w:pPr>
      <w:r>
        <w:rPr>
          <w:rFonts w:eastAsia="Arial" w:cs="Arial"/>
          <w:b/>
          <w:bCs/>
          <w:color w:val="2E75B6"/>
          <w:sz w:val="32"/>
          <w:szCs w:val="32"/>
        </w:rPr>
      </w:r>
    </w:p>
    <w:p>
      <w:pPr>
        <w:pStyle w:val="Heading1"/>
        <w:spacing w:before="0" w:after="160"/>
        <w:rPr>
          <w:rFonts w:ascii="Arial" w:hAnsi="Arial" w:eastAsia="Arial" w:cs="Arial"/>
          <w:b/>
          <w:bCs/>
          <w:color w:val="2E75B6"/>
          <w:sz w:val="32"/>
          <w:szCs w:val="32"/>
        </w:rPr>
      </w:pPr>
      <w:r>
        <w:rPr>
          <w:rFonts w:eastAsia="Arial" w:cs="Arial"/>
          <w:b/>
          <w:bCs/>
          <w:color w:val="2E75B6"/>
          <w:sz w:val="32"/>
          <w:szCs w:val="32"/>
        </w:rPr>
      </w:r>
    </w:p>
    <w:p>
      <w:pPr>
        <w:pStyle w:val="Heading1"/>
        <w:spacing w:before="0" w:after="160"/>
        <w:rPr>
          <w:rFonts w:ascii="Arial" w:hAnsi="Arial" w:eastAsia="Arial" w:cs="Arial"/>
          <w:b/>
          <w:bCs/>
          <w:color w:val="2E75B6"/>
          <w:sz w:val="32"/>
          <w:szCs w:val="32"/>
        </w:rPr>
      </w:pPr>
      <w:r>
        <w:rPr>
          <w:rFonts w:eastAsia="Arial" w:cs="Arial"/>
          <w:b/>
          <w:bCs/>
          <w:color w:val="2E75B6"/>
          <w:sz w:val="32"/>
          <w:szCs w:val="32"/>
        </w:rPr>
      </w:r>
    </w:p>
    <w:p>
      <w:pPr>
        <w:pStyle w:val="Heading1"/>
        <w:spacing w:before="0" w:after="160"/>
        <w:rPr>
          <w:rFonts w:ascii="Arial" w:hAnsi="Arial" w:eastAsia="Arial" w:cs="Arial"/>
          <w:b/>
          <w:bCs/>
          <w:color w:val="2E75B6"/>
          <w:sz w:val="32"/>
          <w:szCs w:val="32"/>
        </w:rPr>
      </w:pPr>
      <w:r>
        <w:rPr>
          <w:rFonts w:eastAsia="Arial" w:cs="Arial"/>
          <w:b/>
          <w:bCs/>
          <w:color w:val="2E75B6"/>
          <w:sz w:val="32"/>
          <w:szCs w:val="32"/>
        </w:rPr>
      </w:r>
    </w:p>
    <w:p>
      <w:pPr>
        <w:pStyle w:val="Heading1"/>
        <w:spacing w:before="0" w:after="160"/>
        <w:rPr/>
      </w:pPr>
      <w:r>
        <w:rPr/>
      </w:r>
      <w:r>
        <w:br w:type="page"/>
      </w:r>
    </w:p>
    <w:p>
      <w:pPr>
        <w:pStyle w:val="Heading1"/>
        <w:spacing w:before="0" w:after="160"/>
        <w:rPr>
          <w:rFonts w:ascii="Arial" w:hAnsi="Arial" w:eastAsia="Arial" w:cs="Arial"/>
          <w:b/>
          <w:bCs/>
          <w:color w:val="2E75B6"/>
          <w:sz w:val="32"/>
          <w:szCs w:val="32"/>
        </w:rPr>
      </w:pPr>
      <w:r>
        <w:rPr>
          <w:rFonts w:eastAsia="Arial" w:cs="Arial"/>
          <w:b/>
          <w:bCs/>
          <w:color w:val="2E75B6"/>
          <w:sz w:val="32"/>
          <w:szCs w:val="32"/>
        </w:rPr>
      </w:r>
    </w:p>
    <w:p>
      <w:pPr>
        <w:pStyle w:val="Heading1"/>
        <w:rPr/>
      </w:pPr>
      <w:r>
        <w:rPr/>
        <w:t>Sezione 2 — Apprendimento Supervisionato e Classificazione</w:t>
      </w:r>
    </w:p>
    <w:p>
      <w:pPr>
        <w:pStyle w:val="Heading2"/>
        <w:rPr/>
      </w:pPr>
      <w:r>
        <w:rPr/>
        <w:t>Sommario</w:t>
      </w:r>
    </w:p>
    <w:p>
      <w:pPr>
        <w:pStyle w:val="BodyText"/>
        <w:rPr/>
      </w:pPr>
      <w:r>
        <w:rPr/>
        <w:t xml:space="preserve">Due classificatori supervisionati — Regressione Logistica (LR) e Random Forest (RF) — vengono addestrati sul feature matrix derivato dalla pipeline geospaziale. L'esperimento principale confronta le prestazioni con e senza il feature </w:t>
      </w:r>
      <w:r>
        <w:rPr>
          <w:rStyle w:val="SourceText"/>
        </w:rPr>
        <w:t>kb_susceptibility</w:t>
      </w:r>
      <w:r>
        <w:rPr/>
        <w:t xml:space="preserve"> per quantificare il contributo della conoscenza esperta codificata nella KB Prolog. La valutazione usa 5-fold stratified cross-validation con AUC-ROC come metrica principale, riportando media e deviazione standard.</w:t>
      </w:r>
    </w:p>
    <w:p>
      <w:pPr>
        <w:pStyle w:val="Heading2"/>
        <w:rPr/>
      </w:pPr>
      <w:r>
        <w:rPr/>
        <w:t>Costruzione del Feature Matrix</w:t>
      </w:r>
    </w:p>
    <w:p>
      <w:pPr>
        <w:pStyle w:val="BodyText"/>
        <w:rPr/>
      </w:pPr>
      <w:r>
        <w:rPr/>
        <w:t xml:space="preserve">Il feature matrix campiona i pixel validi di Campania a 30 m (15.033.189 pixel nel dominio valido). Tutti i pixel positivi (label=1, dentro poligoni IFFI) sono inclusi integralmente. I negativi sono campionati con rapporto 5:1 (neg:pos), stratificato per </w:t>
      </w:r>
      <w:r>
        <w:rPr>
          <w:rStyle w:val="SourceText"/>
        </w:rPr>
        <w:t>litho_class</w:t>
      </w:r>
      <w:r>
        <w:rPr/>
        <w:t xml:space="preserve">. La stratificazione è necessaria: senza di essa </w:t>
      </w:r>
      <w:r>
        <w:rPr>
          <w:rStyle w:val="SourceText"/>
        </w:rPr>
        <w:t>flysch_clastic</w:t>
      </w:r>
      <w:r>
        <w:rPr/>
        <w:t xml:space="preserve"> (27% dell'area) verrebbe sovracampionato a scapito di </w:t>
      </w:r>
      <w:r>
        <w:rPr>
          <w:rStyle w:val="SourceText"/>
        </w:rPr>
        <w:t>volcanic_pyroclastic</w:t>
      </w:r>
      <w:r>
        <w:rPr/>
        <w:t xml:space="preserve"> (15%) e </w:t>
      </w:r>
      <w:r>
        <w:rPr>
          <w:rStyle w:val="SourceText"/>
        </w:rPr>
        <w:t>hard_rock</w:t>
      </w:r>
      <w:r>
        <w:rPr/>
        <w:t xml:space="preserve"> (18%). Campionamento con </w:t>
      </w:r>
      <w:r>
        <w:rPr>
          <w:rStyle w:val="SourceText"/>
        </w:rPr>
        <w:t>numpy.random.default_rng(seed=42)</w:t>
      </w:r>
      <w:r>
        <w:rPr/>
        <w:t>.</w:t>
      </w:r>
    </w:p>
    <w:p>
      <w:pPr>
        <w:pStyle w:val="Normal"/>
        <w:rPr>
          <w:rFonts w:ascii="Arial" w:hAnsi="Arial" w:eastAsia="Arial" w:cs="Arial"/>
          <w:b/>
          <w:bCs/>
          <w:color w:val="2E75B6"/>
          <w:sz w:val="32"/>
          <w:szCs w:val="32"/>
        </w:rPr>
      </w:pPr>
      <w:r>
        <w:rPr>
          <w:rFonts w:eastAsia="Arial" w:cs="Arial"/>
          <w:b/>
          <w:bCs/>
          <w:color w:val="2E75B6"/>
          <w:sz w:val="32"/>
          <w:szCs w:val="32"/>
        </w:rPr>
      </w:r>
    </w:p>
    <w:tbl>
      <w:tblPr>
        <w:tblW w:w="9026" w:type="dxa"/>
        <w:jc w:val="start"/>
        <w:tblInd w:w="0" w:type="dxa"/>
        <w:tblLayout w:type="fixed"/>
        <w:tblCellMar>
          <w:top w:w="80" w:type="dxa"/>
          <w:start w:w="120" w:type="dxa"/>
          <w:bottom w:w="80" w:type="dxa"/>
          <w:end w:w="120" w:type="dxa"/>
        </w:tblCellMar>
      </w:tblPr>
      <w:tblGrid>
        <w:gridCol w:w="2400"/>
        <w:gridCol w:w="2400"/>
        <w:gridCol w:w="4226"/>
      </w:tblGrid>
      <w:tr>
        <w:trPr/>
        <w:tc>
          <w:tcPr>
            <w:tcW w:w="24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2"/>
                <w:szCs w:val="22"/>
              </w:rPr>
              <w:t>Parametro</w:t>
            </w:r>
          </w:p>
        </w:tc>
        <w:tc>
          <w:tcPr>
            <w:tcW w:w="24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2"/>
                <w:szCs w:val="22"/>
              </w:rPr>
              <w:t>Valore</w:t>
            </w:r>
          </w:p>
        </w:tc>
        <w:tc>
          <w:tcPr>
            <w:tcW w:w="4226"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2"/>
                <w:szCs w:val="22"/>
              </w:rPr>
              <w:t>Motivazione</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Pixel totali Campania</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15.033.189</w:t>
            </w:r>
          </w:p>
        </w:tc>
        <w:tc>
          <w:tcPr>
            <w:tcW w:w="42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Dominio di studio a 30m</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Positivi (IFFI)</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999.696</w:t>
            </w:r>
          </w:p>
        </w:tc>
        <w:tc>
          <w:tcPr>
            <w:tcW w:w="42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Tutti i pixel in poligoni frana validi</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Negativi campionati</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4.998.480</w:t>
            </w:r>
          </w:p>
        </w:tc>
        <w:tc>
          <w:tcPr>
            <w:tcW w:w="42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5:1 stratificato per litho_class</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Totale</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5.998.176 righe</w:t>
            </w:r>
          </w:p>
        </w:tc>
        <w:tc>
          <w:tcPr>
            <w:tcW w:w="42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11 feature + label + metadati spaziali</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Seed RNG</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42</w:t>
            </w:r>
          </w:p>
        </w:tc>
        <w:tc>
          <w:tcPr>
            <w:tcW w:w="42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Riproducibilità</w:t>
            </w:r>
          </w:p>
        </w:tc>
      </w:tr>
    </w:tbl>
    <w:p>
      <w:pPr>
        <w:pStyle w:val="Normal"/>
        <w:spacing w:before="0" w:after="80"/>
        <w:rPr/>
      </w:pPr>
      <w:r>
        <w:rPr/>
      </w:r>
    </w:p>
    <w:p>
      <w:pPr>
        <w:pStyle w:val="BodyText"/>
        <w:spacing w:before="0" w:after="160"/>
        <w:rPr>
          <w:rFonts w:eastAsia="Arial" w:cs="Arial"/>
          <w:sz w:val="24"/>
          <w:szCs w:val="24"/>
        </w:rPr>
      </w:pPr>
      <w:r>
        <w:rPr>
          <w:rFonts w:eastAsia="Arial" w:cs="Arial"/>
          <w:sz w:val="24"/>
          <w:szCs w:val="24"/>
        </w:rPr>
        <w:t>Ogni pixel è assegnato a uno dei 25 blocchi di una griglia 5×5 sull'extent di Campania. Questi blocchi non vengono usati per la CV (si usa stratified k-fold standard). Limitazione documentata: la CV spaziale per blocchi eviterebbe l'autocorrelazione spaziale tra pixel adiacenti in fold diversi, ed è raccomandata per future estensioni.</w:t>
      </w:r>
    </w:p>
    <w:p>
      <w:pPr>
        <w:pStyle w:val="BodyText"/>
        <w:spacing w:before="0" w:after="160"/>
        <w:rPr/>
      </w:pPr>
      <w:r>
        <w:rPr/>
        <w:t xml:space="preserve">Le 11 feature utilizzate sono: </w:t>
      </w:r>
      <w:r>
        <w:rPr>
          <w:rStyle w:val="SourceText"/>
        </w:rPr>
        <w:t>slope</w:t>
      </w:r>
      <w:r>
        <w:rPr/>
        <w:t xml:space="preserve">, </w:t>
      </w:r>
      <w:r>
        <w:rPr>
          <w:rStyle w:val="SourceText"/>
        </w:rPr>
        <w:t>aspect</w:t>
      </w:r>
      <w:r>
        <w:rPr/>
        <w:t xml:space="preserve">, </w:t>
      </w:r>
      <w:r>
        <w:rPr>
          <w:rStyle w:val="SourceText"/>
        </w:rPr>
        <w:t>profile_curvature</w:t>
      </w:r>
      <w:r>
        <w:rPr/>
        <w:t xml:space="preserve">, </w:t>
      </w:r>
      <w:r>
        <w:rPr>
          <w:rStyle w:val="SourceText"/>
        </w:rPr>
        <w:t>planform_curvature</w:t>
      </w:r>
      <w:r>
        <w:rPr/>
        <w:t xml:space="preserve">, </w:t>
      </w:r>
      <w:r>
        <w:rPr>
          <w:rStyle w:val="SourceText"/>
        </w:rPr>
        <w:t>twi</w:t>
      </w:r>
      <w:r>
        <w:rPr/>
        <w:t xml:space="preserve">, </w:t>
      </w:r>
      <w:r>
        <w:rPr>
          <w:rStyle w:val="SourceText"/>
        </w:rPr>
        <w:t>flow_accumulation</w:t>
      </w:r>
      <w:r>
        <w:rPr/>
        <w:t xml:space="preserve"> (derivate dal DEM), </w:t>
      </w:r>
      <w:r>
        <w:rPr>
          <w:rStyle w:val="SourceText"/>
        </w:rPr>
        <w:t>litho_class</w:t>
      </w:r>
      <w:r>
        <w:rPr/>
        <w:t xml:space="preserve"> (0–5), </w:t>
      </w:r>
      <w:r>
        <w:rPr>
          <w:rStyle w:val="SourceText"/>
        </w:rPr>
        <w:t>corine</w:t>
      </w:r>
      <w:r>
        <w:rPr/>
        <w:t xml:space="preserve"> (codice CLC), </w:t>
      </w:r>
      <w:r>
        <w:rPr>
          <w:rStyle w:val="SourceText"/>
        </w:rPr>
        <w:t>dist_drainage</w:t>
      </w:r>
      <w:r>
        <w:rPr/>
        <w:t xml:space="preserve"> (metri), </w:t>
      </w:r>
      <w:r>
        <w:rPr>
          <w:rStyle w:val="SourceText"/>
        </w:rPr>
        <w:t>dist_roads</w:t>
      </w:r>
      <w:r>
        <w:rPr/>
        <w:t xml:space="preserve"> (log-trasformata), </w:t>
      </w:r>
      <w:r>
        <w:rPr>
          <w:rStyle w:val="SourceText"/>
        </w:rPr>
        <w:t>kb_susceptibility</w:t>
      </w:r>
      <w:r>
        <w:rPr/>
        <w:t xml:space="preserve"> (0–2, derivato dalla KB Prolog).</w:t>
      </w:r>
    </w:p>
    <w:p>
      <w:pPr>
        <w:pStyle w:val="Normal"/>
        <w:spacing w:before="0" w:after="160"/>
        <w:rPr>
          <w:rFonts w:eastAsia="Arial" w:cs="Arial"/>
          <w:sz w:val="24"/>
          <w:szCs w:val="24"/>
        </w:rPr>
      </w:pPr>
      <w:r>
        <w:rPr>
          <w:rFonts w:eastAsia="Arial" w:cs="Arial"/>
          <w:sz w:val="24"/>
          <w:szCs w:val="24"/>
        </w:rPr>
      </w:r>
    </w:p>
    <w:p>
      <w:pPr>
        <w:pStyle w:val="Heading2"/>
        <w:rPr/>
      </w:pPr>
      <w:r>
        <w:rPr/>
        <w:t>Scelta dei Modelli e degli Iperparametri</w:t>
      </w:r>
    </w:p>
    <w:p>
      <w:pPr>
        <w:pStyle w:val="BodyText"/>
        <w:rPr/>
      </w:pPr>
      <w:r>
        <w:rPr/>
        <w:t>I due modelli sono stati scelti per rappresentare due classi di complessità differenti, con l'obiettivo specifico di testare l'effetto della Background Knowledge su modelli con capacità di apprendimento diverse.</w:t>
      </w:r>
    </w:p>
    <w:p>
      <w:pPr>
        <w:pStyle w:val="BodyText"/>
        <w:rPr/>
      </w:pPr>
      <w:r>
        <w:rPr>
          <w:rStyle w:val="Strong"/>
        </w:rPr>
        <w:t>Regressione Logistica</w:t>
      </w:r>
      <w:r>
        <w:rPr/>
        <w:t xml:space="preserve">: </w:t>
      </w:r>
      <w:r>
        <w:rPr>
          <w:rStyle w:val="SourceText"/>
        </w:rPr>
        <w:t>max_iter=1000</w:t>
      </w:r>
      <w:r>
        <w:rPr/>
        <w:t xml:space="preserve">, </w:t>
      </w:r>
      <w:r>
        <w:rPr>
          <w:rStyle w:val="SourceText"/>
        </w:rPr>
        <w:t>C=1.0</w:t>
      </w:r>
      <w:r>
        <w:rPr/>
        <w:t xml:space="preserve"> (default), regolarizzazione L2. </w:t>
      </w:r>
      <w:r>
        <w:rPr>
          <w:rStyle w:val="SourceText"/>
        </w:rPr>
        <w:t>StandardScaler</w:t>
      </w:r>
      <w:r>
        <w:rPr/>
        <w:t xml:space="preserve"> applicato dentro il loop di CV (fit solo sul train fold per evitare data leakage). LR è un modello lineare: non può apprendere interazioni tra feature senza trasformazioni esplicite dei dati in input. Questo rende particolarmente informativo il test con/senza </w:t>
      </w:r>
      <w:r>
        <w:rPr>
          <w:rStyle w:val="SourceText"/>
        </w:rPr>
        <w:t>kb_susceptibility</w:t>
      </w:r>
      <w:r>
        <w:rPr/>
        <w:t>, poiché la KB precomputa esattamente le interazioni non-lineari (litologia×pendenza×drenaggio×copertura) che LR non è in grado di scoprire autonomamente.</w:t>
      </w:r>
    </w:p>
    <w:p>
      <w:pPr>
        <w:pStyle w:val="BodyText"/>
        <w:rPr/>
      </w:pPr>
      <w:r>
        <w:rPr>
          <w:rStyle w:val="Strong"/>
        </w:rPr>
        <w:t>Random Forest</w:t>
      </w:r>
      <w:r>
        <w:rPr/>
        <w:t xml:space="preserve">: </w:t>
      </w:r>
      <w:r>
        <w:rPr>
          <w:rStyle w:val="SourceText"/>
        </w:rPr>
        <w:t>n_estimators=100</w:t>
      </w:r>
      <w:r>
        <w:rPr/>
        <w:t xml:space="preserve">, </w:t>
      </w:r>
      <w:r>
        <w:rPr>
          <w:rStyle w:val="SourceText"/>
        </w:rPr>
        <w:t>random_state=42</w:t>
      </w:r>
      <w:r>
        <w:rPr/>
        <w:t xml:space="preserve">, </w:t>
      </w:r>
      <w:r>
        <w:rPr>
          <w:rStyle w:val="SourceText"/>
        </w:rPr>
        <w:t>n_jobs=-1</w:t>
      </w:r>
      <w:r>
        <w:rPr/>
        <w:t>, profondità illimitata. Non è stato effettuato tuning degli iperparametri (ad es. tramite GridSearchCV): l'obiettivo dell'esperimento non è ottimizzare le prestazioni assolute, ma confrontare la condizione con/senza KB feature a parità di configurazione. RF, essendo un ensemble di alberi decisionali, può apprendere autonomamente interazioni non-lineari tra feature attraverso i criteri di split.</w:t>
      </w:r>
    </w:p>
    <w:p>
      <w:pPr>
        <w:pStyle w:val="BodyText"/>
        <w:rPr/>
      </w:pPr>
      <w:r>
        <w:rPr>
          <w:rStyle w:val="Strong"/>
        </w:rPr>
        <w:t>Metrica principale — AUC-ROC</w:t>
      </w:r>
      <w:r>
        <w:rPr/>
        <w:t>: il dataset rimane sbilanciato (1:5) anche dopo il campionamento; accuracy e F1 al threshold 0,5 sarebbero fuorvianti. AUC misura la capacità discriminante indipendentemente dalla soglia di decisione ed è la metrica standard nella letteratura sulla suscettibilità da frana (Catani et al., 2013; Guzzetti et al., 2006).</w:t>
      </w:r>
    </w:p>
    <w:p>
      <w:pPr>
        <w:pStyle w:val="Heading2"/>
        <w:rPr/>
      </w:pPr>
      <w:r>
        <w:rPr/>
        <w:t>Protocollo di Valutazione</w:t>
      </w:r>
    </w:p>
    <w:p>
      <w:pPr>
        <w:pStyle w:val="BodyText"/>
        <w:rPr/>
      </w:pPr>
      <w:r>
        <w:rPr/>
        <w:t>La valutazione segue il protocollo della K-Fold Cross Validation con K=5 fold stratificati per classe. Ad ogni iterazione, 4 fold sono usati per il training e 1 per il test, ruotando fino a coprire l'intero dataset. Per ogni modello si riportano media e deviazione standard delle metriche sui 5 fold.</w:t>
      </w:r>
    </w:p>
    <w:p>
      <w:pPr>
        <w:pStyle w:val="BodyText"/>
        <w:rPr/>
      </w:pPr>
      <w:r>
        <w:rPr/>
        <w:t xml:space="preserve">L'esperimento viene eseguito in quattro configurazioni: LR senza KB, LR con KB, RF senza KB, RF con KB. Le configurazioni differiscono solo per la presenza o assenza del feature </w:t>
      </w:r>
      <w:r>
        <w:rPr>
          <w:rStyle w:val="SourceText"/>
        </w:rPr>
        <w:t>kb_susceptibility</w:t>
      </w:r>
      <w:r>
        <w:rPr/>
        <w:t xml:space="preserve"> nel set di input.</w:t>
      </w:r>
    </w:p>
    <w:p>
      <w:pPr>
        <w:pStyle w:val="BodyText"/>
        <w:rPr>
          <w:rFonts w:ascii="Arial" w:hAnsi="Arial" w:eastAsia="Arial" w:cs="Arial"/>
          <w:b/>
          <w:bCs/>
          <w:color w:val="2E4057"/>
          <w:sz w:val="24"/>
          <w:szCs w:val="24"/>
        </w:rPr>
      </w:pPr>
      <w:r>
        <w:rPr>
          <w:rFonts w:eastAsia="Arial" w:cs="Arial"/>
          <w:b/>
          <w:bCs/>
          <w:color w:val="2E4057"/>
          <w:sz w:val="24"/>
          <w:szCs w:val="24"/>
        </w:rPr>
      </w:r>
    </w:p>
    <w:p>
      <w:pPr>
        <w:pStyle w:val="BodyText"/>
        <w:rPr>
          <w:rFonts w:ascii="Arial" w:hAnsi="Arial" w:eastAsia="Arial" w:cs="Arial"/>
          <w:b/>
          <w:bCs/>
          <w:color w:val="2E4057"/>
          <w:sz w:val="24"/>
          <w:szCs w:val="24"/>
        </w:rPr>
      </w:pPr>
      <w:r>
        <w:rPr>
          <w:rFonts w:eastAsia="Arial" w:cs="Arial"/>
          <w:b/>
          <w:bCs/>
          <w:color w:val="2E4057"/>
          <w:sz w:val="24"/>
          <w:szCs w:val="24"/>
        </w:rPr>
      </w:r>
    </w:p>
    <w:p>
      <w:pPr>
        <w:pStyle w:val="BodyText"/>
        <w:rPr>
          <w:rFonts w:ascii="Arial" w:hAnsi="Arial" w:eastAsia="Arial" w:cs="Arial"/>
          <w:b/>
          <w:bCs/>
          <w:color w:val="2E4057"/>
          <w:sz w:val="24"/>
          <w:szCs w:val="24"/>
        </w:rPr>
      </w:pPr>
      <w:r>
        <w:rPr>
          <w:rFonts w:eastAsia="Arial" w:cs="Arial"/>
          <w:b/>
          <w:bCs/>
          <w:color w:val="2E4057"/>
          <w:sz w:val="24"/>
          <w:szCs w:val="24"/>
        </w:rPr>
      </w:r>
    </w:p>
    <w:p>
      <w:pPr>
        <w:pStyle w:val="BodyText"/>
        <w:rPr>
          <w:rFonts w:ascii="Arial" w:hAnsi="Arial" w:eastAsia="Arial" w:cs="Arial"/>
          <w:b/>
          <w:bCs/>
          <w:color w:val="2E4057"/>
          <w:sz w:val="24"/>
          <w:szCs w:val="24"/>
        </w:rPr>
      </w:pPr>
      <w:r>
        <w:rPr>
          <w:rFonts w:eastAsia="Arial" w:cs="Arial"/>
          <w:b/>
          <w:bCs/>
          <w:color w:val="2E4057"/>
          <w:sz w:val="24"/>
          <w:szCs w:val="24"/>
        </w:rPr>
      </w:r>
    </w:p>
    <w:p>
      <w:pPr>
        <w:pStyle w:val="BodyText"/>
        <w:rPr>
          <w:rFonts w:ascii="Arial" w:hAnsi="Arial" w:eastAsia="Arial" w:cs="Arial"/>
          <w:b/>
          <w:bCs/>
          <w:color w:val="2E4057"/>
          <w:sz w:val="24"/>
          <w:szCs w:val="24"/>
        </w:rPr>
      </w:pPr>
      <w:r>
        <w:rPr>
          <w:rFonts w:eastAsia="Arial" w:cs="Arial"/>
          <w:b/>
          <w:bCs/>
          <w:color w:val="2E4057"/>
          <w:sz w:val="24"/>
          <w:szCs w:val="24"/>
        </w:rPr>
      </w:r>
    </w:p>
    <w:p>
      <w:pPr>
        <w:pStyle w:val="BodyText"/>
        <w:rPr>
          <w:rFonts w:ascii="Arial" w:hAnsi="Arial" w:eastAsia="Arial" w:cs="Arial"/>
          <w:b/>
          <w:bCs/>
          <w:color w:val="2E4057"/>
          <w:sz w:val="24"/>
          <w:szCs w:val="24"/>
        </w:rPr>
      </w:pPr>
      <w:r>
        <w:rPr>
          <w:rFonts w:eastAsia="Arial" w:cs="Arial"/>
          <w:b/>
          <w:bCs/>
          <w:color w:val="2E4057"/>
          <w:sz w:val="24"/>
          <w:szCs w:val="24"/>
        </w:rPr>
      </w:r>
    </w:p>
    <w:p>
      <w:pPr>
        <w:pStyle w:val="Heading2"/>
        <w:rPr/>
      </w:pPr>
      <w:r>
        <w:rPr>
          <w:rFonts w:eastAsia="Arial" w:cs="Arial"/>
          <w:b/>
          <w:bCs/>
          <w:color w:val="2E4057"/>
          <w:sz w:val="28"/>
          <w:szCs w:val="28"/>
        </w:rPr>
        <w:t>Risultati</w:t>
      </w:r>
    </w:p>
    <w:p>
      <w:pPr>
        <w:pStyle w:val="Normal"/>
        <w:spacing w:before="0" w:after="160"/>
        <w:rPr/>
      </w:pPr>
      <w:r>
        <w:rPr>
          <w:rFonts w:eastAsia="Arial" w:cs="Arial"/>
          <w:sz w:val="24"/>
          <w:szCs w:val="24"/>
        </w:rPr>
        <w:t>Risultati della 5-fold stratified cross-validation (media ± deviazione standard):</w:t>
      </w:r>
    </w:p>
    <w:tbl>
      <w:tblPr>
        <w:tblW w:w="9026" w:type="dxa"/>
        <w:jc w:val="start"/>
        <w:tblInd w:w="0" w:type="dxa"/>
        <w:tblLayout w:type="fixed"/>
        <w:tblCellMar>
          <w:top w:w="80" w:type="dxa"/>
          <w:start w:w="120" w:type="dxa"/>
          <w:bottom w:w="80" w:type="dxa"/>
          <w:end w:w="120" w:type="dxa"/>
        </w:tblCellMar>
      </w:tblPr>
      <w:tblGrid>
        <w:gridCol w:w="2400"/>
        <w:gridCol w:w="1696"/>
        <w:gridCol w:w="1603"/>
        <w:gridCol w:w="1601"/>
        <w:gridCol w:w="1726"/>
      </w:tblGrid>
      <w:tr>
        <w:trPr/>
        <w:tc>
          <w:tcPr>
            <w:tcW w:w="24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2"/>
                <w:szCs w:val="22"/>
              </w:rPr>
              <w:t>Modello / Feature set</w:t>
            </w:r>
          </w:p>
        </w:tc>
        <w:tc>
          <w:tcPr>
            <w:tcW w:w="1696"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2"/>
                <w:szCs w:val="22"/>
              </w:rPr>
              <w:t>AUC-ROC</w:t>
            </w:r>
          </w:p>
        </w:tc>
        <w:tc>
          <w:tcPr>
            <w:tcW w:w="1603"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2"/>
                <w:szCs w:val="22"/>
              </w:rPr>
              <w:t>F1</w:t>
            </w:r>
          </w:p>
        </w:tc>
        <w:tc>
          <w:tcPr>
            <w:tcW w:w="1601"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2"/>
                <w:szCs w:val="22"/>
              </w:rPr>
              <w:t>Precision</w:t>
            </w:r>
          </w:p>
        </w:tc>
        <w:tc>
          <w:tcPr>
            <w:tcW w:w="1726"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2"/>
                <w:szCs w:val="22"/>
              </w:rPr>
              <w:t>Recall</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KB standalone (baseline)</w:t>
            </w:r>
          </w:p>
        </w:tc>
        <w:tc>
          <w:tcPr>
            <w:tcW w:w="169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0,677 ± —</w:t>
            </w:r>
          </w:p>
        </w:tc>
        <w:tc>
          <w:tcPr>
            <w:tcW w:w="160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0,367</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0,232</w:t>
            </w:r>
          </w:p>
        </w:tc>
        <w:tc>
          <w:tcPr>
            <w:tcW w:w="17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0,874</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LR senza KB</w:t>
            </w:r>
          </w:p>
        </w:tc>
        <w:tc>
          <w:tcPr>
            <w:tcW w:w="169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0,599 ± 0,0004</w:t>
            </w:r>
          </w:p>
        </w:tc>
        <w:tc>
          <w:tcPr>
            <w:tcW w:w="160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0,001 ± 0,0001</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0,107 ± 0,011</w:t>
            </w:r>
          </w:p>
        </w:tc>
        <w:tc>
          <w:tcPr>
            <w:tcW w:w="17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0,001 ± 0,0001</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LR con KB</w:t>
            </w:r>
          </w:p>
        </w:tc>
        <w:tc>
          <w:tcPr>
            <w:tcW w:w="169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0,738 ± 0,0001</w:t>
            </w:r>
          </w:p>
        </w:tc>
        <w:tc>
          <w:tcPr>
            <w:tcW w:w="160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0,038 ± 0,0008</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0,443 ± 0,005</w:t>
            </w:r>
          </w:p>
        </w:tc>
        <w:tc>
          <w:tcPr>
            <w:tcW w:w="17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0,020 ± 0,0004</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RF senza KB</w:t>
            </w:r>
          </w:p>
        </w:tc>
        <w:tc>
          <w:tcPr>
            <w:tcW w:w="169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0,854 ± 0,0004</w:t>
            </w:r>
          </w:p>
        </w:tc>
        <w:tc>
          <w:tcPr>
            <w:tcW w:w="160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0,357 ± 0,0014</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0,603 ± 0,001</w:t>
            </w:r>
          </w:p>
        </w:tc>
        <w:tc>
          <w:tcPr>
            <w:tcW w:w="17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0,254 ± 0,0014</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RF con KB</w:t>
            </w:r>
          </w:p>
        </w:tc>
        <w:tc>
          <w:tcPr>
            <w:tcW w:w="169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0,852 ± 0,0003</w:t>
            </w:r>
          </w:p>
        </w:tc>
        <w:tc>
          <w:tcPr>
            <w:tcW w:w="160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0,351 ± 0,0017</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0,598 ± 0,001</w:t>
            </w:r>
          </w:p>
        </w:tc>
        <w:tc>
          <w:tcPr>
            <w:tcW w:w="17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0,248 ± 0,0016</w:t>
            </w:r>
          </w:p>
        </w:tc>
      </w:tr>
    </w:tbl>
    <w:p>
      <w:pPr>
        <w:pStyle w:val="Normal"/>
        <w:spacing w:before="0" w:after="80"/>
        <w:rPr/>
      </w:pPr>
      <w:r>
        <w:rPr/>
      </w:r>
    </w:p>
    <w:p>
      <w:pPr>
        <w:pStyle w:val="BodyText"/>
        <w:spacing w:before="0" w:after="160"/>
        <w:rPr>
          <w:rFonts w:eastAsia="Arial" w:cs="Arial"/>
          <w:sz w:val="24"/>
          <w:szCs w:val="24"/>
        </w:rPr>
      </w:pPr>
      <w:r>
        <w:rPr>
          <w:rFonts w:eastAsia="Arial" w:cs="Arial"/>
          <w:sz w:val="24"/>
          <w:szCs w:val="24"/>
        </w:rPr>
        <w:t>Le deviazioni standard sono molto basse (ordine di 10⁻⁴) a causa della dimensione del dataset (~6M righe): con fold di oltre un milione di pixel ciascuno, le stime sono estremamente stabili tra un fold e l'altro.</w:t>
      </w:r>
    </w:p>
    <w:p>
      <w:pPr>
        <w:pStyle w:val="Heading2"/>
        <w:rPr/>
      </w:pPr>
      <w:r>
        <w:rPr/>
        <w:t>Analisi dei Risultati</w:t>
      </w:r>
    </w:p>
    <w:p>
      <w:pPr>
        <w:pStyle w:val="BodyText"/>
        <w:spacing w:before="0" w:after="160"/>
        <w:rPr/>
      </w:pPr>
      <w:r>
        <w:rPr/>
        <w:t>Il risultato principale riguarda l'interazione tra Background Knowledge e capacità del modello base.</w:t>
      </w:r>
    </w:p>
    <w:p>
      <w:pPr>
        <w:pStyle w:val="BodyText"/>
        <w:spacing w:before="0" w:after="160"/>
        <w:rPr/>
      </w:pPr>
      <w:r>
        <w:rPr>
          <w:rStyle w:val="Strong"/>
        </w:rPr>
        <w:t>Effetto sulla Regressione Logistica (+0,139 AUC)</w:t>
      </w:r>
      <w:r>
        <w:rPr/>
        <w:t xml:space="preserve">: l'aggiunta di </w:t>
      </w:r>
      <w:r>
        <w:rPr>
          <w:rStyle w:val="SourceText"/>
        </w:rPr>
        <w:t>kb_susceptibility</w:t>
      </w:r>
      <w:r>
        <w:rPr/>
        <w:t xml:space="preserve"> produce un incremento da 0,599 a 0,738 in AUC. Questo è coerente con la natura del feature: la KB precomputa la combinazione non-lineare litologia×pendenza×drenaggio×copertura in un singolo feature discreto (0, 1 o 2) che LR può sfruttare linearmente. Senza questo feature, LR ha accesso ai singoli input (slope, litho_class, ecc.) ma non può scoprire le loro interazioni. Il recall molto basso di LR (0,001 senza KB, 0,020 con KB) al threshold di 0,5 riflette un problema di calibrazione tipico dei modelli lineari su dataset sbilanciati: l'AUC conferma che il potere discriminante esiste ma richiede un tuning della soglia per uso pratico.</w:t>
      </w:r>
    </w:p>
    <w:p>
      <w:pPr>
        <w:pStyle w:val="BodyText"/>
        <w:spacing w:before="0" w:after="160"/>
        <w:rPr/>
      </w:pPr>
      <w:r>
        <w:rPr>
          <w:rStyle w:val="Strong"/>
        </w:rPr>
        <w:t>Effetto sul Random Forest (−0,002 AUC, trascurabile)</w:t>
      </w:r>
      <w:r>
        <w:rPr/>
        <w:t xml:space="preserve">: RF con KB ottiene 0,852 vs RF senza KB 0,854, differenza ampiamente entro una deviazione standard. La feature importance conferma il motivo: </w:t>
      </w:r>
      <w:r>
        <w:rPr>
          <w:rStyle w:val="SourceText"/>
        </w:rPr>
        <w:t>kb_susceptibility</w:t>
      </w:r>
      <w:r>
        <w:rPr/>
        <w:t xml:space="preserve"> riceve solo il 3,7% di importanza (ultima posizione), poiché RF ha accesso diretto a </w:t>
      </w:r>
      <w:r>
        <w:rPr>
          <w:rStyle w:val="SourceText"/>
        </w:rPr>
        <w:t>slope</w:t>
      </w:r>
      <w:r>
        <w:rPr/>
        <w:t xml:space="preserve"> (14,2%), </w:t>
      </w:r>
      <w:r>
        <w:rPr>
          <w:rStyle w:val="SourceText"/>
        </w:rPr>
        <w:t>litho_class</w:t>
      </w:r>
      <w:r>
        <w:rPr/>
        <w:t xml:space="preserve"> (6,3%) e </w:t>
      </w:r>
      <w:r>
        <w:rPr>
          <w:rStyle w:val="SourceText"/>
        </w:rPr>
        <w:t>corine</w:t>
      </w:r>
      <w:r>
        <w:rPr/>
        <w:t xml:space="preserve"> (4,3%) — gli stessi input grezzi che la KB combina. RF impara autonomamente le interazioni che la KB codifica esplicitamente.</w:t>
      </w:r>
    </w:p>
    <w:p>
      <w:pPr>
        <w:pStyle w:val="BodyText"/>
        <w:spacing w:before="0" w:after="160"/>
        <w:rPr/>
      </w:pPr>
      <w:r>
        <w:rPr/>
        <w:t>La KB risulta quindi sostanzialmente utile per modelli lineari tuttavia ridondante per modelli non-lineari, risultato coerente con la letteratura sull'integrazione di Background Knowledge nei sistemi ML e costituisce il principale risultato dell'esperimento comparativo.</w:t>
      </w:r>
    </w:p>
    <w:p>
      <w:pPr>
        <w:pStyle w:val="Normal"/>
        <w:spacing w:before="0" w:after="160"/>
        <w:rPr>
          <w:rFonts w:eastAsia="Arial" w:cs="Arial"/>
          <w:sz w:val="24"/>
          <w:szCs w:val="24"/>
        </w:rPr>
      </w:pPr>
      <w:r>
        <w:rPr>
          <w:rFonts w:eastAsia="Arial" w:cs="Arial"/>
          <w:sz w:val="24"/>
          <w:szCs w:val="24"/>
        </w:rPr>
      </w:r>
    </w:p>
    <w:p>
      <w:pPr>
        <w:pStyle w:val="Normal"/>
        <w:spacing w:before="0" w:after="160"/>
        <w:rPr/>
      </w:pPr>
      <w:r>
        <w:rPr>
          <w:rFonts w:eastAsia="Arial" w:cs="Arial"/>
          <w:sz w:val="24"/>
          <w:szCs w:val="24"/>
        </w:rPr>
        <w:t>Feature importance Random Forest (fit su dataset completo):</w:t>
      </w:r>
    </w:p>
    <w:tbl>
      <w:tblPr>
        <w:tblW w:w="9026" w:type="dxa"/>
        <w:jc w:val="start"/>
        <w:tblInd w:w="0" w:type="dxa"/>
        <w:tblLayout w:type="fixed"/>
        <w:tblCellMar>
          <w:top w:w="80" w:type="dxa"/>
          <w:start w:w="120" w:type="dxa"/>
          <w:bottom w:w="80" w:type="dxa"/>
          <w:end w:w="120" w:type="dxa"/>
        </w:tblCellMar>
      </w:tblPr>
      <w:tblGrid>
        <w:gridCol w:w="2600"/>
        <w:gridCol w:w="1800"/>
        <w:gridCol w:w="4626"/>
      </w:tblGrid>
      <w:tr>
        <w:trPr/>
        <w:tc>
          <w:tcPr>
            <w:tcW w:w="26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2"/>
                <w:szCs w:val="22"/>
              </w:rPr>
              <w:t>Feature</w:t>
            </w:r>
          </w:p>
        </w:tc>
        <w:tc>
          <w:tcPr>
            <w:tcW w:w="18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2"/>
                <w:szCs w:val="22"/>
              </w:rPr>
              <w:t>Importanza</w:t>
            </w:r>
          </w:p>
        </w:tc>
        <w:tc>
          <w:tcPr>
            <w:tcW w:w="4626"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2"/>
                <w:szCs w:val="22"/>
              </w:rPr>
              <w:t>Nota</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slope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0,142</w:t>
            </w:r>
          </w:p>
        </w:tc>
        <w:tc>
          <w:tcPr>
            <w:tcW w:w="4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Fattore primario</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planform_curvature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0,120</w:t>
            </w:r>
          </w:p>
        </w:tc>
        <w:tc>
          <w:tcPr>
            <w:tcW w:w="4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Convergenza flusso superficiale</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aspect</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0,116</w:t>
            </w:r>
          </w:p>
        </w:tc>
        <w:tc>
          <w:tcPr>
            <w:tcW w:w="4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Orientamento versante</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twi</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0,113</w:t>
            </w:r>
          </w:p>
        </w:tc>
        <w:tc>
          <w:tcPr>
            <w:tcW w:w="4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Indice umidità topografica</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profile_curvature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0,112</w:t>
            </w:r>
          </w:p>
        </w:tc>
        <w:tc>
          <w:tcPr>
            <w:tcW w:w="4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Accelerazione flusso</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dist_roads</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0,108</w:t>
            </w:r>
          </w:p>
        </w:tc>
        <w:tc>
          <w:tcPr>
            <w:tcW w:w="4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Effetto infrastrutture</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dist_drainage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0,099</w:t>
            </w:r>
          </w:p>
        </w:tc>
        <w:tc>
          <w:tcPr>
            <w:tcW w:w="4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Scalzamento al piede</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litho_class</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0,063</w:t>
            </w:r>
          </w:p>
        </w:tc>
        <w:tc>
          <w:tcPr>
            <w:tcW w:w="4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Litologia geotecnica</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flow_accumulation</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0,048</w:t>
            </w:r>
          </w:p>
        </w:tc>
        <w:tc>
          <w:tcPr>
            <w:tcW w:w="4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Rete idrografica implicita</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corine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0,043</w:t>
            </w:r>
          </w:p>
        </w:tc>
        <w:tc>
          <w:tcPr>
            <w:tcW w:w="4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Copertura suolo</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kb_susceptibility</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0,037</w:t>
            </w:r>
          </w:p>
        </w:tc>
        <w:tc>
          <w:tcPr>
            <w:tcW w:w="4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Conoscenza esperta (ridondante per RF)</w:t>
            </w:r>
          </w:p>
        </w:tc>
      </w:tr>
    </w:tbl>
    <w:p>
      <w:pPr>
        <w:pStyle w:val="Normal"/>
        <w:spacing w:before="0" w:after="80"/>
        <w:rPr/>
      </w:pPr>
      <w:r>
        <w:rPr/>
      </w:r>
    </w:p>
    <w:p>
      <w:pPr>
        <w:pStyle w:val="Heading2"/>
        <w:rPr/>
      </w:pPr>
      <w:r>
        <w:rPr/>
        <w:t>Strumenti Utilizzati</w:t>
      </w:r>
    </w:p>
    <w:p>
      <w:pPr>
        <w:pStyle w:val="BodyText"/>
        <w:numPr>
          <w:ilvl w:val="0"/>
          <w:numId w:val="4"/>
        </w:numPr>
        <w:tabs>
          <w:tab w:val="clear" w:pos="720"/>
          <w:tab w:val="left" w:pos="0" w:leader="none"/>
        </w:tabs>
        <w:spacing w:before="0" w:after="0"/>
        <w:ind w:hanging="283" w:start="709"/>
        <w:rPr/>
      </w:pPr>
      <w:r>
        <w:rPr>
          <w:rStyle w:val="Strong"/>
        </w:rPr>
        <w:t>scikit-learn</w:t>
      </w:r>
      <w:r>
        <w:rPr/>
        <w:t xml:space="preserve">: </w:t>
      </w:r>
      <w:r>
        <w:rPr>
          <w:rStyle w:val="SourceText"/>
        </w:rPr>
        <w:t>LogisticRegression</w:t>
      </w:r>
      <w:r>
        <w:rPr/>
        <w:t xml:space="preserve">, </w:t>
      </w:r>
      <w:r>
        <w:rPr>
          <w:rStyle w:val="SourceText"/>
        </w:rPr>
        <w:t>RandomForestClassifier</w:t>
      </w:r>
      <w:r>
        <w:rPr/>
        <w:t xml:space="preserve">, </w:t>
      </w:r>
      <w:r>
        <w:rPr>
          <w:rStyle w:val="SourceText"/>
        </w:rPr>
        <w:t>StratifiedKFold</w:t>
      </w:r>
      <w:r>
        <w:rPr/>
        <w:t xml:space="preserve">, </w:t>
      </w:r>
      <w:r>
        <w:rPr>
          <w:rStyle w:val="SourceText"/>
        </w:rPr>
        <w:t>StandardScaler</w:t>
      </w:r>
      <w:r>
        <w:rPr/>
        <w:t xml:space="preserve">, </w:t>
      </w:r>
      <w:r>
        <w:rPr>
          <w:rStyle w:val="SourceText"/>
        </w:rPr>
        <w:t>roc_auc_score</w:t>
      </w:r>
      <w:r>
        <w:rPr/>
        <w:t xml:space="preserve"> </w:t>
      </w:r>
    </w:p>
    <w:p>
      <w:pPr>
        <w:pStyle w:val="BodyText"/>
        <w:numPr>
          <w:ilvl w:val="0"/>
          <w:numId w:val="4"/>
        </w:numPr>
        <w:tabs>
          <w:tab w:val="clear" w:pos="720"/>
          <w:tab w:val="left" w:pos="0" w:leader="none"/>
        </w:tabs>
        <w:ind w:hanging="283" w:start="709"/>
        <w:rPr/>
      </w:pPr>
      <w:r>
        <w:rPr>
          <w:rStyle w:val="Strong"/>
        </w:rPr>
        <w:t>pandas, numpy, pyarrow</w:t>
      </w:r>
      <w:r>
        <w:rPr/>
        <w:t>: feature matrix in formato parquet (215,9 MB)</w:t>
      </w:r>
    </w:p>
    <w:p>
      <w:pPr>
        <w:pStyle w:val="Normal"/>
        <w:rPr/>
      </w:pPr>
      <w:r>
        <w:rPr/>
      </w:r>
      <w:r>
        <w:br w:type="page"/>
      </w:r>
    </w:p>
    <w:p>
      <w:pPr>
        <w:pStyle w:val="Heading1"/>
        <w:spacing w:before="0" w:after="160"/>
        <w:rPr/>
      </w:pPr>
      <w:r>
        <w:rPr>
          <w:rFonts w:eastAsia="Arial" w:cs="Arial"/>
          <w:b/>
          <w:bCs/>
          <w:color w:val="2E75B6"/>
          <w:sz w:val="32"/>
          <w:szCs w:val="32"/>
        </w:rPr>
        <w:t>Conclusioni</w:t>
      </w:r>
    </w:p>
    <w:p>
      <w:pPr>
        <w:pStyle w:val="BodyText"/>
        <w:spacing w:before="0" w:after="160"/>
        <w:rPr/>
      </w:pPr>
      <w:r>
        <w:rPr/>
        <w:t>Il progetto ha sviluppato un Knowledge-Based System che integra ragionamento logico simbolico e apprendimento supervisionato per la mappatura della suscettibilità da frana in Campania. I due aspetti principali del sistema — la KB Prolog e i classificatori ML — sono stati valutati sia autonomamente sia in combinazione.</w:t>
      </w:r>
    </w:p>
    <w:p>
      <w:pPr>
        <w:pStyle w:val="BodyText"/>
        <w:spacing w:before="0" w:after="160"/>
        <w:rPr/>
      </w:pPr>
      <w:r>
        <w:rPr/>
        <w:t xml:space="preserve">Il risultato principale dell'esperimento comparativo riguarda l'interazione tra Background Knowledge e capacità del modello. Il feature </w:t>
      </w:r>
      <w:r>
        <w:rPr>
          <w:rStyle w:val="SourceText"/>
        </w:rPr>
        <w:t>kb_susceptibility</w:t>
      </w:r>
      <w:r>
        <w:rPr/>
        <w:t xml:space="preserve"> migliora la Regressione Logistica di +0,139 AUC (da 0,599 a 0,738), poiché precomputa le interazioni non-lineari che un modello lineare non può scoprire autonomamente. Per il Random Forest l'effetto è trascurabile (−0,002 AUC), confermato dalla feature importance che colloca </w:t>
      </w:r>
      <w:r>
        <w:rPr>
          <w:rStyle w:val="SourceText"/>
        </w:rPr>
        <w:t>kb_susceptibility</w:t>
      </w:r>
      <w:r>
        <w:rPr/>
        <w:t xml:space="preserve"> all'ultima posizione (3,7%): RF apprende autonomamente le stesse interazioni che la KB codifica esplicitamente. </w:t>
      </w:r>
    </w:p>
    <w:p>
      <w:pPr>
        <w:pStyle w:val="BodyText"/>
        <w:spacing w:before="0" w:after="160"/>
        <w:rPr/>
      </w:pPr>
      <w:r>
        <w:rPr/>
        <w:t xml:space="preserve">Il sistema presenta alcune limitazioni. L'uso di k-fold stratificata standard anziché CV spaziale può portare a una sovrastima delle prestazioni per autocorrelazione tra pixel adiacenti assegnati a fold diversi. </w:t>
      </w:r>
      <w:r>
        <w:rPr/>
        <w:t>Un primo tentativo con i</w:t>
      </w:r>
      <w:r>
        <w:rPr/>
        <w:t xml:space="preserve"> dati pluviometrici ERA5 si sono rivelati inutilizzabili per la risoluzione insufficiente (9 km vs 30 m del DEM). Gli artefatti da bordo foglio nella Carta Geologica 1:100.000 sono stati parzialmente mitigati dall'aggregazione in 5 classi geotecniche e dal filtro di maggioranza 3×3, ma non completamente eliminati.</w:t>
      </w:r>
    </w:p>
    <w:p>
      <w:pPr>
        <w:pStyle w:val="BodyText"/>
        <w:spacing w:before="0" w:after="160"/>
        <w:rPr/>
      </w:pPr>
      <w:r>
        <w:rPr/>
        <w:t>Tra gli sviluppi futuri: l'adozione di spatial block CV per una valutazione più rigorosa; l'integrazione di dati pluviometrici ARPAC ad alta risoluzione; l'estensione verso modelli di hazard dinamico con soglie di innesco pluviometriche (Guzzetti et al., 2007); la validazione esterna tramite confronto con la mosaicatura ISPRA P1–P4.</w:t>
      </w:r>
    </w:p>
    <w:p>
      <w:pPr>
        <w:pStyle w:val="Normal"/>
        <w:spacing w:before="0" w:after="160"/>
        <w:rPr>
          <w:rFonts w:eastAsia="Arial" w:cs="Arial"/>
          <w:sz w:val="24"/>
          <w:szCs w:val="24"/>
        </w:rPr>
      </w:pPr>
      <w:r>
        <w:rPr>
          <w:rFonts w:eastAsia="Arial" w:cs="Arial"/>
          <w:sz w:val="24"/>
          <w:szCs w:val="24"/>
        </w:rPr>
      </w:r>
    </w:p>
    <w:p>
      <w:pPr>
        <w:pStyle w:val="Normal"/>
        <w:spacing w:before="0" w:after="80"/>
        <w:rPr/>
      </w:pPr>
      <w:r>
        <w:rPr/>
      </w:r>
    </w:p>
    <w:p>
      <w:pPr>
        <w:pStyle w:val="Normal"/>
        <w:rPr/>
      </w:pPr>
      <w:r>
        <w:rPr/>
      </w:r>
      <w:r>
        <w:br w:type="page"/>
      </w:r>
    </w:p>
    <w:p>
      <w:pPr>
        <w:pStyle w:val="Heading1"/>
        <w:spacing w:before="0" w:after="160"/>
        <w:rPr/>
      </w:pPr>
      <w:r>
        <w:rPr>
          <w:rFonts w:eastAsia="Arial" w:cs="Arial"/>
          <w:b/>
          <w:bCs/>
          <w:color w:val="2E75B6"/>
          <w:sz w:val="32"/>
          <w:szCs w:val="32"/>
        </w:rPr>
        <w:t>Riferimenti Bibliografici</w:t>
      </w:r>
    </w:p>
    <w:p>
      <w:pPr>
        <w:pStyle w:val="Normal"/>
        <w:spacing w:before="0" w:after="160"/>
        <w:rPr/>
      </w:pPr>
      <w:r>
        <w:rPr>
          <w:rFonts w:eastAsia="Arial" w:cs="Arial"/>
          <w:sz w:val="24"/>
          <w:szCs w:val="24"/>
        </w:rPr>
        <w:t>[1] Catani, F., Lagomarsino, D., Segoni, S., Tofani, V. (2013). Landslide susceptibility estimation by random forests technique. Natural Hazards and Earth System Sciences, 13, 2815–2831. https://doi.org/10.5194/nhess-13-2815-2013</w:t>
      </w:r>
    </w:p>
    <w:p>
      <w:pPr>
        <w:pStyle w:val="Normal"/>
        <w:spacing w:before="0" w:after="160"/>
        <w:rPr/>
      </w:pPr>
      <w:r>
        <w:rPr>
          <w:rFonts w:eastAsia="Arial" w:cs="Arial"/>
          <w:sz w:val="24"/>
          <w:szCs w:val="24"/>
        </w:rPr>
        <w:t>[2] Corominas, J., et al. (2014). Recommendations for the quantitative analysis of landslide risk. Bulletin of Engineering Geology and the Environment, 73(2), 209–263. https://doi.org/10.1007/s10064-013-0538-8</w:t>
      </w:r>
    </w:p>
    <w:p>
      <w:pPr>
        <w:pStyle w:val="Normal"/>
        <w:spacing w:before="0" w:after="160"/>
        <w:rPr/>
      </w:pPr>
      <w:r>
        <w:rPr>
          <w:rFonts w:eastAsia="Arial" w:cs="Arial"/>
          <w:sz w:val="24"/>
          <w:szCs w:val="24"/>
        </w:rPr>
        <w:t>[3] Löbmann, M.T., Geitner, C., Wellstein, C., Zerbe, S. (2020). The influence of herbaceous vegetation on slope stability — a review. Earth-Science Reviews, 209, 103328. https://doi.org/10.1016/j.earscirev.2020.103328</w:t>
      </w:r>
    </w:p>
    <w:p>
      <w:pPr>
        <w:pStyle w:val="Normal"/>
        <w:spacing w:before="0" w:after="160"/>
        <w:rPr/>
      </w:pPr>
      <w:r>
        <w:rPr>
          <w:rFonts w:eastAsia="Arial" w:cs="Arial"/>
          <w:sz w:val="24"/>
          <w:szCs w:val="24"/>
        </w:rPr>
        <w:t>[4] Alvioli, M., et al. (2020). Landslide susceptibility assessment in complex geological settings: sensitivity to geological information. Landslides, 17, 97–112. https://doi.org/10.1007/s10346-019-01340-2</w:t>
      </w:r>
    </w:p>
    <w:p>
      <w:pPr>
        <w:pStyle w:val="Normal"/>
        <w:spacing w:before="0" w:after="160"/>
        <w:rPr/>
      </w:pPr>
      <w:r>
        <w:rPr>
          <w:rFonts w:eastAsia="Arial" w:cs="Arial"/>
          <w:sz w:val="24"/>
          <w:szCs w:val="24"/>
        </w:rPr>
        <w:t>[5] Trigila, A., Iadanza, C., et al. (2021). Dissesto idrogeologico in Italia: pericolosità e indicatori di rischio. ISPRA Rapporti 356/2021.</w:t>
      </w:r>
    </w:p>
    <w:p>
      <w:pPr>
        <w:pStyle w:val="Normal"/>
        <w:spacing w:before="0" w:after="160"/>
        <w:rPr/>
      </w:pPr>
      <w:r>
        <w:rPr>
          <w:rFonts w:eastAsia="Arial" w:cs="Arial"/>
          <w:sz w:val="24"/>
          <w:szCs w:val="24"/>
        </w:rPr>
        <w:t>[6] Tufano, R., et al. (2023). A revised landslide inventory of the Campania region (Italy). Scientific Data, 10, 353. https://doi.org/10.1038/s41597-023-02155-6</w:t>
      </w:r>
    </w:p>
    <w:p>
      <w:pPr>
        <w:pStyle w:val="Normal"/>
        <w:spacing w:before="0" w:after="160"/>
        <w:rPr/>
      </w:pPr>
      <w:r>
        <w:rPr>
          <w:rFonts w:eastAsia="Arial" w:cs="Arial"/>
          <w:sz w:val="24"/>
          <w:szCs w:val="24"/>
        </w:rPr>
        <w:t>[7] Guzzetti, F., et al. (2006). Estimating the quality of landslide susceptibility models. Geomorphology, 81(1–2), 166–184. https://doi.org/10.1016/j.geomorph.2006.03.036</w:t>
      </w:r>
    </w:p>
    <w:p>
      <w:pPr>
        <w:pStyle w:val="Normal"/>
        <w:spacing w:before="0" w:after="160"/>
        <w:rPr/>
      </w:pPr>
      <w:r>
        <w:rPr>
          <w:rFonts w:eastAsia="Arial" w:cs="Arial"/>
          <w:sz w:val="24"/>
          <w:szCs w:val="24"/>
        </w:rPr>
        <w:t>[8] Guzzetti, F., et al. (2007). Rainfall thresholds for the initiation of landslides in central and southern Italy. Meteorology and Atmospheric Physics, 98, 239–267. https://doi.org/10.1007/s00703-007-0262-7</w:t>
      </w:r>
    </w:p>
    <w:p>
      <w:pPr>
        <w:pStyle w:val="Normal"/>
        <w:spacing w:before="0" w:after="160"/>
        <w:rPr/>
      </w:pPr>
      <w:r>
        <w:rPr>
          <w:rFonts w:eastAsia="Arial" w:cs="Arial"/>
          <w:sz w:val="24"/>
          <w:szCs w:val="24"/>
        </w:rPr>
        <w:t>[9] Iadanza, C., Trigila, A., et al. (2021). IdroGEO: a collaborative web mapping application. ISPRS Int. J. Geo-Inf., 10(2), 89. https://doi.org/10.3390/ijgi10020089</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Mono">
    <w:altName w:val="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Adwaita Mono">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6"/>
    <w:lvlOverride w:ilvl="0">
      <w:startOverride w:val="1"/>
    </w:lvlOverride>
  </w:num>
</w:numbering>
</file>

<file path=word/settings.xml><?xml version="1.0" encoding="utf-8"?>
<w:settings xmlns:w="http://schemas.openxmlformats.org/wordprocessingml/2006/main">
  <w:zoom w:percent="104"/>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20" w:after="160"/>
      <w:outlineLvl w:val="0"/>
    </w:pPr>
    <w:rPr>
      <w:rFonts w:ascii="Arial" w:hAnsi="Arial" w:eastAsia="Arial" w:cs="Arial"/>
      <w:b/>
      <w:bCs/>
      <w:color w:val="2E75B6"/>
      <w:sz w:val="32"/>
      <w:szCs w:val="32"/>
    </w:rPr>
  </w:style>
  <w:style w:type="paragraph" w:styleId="Heading2">
    <w:name w:val="heading 2"/>
    <w:basedOn w:val="Heading"/>
    <w:qFormat/>
    <w:pPr>
      <w:spacing w:before="240" w:after="120"/>
      <w:outlineLvl w:val="1"/>
    </w:pPr>
    <w:rPr>
      <w:rFonts w:ascii="Arial" w:hAnsi="Arial" w:eastAsia="Arial" w:cs="Arial"/>
      <w:b/>
      <w:bCs/>
      <w:color w:val="2E4057"/>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LibreOffice/26.2.2.2$Linux_X86_64 LibreOffice_project/620$Build-2</Application>
  <AppVersion>15.0000</AppVersion>
  <Pages>15</Pages>
  <Words>3360</Words>
  <Characters>21367</Characters>
  <CharactersWithSpaces>24494</CharactersWithSpaces>
  <Paragraphs>335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2026-03-30T21:59:46Z</dcterms:created>
  <dc:creator>Un-named</dc:creator>
  <dc:description/>
  <dc:language>en-US</dc:language>
  <cp:lastModifiedBy/>
  <cp:lastPrinted>2026-04-01T17:44:37Z</cp:lastPrinted>
  <dcterms:modified xsi:type="dcterms:W3CDTF">2026-04-01T17:46:55Z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