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480"/>
        <w:jc w:val="center"/>
        <w:rPr/>
      </w:pPr>
      <w:r>
        <w:rPr>
          <w:rFonts w:eastAsia="Arial" w:cs="Arial"/>
          <w:color w:val="555555"/>
          <w:sz w:val="24"/>
          <w:szCs w:val="24"/>
        </w:rPr>
        <w:t>Università degli Studi di Bari Aldo Moro</w:t>
      </w:r>
    </w:p>
    <w:p>
      <w:pPr>
        <w:pStyle w:val="Normal"/>
        <w:spacing w:before="0" w:after="80"/>
        <w:jc w:val="center"/>
        <w:rPr/>
      </w:pPr>
      <w:r>
        <w:rPr>
          <w:rFonts w:eastAsia="Arial" w:cs="Arial"/>
          <w:color w:val="555555"/>
          <w:sz w:val="24"/>
          <w:szCs w:val="24"/>
        </w:rPr>
        <w:t xml:space="preserve">Corso di </w:t>
      </w:r>
      <w:r>
        <w:rPr>
          <w:rFonts w:eastAsia="Arial" w:cs="Arial"/>
          <w:color w:val="555555"/>
          <w:sz w:val="24"/>
          <w:szCs w:val="24"/>
        </w:rPr>
        <w:t xml:space="preserve">Ingegneria della Conoscenza </w:t>
      </w:r>
      <w:r>
        <w:rPr>
          <w:rFonts w:eastAsia="Arial" w:cs="Arial"/>
          <w:color w:val="555555"/>
          <w:sz w:val="24"/>
          <w:szCs w:val="24"/>
        </w:rPr>
        <w:t>(ICon)</w:t>
      </w:r>
    </w:p>
    <w:p>
      <w:pPr>
        <w:pStyle w:val="Normal"/>
        <w:spacing w:before="0" w:after="80"/>
        <w:rPr/>
      </w:pPr>
      <w:r>
        <w:rPr/>
      </w:r>
    </w:p>
    <w:p>
      <w:pPr>
        <w:pStyle w:val="Normal"/>
        <w:spacing w:before="720" w:after="240"/>
        <w:jc w:val="center"/>
        <w:rPr/>
      </w:pPr>
      <w:r>
        <w:rPr>
          <w:rFonts w:eastAsia="Arial" w:cs="Arial"/>
          <w:b/>
          <w:bCs/>
          <w:color w:val="2E75B6"/>
          <w:sz w:val="40"/>
          <w:szCs w:val="40"/>
        </w:rPr>
        <w:t>Sistema a Base di Conoscenza per la Valutazione del Rischio da Frana in Campania</w:t>
      </w:r>
    </w:p>
    <w:p>
      <w:pPr>
        <w:pStyle w:val="Normal"/>
        <w:spacing w:before="0" w:after="960"/>
        <w:jc w:val="center"/>
        <w:rPr/>
      </w:pPr>
      <w:r>
        <w:rPr>
          <w:rFonts w:eastAsia="Arial" w:cs="Arial"/>
          <w:i/>
          <w:iCs/>
          <w:color w:val="555555"/>
          <w:sz w:val="24"/>
          <w:szCs w:val="24"/>
        </w:rPr>
        <w:t>Integrazione di ragionamento logico e apprendimento supervisionato per la mappatura della suscettibilità da frana</w:t>
      </w:r>
    </w:p>
    <w:p>
      <w:pPr>
        <w:pStyle w:val="Normal"/>
        <w:spacing w:before="0" w:after="160"/>
        <w:jc w:val="center"/>
        <w:rPr/>
      </w:pPr>
      <w:r>
        <w:rPr>
          <w:rFonts w:eastAsia="Arial" w:cs="Arial"/>
          <w:b/>
          <w:bCs/>
          <w:sz w:val="24"/>
          <w:szCs w:val="24"/>
        </w:rPr>
        <w:t>Componenti del gruppo</w:t>
      </w:r>
    </w:p>
    <w:p>
      <w:pPr>
        <w:pStyle w:val="Normal"/>
        <w:spacing w:before="0" w:after="80"/>
        <w:jc w:val="center"/>
        <w:rPr/>
      </w:pPr>
      <w:r>
        <w:rPr>
          <w:rFonts w:eastAsia="Arial" w:cs="Arial"/>
          <w:sz w:val="24"/>
          <w:szCs w:val="24"/>
        </w:rPr>
        <w:t>dario gjergo, [725895], d.gjergo@studenti.uniba.it</w:t>
      </w:r>
    </w:p>
    <w:p>
      <w:pPr>
        <w:pStyle w:val="Normal"/>
        <w:spacing w:before="0" w:after="80"/>
        <w:rPr/>
      </w:pPr>
      <w:r>
        <w:rPr/>
      </w:r>
    </w:p>
    <w:p>
      <w:pPr>
        <w:pStyle w:val="Normal"/>
        <w:spacing w:before="0" w:after="80"/>
        <w:jc w:val="center"/>
        <w:rPr/>
      </w:pPr>
      <w:r>
        <w:rPr>
          <w:rFonts w:eastAsia="Arial" w:cs="Arial"/>
          <w:color w:val="2E75B6"/>
          <w:sz w:val="22"/>
          <w:szCs w:val="22"/>
        </w:rPr>
        <w:t>Repository GitHub: https://github.com/</w:t>
      </w:r>
      <w:r>
        <w:rPr>
          <w:rFonts w:eastAsia="Arial" w:cs="Arial"/>
          <w:color w:val="2E75B6"/>
          <w:sz w:val="22"/>
          <w:szCs w:val="22"/>
        </w:rPr>
        <w:t>gjergo</w:t>
      </w:r>
      <w:r>
        <w:rPr>
          <w:rFonts w:eastAsia="Arial" w:cs="Arial"/>
          <w:color w:val="2E75B6"/>
          <w:sz w:val="22"/>
          <w:szCs w:val="22"/>
        </w:rPr>
        <w:t>/campania-landslide-kbs</w:t>
      </w:r>
    </w:p>
    <w:p>
      <w:pPr>
        <w:pStyle w:val="Normal"/>
        <w:spacing w:before="0" w:after="80"/>
        <w:jc w:val="center"/>
        <w:rPr/>
      </w:pPr>
      <w:r>
        <w:rPr>
          <w:rFonts w:eastAsia="Arial" w:cs="Arial"/>
          <w:sz w:val="24"/>
          <w:szCs w:val="24"/>
        </w:rPr>
        <w:t>A.A. 2024-2025</w:t>
      </w:r>
    </w:p>
    <w:p>
      <w:pPr>
        <w:pStyle w:val="Normal"/>
        <w:rPr/>
      </w:pPr>
      <w:r>
        <w:rPr/>
      </w:r>
      <w:r>
        <w:br w:type="page"/>
      </w:r>
    </w:p>
    <w:p>
      <w:pPr>
        <w:pStyle w:val="Heading1"/>
        <w:spacing w:before="0" w:after="160"/>
        <w:rPr/>
      </w:pPr>
      <w:r>
        <w:rPr>
          <w:rFonts w:eastAsia="Arial" w:cs="Arial"/>
          <w:b/>
          <w:bCs/>
          <w:color w:val="2E75B6"/>
          <w:sz w:val="32"/>
          <w:szCs w:val="32"/>
        </w:rPr>
        <w:t>Introduzione</w:t>
      </w:r>
    </w:p>
    <w:p>
      <w:pPr>
        <w:pStyle w:val="Normal"/>
        <w:spacing w:before="0" w:after="160"/>
        <w:rPr/>
      </w:pPr>
      <w:r>
        <w:rPr>
          <w:rFonts w:eastAsia="Arial" w:cs="Arial"/>
          <w:sz w:val="24"/>
          <w:szCs w:val="24"/>
        </w:rPr>
        <w:t>Il dissesto idrogeologico rappresenta una delle emergenze ambientali più rilevanti del territorio italiano. La Campania figura tra le regioni con le percentuali più elevate di territorio classificato in classi di pericolosità da frana P3 e P4 (ISPRA, Rapporto 356/2021). L'evento del 26 novembre 2022 a Casamicciola Terme (Ischia), che ha causato 12 vittime, evidenzia l'urgenza di strumenti sistematici per la valutazione spaziale del rischio.</w:t>
      </w:r>
    </w:p>
    <w:p>
      <w:pPr>
        <w:pStyle w:val="Normal"/>
        <w:spacing w:before="0" w:after="160"/>
        <w:rPr/>
      </w:pPr>
      <w:r>
        <w:rPr>
          <w:rFonts w:eastAsia="Arial" w:cs="Arial"/>
          <w:sz w:val="24"/>
          <w:szCs w:val="24"/>
        </w:rPr>
        <w:t>Il presente progetto sviluppa un prototipo di Knowledge-Based System (KBS) per la mappatura della suscettibilità da frana a scala regionale applicato all'intera Campania. Il sistema integra: (1) una base di conoscenza Prolog che codifica regole geomorfologiche esperte; (2) modelli di apprendimento supervisionato addestrati sull'inventario frane IFFI; (3) un esperimento comparativo che quantifica il contributo della conoscenza esperta rispetto ai soli modelli data-driven.</w:t>
      </w:r>
    </w:p>
    <w:p>
      <w:pPr>
        <w:pStyle w:val="Normal"/>
        <w:spacing w:before="0" w:after="80"/>
        <w:rPr/>
      </w:pPr>
      <w:r>
        <w:rPr/>
      </w:r>
    </w:p>
    <w:p>
      <w:pPr>
        <w:pStyle w:val="Heading2"/>
        <w:rPr/>
      </w:pPr>
      <w:r>
        <w:rPr>
          <w:rFonts w:eastAsia="Arial" w:cs="Arial"/>
          <w:b/>
          <w:bCs/>
          <w:color w:val="2E4057"/>
          <w:sz w:val="28"/>
          <w:szCs w:val="28"/>
        </w:rPr>
        <w:t>Sommario — Argomenti ICon affrontati</w:t>
      </w:r>
    </w:p>
    <w:p>
      <w:pPr>
        <w:pStyle w:val="ListParagraph"/>
        <w:numPr>
          <w:ilvl w:val="0"/>
          <w:numId w:val="4"/>
        </w:numPr>
        <w:spacing w:before="0" w:after="80"/>
        <w:rPr/>
      </w:pPr>
      <w:r>
        <w:rPr>
          <w:rFonts w:eastAsia="Arial" w:cs="Arial"/>
          <w:sz w:val="24"/>
          <w:szCs w:val="24"/>
        </w:rPr>
        <w:t>Rappresentazione della conoscenza e ragionamento logico (Prolog, clausole di Horn): KB con fatti e regole che codificano conoscenza geomorfologica esperta su litologia, pendenza e prossimità alla rete idrografica</w:t>
      </w:r>
    </w:p>
    <w:p>
      <w:pPr>
        <w:pStyle w:val="ListParagraph"/>
        <w:numPr>
          <w:ilvl w:val="0"/>
          <w:numId w:val="2"/>
        </w:numPr>
        <w:spacing w:before="0" w:after="80"/>
        <w:rPr/>
      </w:pPr>
      <w:r>
        <w:rPr>
          <w:rFonts w:eastAsia="Arial" w:cs="Arial"/>
          <w:sz w:val="24"/>
          <w:szCs w:val="24"/>
        </w:rPr>
        <w:t>Apprendimento supervisionato e classificazione: Regressione Logistica e Random Forest con 5-fold stratified CV su ~6M pixel, valutazione tramite AUC-ROC medio ± deviazione standard</w:t>
      </w:r>
    </w:p>
    <w:p>
      <w:pPr>
        <w:pStyle w:val="ListParagraph"/>
        <w:numPr>
          <w:ilvl w:val="0"/>
          <w:numId w:val="2"/>
        </w:numPr>
        <w:spacing w:before="0" w:after="80"/>
        <w:rPr/>
      </w:pPr>
      <w:r>
        <w:rPr>
          <w:rFonts w:eastAsia="Arial" w:cs="Arial"/>
          <w:sz w:val="24"/>
          <w:szCs w:val="24"/>
        </w:rPr>
        <w:t>Integrazione KB+ML (Background Knowledge): esperimento comparativo che verifica se il feature kb_susceptibility derivato dal ragionamento Prolog migliora le prestazioni predittive rispetto alla baseline senza conoscenza esperta</w:t>
      </w:r>
    </w:p>
    <w:p>
      <w:pPr>
        <w:pStyle w:val="Normal"/>
        <w:spacing w:before="0" w:after="80"/>
        <w:rPr/>
      </w:pPr>
      <w:r>
        <w:rPr/>
      </w:r>
    </w:p>
    <w:p>
      <w:pPr>
        <w:pStyle w:val="Normal"/>
        <w:rPr/>
      </w:pPr>
      <w:r>
        <w:rPr/>
      </w:r>
      <w:r>
        <w:br w:type="page"/>
      </w:r>
    </w:p>
    <w:p>
      <w:pPr>
        <w:pStyle w:val="Heading1"/>
        <w:spacing w:before="0" w:after="160"/>
        <w:rPr/>
      </w:pPr>
      <w:r>
        <w:rPr>
          <w:rFonts w:eastAsia="Arial" w:cs="Arial"/>
          <w:b/>
          <w:bCs/>
          <w:color w:val="2E75B6"/>
          <w:sz w:val="32"/>
          <w:szCs w:val="32"/>
        </w:rPr>
        <w:t>Sezione 1 — Rappresentazione della Conoscenza e Ragionamento Logico</w:t>
      </w:r>
    </w:p>
    <w:p>
      <w:pPr>
        <w:pStyle w:val="Heading2"/>
        <w:rPr/>
      </w:pPr>
      <w:r>
        <w:rPr>
          <w:rFonts w:eastAsia="Arial" w:cs="Arial"/>
          <w:b/>
          <w:bCs/>
          <w:color w:val="2E4057"/>
          <w:sz w:val="28"/>
          <w:szCs w:val="28"/>
        </w:rPr>
        <w:t>Sommario</w:t>
      </w:r>
    </w:p>
    <w:p>
      <w:pPr>
        <w:pStyle w:val="Normal"/>
        <w:spacing w:before="0" w:after="160"/>
        <w:rPr/>
      </w:pPr>
      <w:r>
        <w:rPr>
          <w:rFonts w:eastAsia="Arial" w:cs="Arial"/>
          <w:sz w:val="24"/>
          <w:szCs w:val="24"/>
        </w:rPr>
        <w:t>La Knowledge Base è implementata in Prolog (SWI-Prolog via pyswip) e codifica conoscenza geomorfologica esperta sui meccanismi di innesco delle frane in Campania. È composta da fatti su proprietà litologiche e soglie critiche di pendenza, e da regole che combinano tali fatti con informazioni sulla prossimità alla rete di drenaggio per derivare un punteggio di suscettibilità per ciascun pixel (0=bassa, 1=media, 2=alta). Il ragionamento non è riducibile a semplice pattern matching: ogni query attiva una catena di inferenza a tre livelli (fatti materiali → fatti soglia → regole combinate → classificazione → encoding numerico) prima di produrre un output. Il punteggio derivato viene usato come feature aggiuntiva nei modelli ML, realizzando l'integrazione tra ragionamento simbolico e apprendimento statistico.</w:t>
      </w:r>
    </w:p>
    <w:p>
      <w:pPr>
        <w:pStyle w:val="Heading2"/>
        <w:rPr/>
      </w:pPr>
      <w:r>
        <w:rPr>
          <w:rFonts w:eastAsia="Arial" w:cs="Arial"/>
          <w:b/>
          <w:bCs/>
          <w:color w:val="2E4057"/>
          <w:sz w:val="28"/>
          <w:szCs w:val="28"/>
        </w:rPr>
        <w:t>Dati e costruzione della Knowledge Base</w:t>
      </w:r>
    </w:p>
    <w:p>
      <w:pPr>
        <w:pStyle w:val="Normal"/>
        <w:spacing w:before="0" w:after="160"/>
        <w:rPr/>
      </w:pPr>
      <w:r>
        <w:rPr>
          <w:rFonts w:eastAsia="Arial" w:cs="Arial"/>
          <w:sz w:val="24"/>
          <w:szCs w:val="24"/>
        </w:rPr>
        <w:t>I dati geospaziali utilizzati per la costruzione della KB e del feature matrix sono tutti open data:</w:t>
      </w:r>
    </w:p>
    <w:tbl>
      <w:tblPr>
        <w:tblW w:w="9026" w:type="dxa"/>
        <w:jc w:val="start"/>
        <w:tblInd w:w="0" w:type="dxa"/>
        <w:tblLayout w:type="fixed"/>
        <w:tblCellMar>
          <w:top w:w="80" w:type="dxa"/>
          <w:start w:w="120" w:type="dxa"/>
          <w:bottom w:w="80" w:type="dxa"/>
          <w:end w:w="120" w:type="dxa"/>
        </w:tblCellMar>
      </w:tblPr>
      <w:tblGrid>
        <w:gridCol w:w="3198"/>
        <w:gridCol w:w="2202"/>
        <w:gridCol w:w="3626"/>
      </w:tblGrid>
      <w:tr>
        <w:trPr/>
        <w:tc>
          <w:tcPr>
            <w:tcW w:w="31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Sorgente</w:t>
            </w:r>
          </w:p>
        </w:tc>
        <w:tc>
          <w:tcPr>
            <w:tcW w:w="220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Risoluzione</w:t>
            </w:r>
          </w:p>
        </w:tc>
        <w:tc>
          <w:tcPr>
            <w:tcW w:w="36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Utilizzo</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ISPRA IFFI (IdroGEO)</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 1:10.000</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Ground truth — poligoni frana (label=1)</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Copernicus GLO-30 DEM (ESA)</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30m</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Parametri morfometrici (slope, aspect, TWI, curvature, flow acc.)</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Carta Geologica 1:100.000 (ISPRA SGI)</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 1:100.000</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Classi litologiche (5 classi geotecniche)</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CORINE Land Cover 2018 (Copernicus)</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100m → 30m</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Copertura del suolo</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OpenStreetMap / Geofabrik</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Vettoriale</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Distanza dalla rete viaria (log-trasformata)</w:t>
            </w:r>
          </w:p>
        </w:tc>
      </w:tr>
      <w:tr>
        <w:trPr/>
        <w:tc>
          <w:tcPr>
            <w:tcW w:w="3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Rete drenaggio da DEM</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30m (derivata)</w:t>
            </w:r>
          </w:p>
        </w:tc>
        <w:tc>
          <w:tcPr>
            <w:tcW w:w="3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Distanza dalla rete idrografica</w:t>
            </w:r>
          </w:p>
        </w:tc>
      </w:tr>
    </w:tbl>
    <w:p>
      <w:pPr>
        <w:pStyle w:val="Normal"/>
        <w:spacing w:before="0" w:after="80"/>
        <w:rPr/>
      </w:pPr>
      <w:r>
        <w:rPr/>
      </w:r>
    </w:p>
    <w:p>
      <w:pPr>
        <w:pStyle w:val="Normal"/>
        <w:spacing w:before="0" w:after="160"/>
        <w:rPr/>
      </w:pPr>
      <w:r>
        <w:rPr>
          <w:rFonts w:eastAsia="Arial" w:cs="Arial"/>
          <w:sz w:val="24"/>
          <w:szCs w:val="24"/>
        </w:rPr>
        <w:t>La classificazione litologica è il passaggio più critico. La Carta Geologica 1:100.000 contiene 433 nomi di unità distinti su 19.286 poligoni: la stessa formazione riceve denominazioni diverse nei diversi fogli cartografici. Seguendo Catani et al. (2013), le unità sono aggregate in 5 classi geotecniche per meccanismo di cedimento:</w:t>
      </w:r>
    </w:p>
    <w:tbl>
      <w:tblPr>
        <w:tblW w:w="9026" w:type="dxa"/>
        <w:jc w:val="start"/>
        <w:tblInd w:w="0" w:type="dxa"/>
        <w:tblLayout w:type="fixed"/>
        <w:tblCellMar>
          <w:top w:w="80" w:type="dxa"/>
          <w:start w:w="120" w:type="dxa"/>
          <w:bottom w:w="80" w:type="dxa"/>
          <w:end w:w="120" w:type="dxa"/>
        </w:tblCellMar>
      </w:tblPr>
      <w:tblGrid>
        <w:gridCol w:w="2400"/>
        <w:gridCol w:w="600"/>
        <w:gridCol w:w="3598"/>
        <w:gridCol w:w="2428"/>
      </w:tblGrid>
      <w:tr>
        <w:trPr/>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Classe</w:t>
            </w:r>
          </w:p>
        </w:tc>
        <w:tc>
          <w:tcPr>
            <w:tcW w:w="6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Cod.</w:t>
            </w:r>
          </w:p>
        </w:tc>
        <w:tc>
          <w:tcPr>
            <w:tcW w:w="35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Descrizione</w:t>
            </w:r>
          </w:p>
        </w:tc>
        <w:tc>
          <w:tcPr>
            <w:tcW w:w="242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Suscettibilità</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unconsolidated_weak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Depositi versante, alluvioni, suoli residuali</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Molto alta</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volcanic_pyroclastic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Tufi, ignimbriti, lave, piroclastiti</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Alta</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flysch_clastic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Argille, marne, arenarie, flysch</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Alta</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competent_clastic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Conglomerati, brecce cementate</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Media</w:t>
            </w:r>
          </w:p>
        </w:tc>
      </w:tr>
      <w:tr>
        <w:trPr/>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hard_rock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5</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Calcari, dolomie</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Bassa</w:t>
            </w:r>
          </w:p>
        </w:tc>
      </w:tr>
    </w:tbl>
    <w:p>
      <w:pPr>
        <w:pStyle w:val="Normal"/>
        <w:spacing w:before="0" w:after="80"/>
        <w:rPr/>
      </w:pPr>
      <w:r>
        <w:rPr/>
      </w:r>
    </w:p>
    <w:p>
      <w:pPr>
        <w:pStyle w:val="Normal"/>
        <w:spacing w:before="0" w:after="160"/>
        <w:rPr/>
      </w:pPr>
      <w:r>
        <w:rPr>
          <w:rFonts w:eastAsia="Arial" w:cs="Arial"/>
          <w:sz w:val="24"/>
          <w:szCs w:val="24"/>
        </w:rPr>
        <w:t>Un'analisi esplorativa preliminare ha rivelato un risultato controintuitivo: il tasso grezzo di frana per classe litologica mostrava volcanic_pyroclastic con solo il 3% di pixel in frana, mentre flysch_clastic raggiungeva il 30%. Questo paradosso è spiegato dalla distribuzione topografica: i pixel vulcanici in Campania sono concentrati nella piana dei Campi Flegrei e nell'area urbana napoletana (pendenza media 6,1°), dove il cedimento di versante è impossibile indipendentemente dalla litologia. Il modello corretto non è litologia→suscettibilità, ma litologia × pendenza → suscettibilità, il che giustifica direttamente la struttura delle regole Prolog.</w:t>
      </w:r>
    </w:p>
    <w:p>
      <w:pPr>
        <w:pStyle w:val="Heading2"/>
        <w:rPr/>
      </w:pPr>
      <w:r>
        <w:rPr>
          <w:rFonts w:eastAsia="Arial" w:cs="Arial"/>
          <w:b/>
          <w:bCs/>
          <w:color w:val="2E4057"/>
          <w:sz w:val="28"/>
          <w:szCs w:val="28"/>
        </w:rPr>
        <w:t>Strumenti utilizzati</w:t>
      </w:r>
    </w:p>
    <w:p>
      <w:pPr>
        <w:pStyle w:val="ListParagraph"/>
        <w:numPr>
          <w:ilvl w:val="0"/>
          <w:numId w:val="2"/>
        </w:numPr>
        <w:spacing w:before="0" w:after="80"/>
        <w:rPr/>
      </w:pPr>
      <w:r>
        <w:rPr>
          <w:rFonts w:eastAsia="Arial" w:cs="Arial"/>
          <w:sz w:val="24"/>
          <w:szCs w:val="24"/>
        </w:rPr>
        <w:t>SWI-Prolog / pyswip: motore inferenziale Prolog da Python</w:t>
      </w:r>
    </w:p>
    <w:p>
      <w:pPr>
        <w:pStyle w:val="ListParagraph"/>
        <w:numPr>
          <w:ilvl w:val="0"/>
          <w:numId w:val="2"/>
        </w:numPr>
        <w:spacing w:before="0" w:after="80"/>
        <w:rPr/>
      </w:pPr>
      <w:r>
        <w:rPr>
          <w:rFonts w:eastAsia="Arial" w:cs="Arial"/>
          <w:sz w:val="24"/>
          <w:szCs w:val="24"/>
        </w:rPr>
        <w:t>geopandas, rasterio, shapely: processing GIS e rasterizzazione</w:t>
      </w:r>
    </w:p>
    <w:p>
      <w:pPr>
        <w:pStyle w:val="ListParagraph"/>
        <w:numPr>
          <w:ilvl w:val="0"/>
          <w:numId w:val="2"/>
        </w:numPr>
        <w:spacing w:before="0" w:after="80"/>
        <w:rPr/>
      </w:pPr>
      <w:r>
        <w:rPr>
          <w:rFonts w:eastAsia="Arial" w:cs="Arial"/>
          <w:sz w:val="24"/>
          <w:szCs w:val="24"/>
        </w:rPr>
        <w:t>pysheds: derivazione TWI e flow accumulation dal DEM</w:t>
      </w:r>
    </w:p>
    <w:p>
      <w:pPr>
        <w:pStyle w:val="ListParagraph"/>
        <w:numPr>
          <w:ilvl w:val="0"/>
          <w:numId w:val="2"/>
        </w:numPr>
        <w:spacing w:before="0" w:after="80"/>
        <w:rPr/>
      </w:pPr>
      <w:r>
        <w:rPr>
          <w:rFonts w:eastAsia="Arial" w:cs="Arial"/>
          <w:sz w:val="24"/>
          <w:szCs w:val="24"/>
        </w:rPr>
        <w:t>scipy.ndimage: calcolo curvature e filtro di maggioranza sulla litologia</w:t>
      </w:r>
    </w:p>
    <w:p>
      <w:pPr>
        <w:pStyle w:val="Normal"/>
        <w:spacing w:before="0" w:after="80"/>
        <w:rPr/>
      </w:pPr>
      <w:r>
        <w:rPr/>
      </w:r>
    </w:p>
    <w:p>
      <w:pPr>
        <w:pStyle w:val="Heading2"/>
        <w:rPr/>
      </w:pPr>
      <w:r>
        <w:rPr>
          <w:rFonts w:eastAsia="Arial" w:cs="Arial"/>
          <w:b/>
          <w:bCs/>
          <w:color w:val="2E4057"/>
          <w:sz w:val="28"/>
          <w:szCs w:val="28"/>
        </w:rPr>
        <w:t>Decisioni di progetto</w:t>
      </w:r>
    </w:p>
    <w:p>
      <w:pPr>
        <w:pStyle w:val="Normal"/>
        <w:spacing w:before="0" w:after="160"/>
        <w:rPr/>
      </w:pPr>
      <w:r>
        <w:rPr>
          <w:rFonts w:eastAsia="Arial" w:cs="Arial"/>
          <w:sz w:val="24"/>
          <w:szCs w:val="24"/>
        </w:rPr>
        <w:t>La KB è nel file src/kb/landslide_kb.pl, caricata a runtime tramite pyswip.consult(). Per efficienza computazionale (6M pixel), l'inferenza non viene eseguita pixel-per-pixel ma su combinazioni uniche di (classe_litologica, bin_pendenza_0.5°, bin_distanza_drenaggio_50m), riducendo le query Prolog da ~6M a ~24.000 con mapping dei risultati tramite join. Questo è possibile perché la KB è deterministica: combinazioni identiche di input producono sempre lo stesso output.</w:t>
      </w:r>
    </w:p>
    <w:p>
      <w:pPr>
        <w:pStyle w:val="Normal"/>
        <w:spacing w:before="0" w:after="160"/>
        <w:rPr/>
      </w:pPr>
      <w:r>
        <w:rPr>
          <w:rFonts w:eastAsia="Arial" w:cs="Arial"/>
          <w:sz w:val="24"/>
          <w:szCs w:val="24"/>
        </w:rPr>
        <w:t>Le soglie di pendenza critica sono derivate empiricamente dalla mediana della pendenza dei pixel IFFI per ciascuna classe — un approccio analogo a quello di Catani et al. (2013) per studi regionali italiani. La scelta di soglie empiriche piuttosto che meccanicistiche (da analisi di stabilità con parametri geotecnici) è motivata dall'assenza di dati geotecnici distribuiti a scala regionale per la Campania:</w:t>
      </w:r>
    </w:p>
    <w:tbl>
      <w:tblPr>
        <w:tblW w:w="9026" w:type="dxa"/>
        <w:jc w:val="start"/>
        <w:tblInd w:w="0" w:type="dxa"/>
        <w:tblLayout w:type="fixed"/>
        <w:tblCellMar>
          <w:top w:w="80" w:type="dxa"/>
          <w:start w:w="120" w:type="dxa"/>
          <w:bottom w:w="80" w:type="dxa"/>
          <w:end w:w="120" w:type="dxa"/>
        </w:tblCellMar>
      </w:tblPr>
      <w:tblGrid>
        <w:gridCol w:w="2798"/>
        <w:gridCol w:w="2002"/>
        <w:gridCol w:w="2000"/>
        <w:gridCol w:w="2226"/>
      </w:tblGrid>
      <w:tr>
        <w:trPr/>
        <w:tc>
          <w:tcPr>
            <w:tcW w:w="27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Classe</w:t>
            </w:r>
          </w:p>
        </w:tc>
        <w:tc>
          <w:tcPr>
            <w:tcW w:w="200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Mediana IFFI (°)</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Soglia KB (°)</w:t>
            </w:r>
          </w:p>
        </w:tc>
        <w:tc>
          <w:tcPr>
            <w:tcW w:w="22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Margine</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hard_rock</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19,6</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18,0</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1,6</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competent_clastic</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12,0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11,0</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1,0</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flysch_clastic</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10,6</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10,0</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0,6</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unconsolidated_weak</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9,0</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0,9</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volcanic_pyroclastic</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9,0</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w:t>
            </w:r>
            <w:r>
              <w:rPr>
                <w:rFonts w:eastAsia="Arial" w:cs="Arial"/>
                <w:b w:val="false"/>
                <w:bCs w:val="false"/>
                <w:color w:val="000000"/>
                <w:sz w:val="22"/>
                <w:szCs w:val="22"/>
              </w:rPr>
              <w:t>0,9</w:t>
            </w:r>
          </w:p>
        </w:tc>
      </w:tr>
    </w:tbl>
    <w:p>
      <w:pPr>
        <w:pStyle w:val="Normal"/>
        <w:spacing w:before="0" w:after="80"/>
        <w:rPr/>
      </w:pPr>
      <w:r>
        <w:rPr/>
      </w:r>
    </w:p>
    <w:p>
      <w:pPr>
        <w:pStyle w:val="Normal"/>
        <w:spacing w:before="0" w:after="160"/>
        <w:rPr/>
      </w:pPr>
      <w:r>
        <w:rPr>
          <w:rFonts w:eastAsia="Arial" w:cs="Arial"/>
          <w:sz w:val="24"/>
          <w:szCs w:val="24"/>
        </w:rPr>
        <w:t>Il margine negativo (soglia leggermente sotto la mediana) è intenzionale: la KB mira a catturare condizioni necessarie al cedimento, non sufficienti. Classificare un pixel come potenzialmente suscettibile appena sotto la mediana storica di cedimento è conservativo e preferibile a perdere casi reali.</w:t>
      </w:r>
    </w:p>
    <w:p>
      <w:pPr>
        <w:pStyle w:val="Normal"/>
        <w:spacing w:before="0" w:after="160"/>
        <w:rPr/>
      </w:pPr>
      <w:r>
        <w:rPr>
          <w:rFonts w:eastAsia="Arial" w:cs="Arial"/>
          <w:sz w:val="24"/>
          <w:szCs w:val="24"/>
        </w:rPr>
        <w:t>La soglia di prossimità alla rete di drenaggio (200m) è motivata dalla letteratura: Corominas et al. (2014) identificano la prossimità ai corsi d'acqua come fattore predisponente primario per scalzamento al piede. Il valore di 200m riflette la risoluzione del DEM (30m) e la scala dell'analisi.</w:t>
      </w:r>
    </w:p>
    <w:p>
      <w:pPr>
        <w:pStyle w:val="Normal"/>
        <w:spacing w:before="0" w:after="80"/>
        <w:rPr/>
      </w:pPr>
      <w:r>
        <w:rPr/>
      </w:r>
    </w:p>
    <w:p>
      <w:pPr>
        <w:pStyle w:val="Normal"/>
        <w:spacing w:before="0" w:after="160"/>
        <w:rPr/>
      </w:pPr>
      <w:r>
        <w:rPr>
          <w:rFonts w:eastAsia="Arial" w:cs="Arial"/>
          <w:sz w:val="24"/>
          <w:szCs w:val="24"/>
        </w:rPr>
        <w:t>La struttura completa della KB:</w:t>
      </w:r>
    </w:p>
    <w:p>
      <w:pPr>
        <w:pStyle w:val="Normal"/>
        <w:spacing w:before="0" w:after="60"/>
        <w:ind w:start="560"/>
        <w:rPr/>
      </w:pPr>
      <w:r>
        <w:rPr>
          <w:rFonts w:eastAsia="Courier New" w:cs="Courier New" w:ascii="Courier New" w:hAnsi="Courier New"/>
          <w:color w:val="2E4057"/>
          <w:sz w:val="20"/>
          <w:szCs w:val="20"/>
        </w:rPr>
        <w:t>% Fatti: soglie critiche di pendenza per classe litologica</w:t>
      </w:r>
    </w:p>
    <w:p>
      <w:pPr>
        <w:pStyle w:val="Normal"/>
        <w:spacing w:before="0" w:after="60"/>
        <w:ind w:start="560"/>
        <w:rPr/>
      </w:pPr>
      <w:r>
        <w:rPr>
          <w:rFonts w:eastAsia="Courier New" w:cs="Courier New" w:ascii="Courier New" w:hAnsi="Courier New"/>
          <w:color w:val="2E4057"/>
          <w:sz w:val="20"/>
          <w:szCs w:val="20"/>
        </w:rPr>
        <w:t>% (derivate da mediana IFFI per classe, Campania — questo studio)</w:t>
      </w:r>
    </w:p>
    <w:p>
      <w:pPr>
        <w:pStyle w:val="Normal"/>
        <w:spacing w:before="0" w:after="60"/>
        <w:ind w:start="560"/>
        <w:rPr/>
      </w:pPr>
      <w:r>
        <w:rPr>
          <w:rFonts w:eastAsia="Courier New" w:cs="Courier New" w:ascii="Courier New" w:hAnsi="Courier New"/>
          <w:color w:val="2E4057"/>
          <w:sz w:val="20"/>
          <w:szCs w:val="20"/>
        </w:rPr>
        <w:t>critical_slope(hard_rock, 18.0).    critical_slope(flysch_clastic, 10.0).</w:t>
      </w:r>
    </w:p>
    <w:p>
      <w:pPr>
        <w:pStyle w:val="Normal"/>
        <w:spacing w:before="0" w:after="60"/>
        <w:ind w:start="560"/>
        <w:rPr/>
      </w:pPr>
      <w:r>
        <w:rPr>
          <w:rFonts w:eastAsia="Courier New" w:cs="Courier New" w:ascii="Courier New" w:hAnsi="Courier New"/>
          <w:color w:val="2E4057"/>
          <w:sz w:val="20"/>
          <w:szCs w:val="20"/>
        </w:rPr>
        <w:t>critical_slope(competent_clastic, 11.0).    critical_slope(unconsolidated_weak, 9.0).</w:t>
      </w:r>
    </w:p>
    <w:p>
      <w:pPr>
        <w:pStyle w:val="Normal"/>
        <w:spacing w:before="0" w:after="60"/>
        <w:ind w:start="560"/>
        <w:rPr/>
      </w:pPr>
      <w:r>
        <w:rPr>
          <w:rFonts w:eastAsia="Courier New" w:cs="Courier New" w:ascii="Courier New" w:hAnsi="Courier New"/>
          <w:color w:val="2E4057"/>
          <w:sz w:val="20"/>
          <w:szCs w:val="20"/>
        </w:rPr>
        <w:t>critical_slope(volcanic_pyroclastic, 9.0).</w:t>
      </w:r>
    </w:p>
    <w:p>
      <w:pPr>
        <w:pStyle w:val="Normal"/>
        <w:spacing w:before="0" w:after="80"/>
        <w:rPr/>
      </w:pPr>
      <w:r>
        <w:rPr/>
      </w:r>
    </w:p>
    <w:p>
      <w:pPr>
        <w:pStyle w:val="Normal"/>
        <w:spacing w:before="0" w:after="60"/>
        <w:ind w:start="560"/>
        <w:rPr/>
      </w:pPr>
      <w:r>
        <w:rPr>
          <w:rFonts w:eastAsia="Courier New" w:cs="Courier New" w:ascii="Courier New" w:hAnsi="Courier New"/>
          <w:color w:val="2E4057"/>
          <w:sz w:val="20"/>
          <w:szCs w:val="20"/>
        </w:rPr>
        <w:t>% Fatti: classi geotecnicamente deboli (Catani et al., 2013)</w:t>
      </w:r>
    </w:p>
    <w:p>
      <w:pPr>
        <w:pStyle w:val="Normal"/>
        <w:spacing w:before="0" w:after="60"/>
        <w:ind w:start="560"/>
        <w:rPr/>
      </w:pPr>
      <w:r>
        <w:rPr>
          <w:rFonts w:eastAsia="Courier New" w:cs="Courier New" w:ascii="Courier New" w:hAnsi="Courier New"/>
          <w:color w:val="2E4057"/>
          <w:sz w:val="20"/>
          <w:szCs w:val="20"/>
        </w:rPr>
        <w:t>weak_material(unconsolidated_weak).  weak_material(volcanic_pyroclastic).</w:t>
      </w:r>
    </w:p>
    <w:p>
      <w:pPr>
        <w:pStyle w:val="Normal"/>
        <w:spacing w:before="0" w:after="60"/>
        <w:ind w:start="560"/>
        <w:rPr/>
      </w:pPr>
      <w:r>
        <w:rPr>
          <w:rFonts w:eastAsia="Courier New" w:cs="Courier New" w:ascii="Courier New" w:hAnsi="Courier New"/>
          <w:color w:val="2E4057"/>
          <w:sz w:val="20"/>
          <w:szCs w:val="20"/>
        </w:rPr>
        <w:t>weak_material(flysch_clastic).</w:t>
      </w:r>
    </w:p>
    <w:p>
      <w:pPr>
        <w:pStyle w:val="Normal"/>
        <w:spacing w:before="0" w:after="80"/>
        <w:rPr/>
      </w:pPr>
      <w:r>
        <w:rPr/>
      </w:r>
    </w:p>
    <w:p>
      <w:pPr>
        <w:pStyle w:val="Normal"/>
        <w:spacing w:before="0" w:after="60"/>
        <w:ind w:start="560"/>
        <w:rPr/>
      </w:pPr>
      <w:r>
        <w:rPr>
          <w:rFonts w:eastAsia="Courier New" w:cs="Courier New" w:ascii="Courier New" w:hAnsi="Courier New"/>
          <w:color w:val="2E4057"/>
          <w:sz w:val="20"/>
          <w:szCs w:val="20"/>
        </w:rPr>
        <w:t>% Fatti: soglia prossimità drenaggio (Corominas et al., 2014)</w:t>
      </w:r>
    </w:p>
    <w:p>
      <w:pPr>
        <w:pStyle w:val="Normal"/>
        <w:spacing w:before="0" w:after="60"/>
        <w:ind w:start="560"/>
        <w:rPr/>
      </w:pPr>
      <w:r>
        <w:rPr>
          <w:rFonts w:eastAsia="Courier New" w:cs="Courier New" w:ascii="Courier New" w:hAnsi="Courier New"/>
          <w:color w:val="2E4057"/>
          <w:sz w:val="20"/>
          <w:szCs w:val="20"/>
        </w:rPr>
        <w:t>drainage_risk_threshold(200.0).</w:t>
      </w:r>
    </w:p>
    <w:p>
      <w:pPr>
        <w:pStyle w:val="Normal"/>
        <w:spacing w:before="0" w:after="80"/>
        <w:rPr/>
      </w:pPr>
      <w:r>
        <w:rPr/>
      </w:r>
    </w:p>
    <w:p>
      <w:pPr>
        <w:pStyle w:val="Normal"/>
        <w:spacing w:before="0" w:after="60"/>
        <w:ind w:start="560"/>
        <w:rPr/>
      </w:pPr>
      <w:r>
        <w:rPr>
          <w:rFonts w:eastAsia="Courier New" w:cs="Courier New" w:ascii="Courier New" w:hAnsi="Courier New"/>
          <w:color w:val="2E4057"/>
          <w:sz w:val="20"/>
          <w:szCs w:val="20"/>
        </w:rPr>
        <w:t>% Regole di ragionamento (catena a 3 livelli)</w:t>
      </w:r>
    </w:p>
    <w:p>
      <w:pPr>
        <w:pStyle w:val="Normal"/>
        <w:spacing w:before="0" w:after="60"/>
        <w:ind w:start="560"/>
        <w:rPr/>
      </w:pPr>
      <w:r>
        <w:rPr>
          <w:rFonts w:eastAsia="Courier New" w:cs="Courier New" w:ascii="Courier New" w:hAnsi="Courier New"/>
          <w:color w:val="2E4057"/>
          <w:sz w:val="20"/>
          <w:szCs w:val="20"/>
        </w:rPr>
        <w:t>slope_susceptible(L,S) :- critical_slope(L,T), S &gt; T.</w:t>
      </w:r>
    </w:p>
    <w:p>
      <w:pPr>
        <w:pStyle w:val="Normal"/>
        <w:spacing w:before="0" w:after="60"/>
        <w:ind w:start="560"/>
        <w:rPr/>
      </w:pPr>
      <w:r>
        <w:rPr>
          <w:rFonts w:eastAsia="Courier New" w:cs="Courier New" w:ascii="Courier New" w:hAnsi="Courier New"/>
          <w:color w:val="2E4057"/>
          <w:sz w:val="20"/>
          <w:szCs w:val="20"/>
        </w:rPr>
        <w:t>material_susceptible(L,S) :- weak_material(L), S &gt; 5.0.</w:t>
      </w:r>
    </w:p>
    <w:p>
      <w:pPr>
        <w:pStyle w:val="Normal"/>
        <w:spacing w:before="0" w:after="60"/>
        <w:ind w:start="560"/>
        <w:rPr/>
      </w:pPr>
      <w:r>
        <w:rPr>
          <w:rFonts w:eastAsia="Courier New" w:cs="Courier New" w:ascii="Courier New" w:hAnsi="Courier New"/>
          <w:color w:val="2E4057"/>
          <w:sz w:val="20"/>
          <w:szCs w:val="20"/>
        </w:rPr>
        <w:t>drainage_susceptible(L,D) :- weak_material(L), drainage_risk_threshold(T), D &lt; T.</w:t>
      </w:r>
    </w:p>
    <w:p>
      <w:pPr>
        <w:pStyle w:val="Normal"/>
        <w:spacing w:before="0" w:after="80"/>
        <w:rPr/>
      </w:pPr>
      <w:r>
        <w:rPr/>
      </w:r>
    </w:p>
    <w:p>
      <w:pPr>
        <w:pStyle w:val="Normal"/>
        <w:spacing w:before="0" w:after="60"/>
        <w:ind w:start="560"/>
        <w:rPr/>
      </w:pPr>
      <w:r>
        <w:rPr>
          <w:rFonts w:eastAsia="Courier New" w:cs="Courier New" w:ascii="Courier New" w:hAnsi="Courier New"/>
          <w:color w:val="2E4057"/>
          <w:sz w:val="20"/>
          <w:szCs w:val="20"/>
        </w:rPr>
        <w:t>kb_susceptibility(L,S,_,high) :- slope_susceptible(L,S), weak_material(L).</w:t>
      </w:r>
    </w:p>
    <w:p>
      <w:pPr>
        <w:pStyle w:val="Normal"/>
        <w:spacing w:before="0" w:after="60"/>
        <w:ind w:start="560"/>
        <w:rPr/>
      </w:pPr>
      <w:r>
        <w:rPr>
          <w:rFonts w:eastAsia="Courier New" w:cs="Courier New" w:ascii="Courier New" w:hAnsi="Courier New"/>
          <w:color w:val="2E4057"/>
          <w:sz w:val="20"/>
          <w:szCs w:val="20"/>
        </w:rPr>
        <w:t>kb_susceptibility(L,S,D,high) :- slope_susceptible(L,S), drainage_susceptible(L,D).</w:t>
      </w:r>
    </w:p>
    <w:p>
      <w:pPr>
        <w:pStyle w:val="Normal"/>
        <w:spacing w:before="0" w:after="60"/>
        <w:ind w:start="560"/>
        <w:rPr/>
      </w:pPr>
      <w:r>
        <w:rPr>
          <w:rFonts w:eastAsia="Courier New" w:cs="Courier New" w:ascii="Courier New" w:hAnsi="Courier New"/>
          <w:color w:val="2E4057"/>
          <w:sz w:val="20"/>
          <w:szCs w:val="20"/>
        </w:rPr>
        <w:t>kb_susceptibility(L,S,_,medium) :- slope_susceptible(L,S).</w:t>
      </w:r>
    </w:p>
    <w:p>
      <w:pPr>
        <w:pStyle w:val="Normal"/>
        <w:spacing w:before="0" w:after="60"/>
        <w:ind w:start="560"/>
        <w:rPr/>
      </w:pPr>
      <w:r>
        <w:rPr>
          <w:rFonts w:eastAsia="Courier New" w:cs="Courier New" w:ascii="Courier New" w:hAnsi="Courier New"/>
          <w:color w:val="2E4057"/>
          <w:sz w:val="20"/>
          <w:szCs w:val="20"/>
        </w:rPr>
        <w:t>kb_susceptibility(L,S,_,medium) :- material_susceptible(L,S), \+slope_susceptible(L,S).</w:t>
      </w:r>
    </w:p>
    <w:p>
      <w:pPr>
        <w:pStyle w:val="Normal"/>
        <w:spacing w:before="0" w:after="60"/>
        <w:ind w:start="560"/>
        <w:rPr/>
      </w:pPr>
      <w:r>
        <w:rPr>
          <w:rFonts w:eastAsia="Courier New" w:cs="Courier New" w:ascii="Courier New" w:hAnsi="Courier New"/>
          <w:color w:val="2E4057"/>
          <w:sz w:val="20"/>
          <w:szCs w:val="20"/>
        </w:rPr>
        <w:t>kb_susceptibility(_,_,_,low).</w:t>
      </w:r>
    </w:p>
    <w:p>
      <w:pPr>
        <w:pStyle w:val="Normal"/>
        <w:spacing w:before="0" w:after="80"/>
        <w:rPr/>
      </w:pPr>
      <w:r>
        <w:rPr/>
      </w:r>
    </w:p>
    <w:p>
      <w:pPr>
        <w:pStyle w:val="Normal"/>
        <w:spacing w:before="0" w:after="60"/>
        <w:ind w:start="560"/>
        <w:rPr/>
      </w:pPr>
      <w:r>
        <w:rPr>
          <w:rFonts w:eastAsia="Courier New" w:cs="Courier New" w:ascii="Courier New" w:hAnsi="Courier New"/>
          <w:color w:val="2E4057"/>
          <w:sz w:val="20"/>
          <w:szCs w:val="20"/>
        </w:rPr>
        <w:t>susceptibility_score(L,S,D,2) :- kb_susceptibility(L,S,D,high).</w:t>
      </w:r>
    </w:p>
    <w:p>
      <w:pPr>
        <w:pStyle w:val="Normal"/>
        <w:spacing w:before="0" w:after="60"/>
        <w:ind w:start="560"/>
        <w:rPr/>
      </w:pPr>
      <w:r>
        <w:rPr>
          <w:rFonts w:eastAsia="Courier New" w:cs="Courier New" w:ascii="Courier New" w:hAnsi="Courier New"/>
          <w:color w:val="2E4057"/>
          <w:sz w:val="20"/>
          <w:szCs w:val="20"/>
        </w:rPr>
        <w:t>susceptibility_score(L,S,D,1) :- kb_susceptibility(L,S,D,medium).</w:t>
      </w:r>
    </w:p>
    <w:p>
      <w:pPr>
        <w:pStyle w:val="Normal"/>
        <w:spacing w:before="0" w:after="60"/>
        <w:ind w:start="560"/>
        <w:rPr/>
      </w:pPr>
      <w:r>
        <w:rPr>
          <w:rFonts w:eastAsia="Courier New" w:cs="Courier New" w:ascii="Courier New" w:hAnsi="Courier New"/>
          <w:color w:val="2E4057"/>
          <w:sz w:val="20"/>
          <w:szCs w:val="20"/>
        </w:rPr>
        <w:t>susceptibility_score(_,_,_,0).</w:t>
      </w:r>
    </w:p>
    <w:p>
      <w:pPr>
        <w:pStyle w:val="Normal"/>
        <w:spacing w:before="0" w:after="80"/>
        <w:rPr/>
      </w:pPr>
      <w:r>
        <w:rPr/>
      </w:r>
    </w:p>
    <w:p>
      <w:pPr>
        <w:pStyle w:val="Heading2"/>
        <w:rPr/>
      </w:pPr>
      <w:r>
        <w:rPr>
          <w:rFonts w:eastAsia="Arial" w:cs="Arial"/>
          <w:b/>
          <w:bCs/>
          <w:color w:val="2E4057"/>
          <w:sz w:val="28"/>
          <w:szCs w:val="28"/>
        </w:rPr>
        <w:t>Valutazione della KB</w:t>
      </w:r>
    </w:p>
    <w:p>
      <w:pPr>
        <w:pStyle w:val="Normal"/>
        <w:spacing w:before="0" w:after="160"/>
        <w:rPr/>
      </w:pPr>
      <w:r>
        <w:rPr>
          <w:rFonts w:eastAsia="Arial" w:cs="Arial"/>
          <w:sz w:val="24"/>
          <w:szCs w:val="24"/>
        </w:rPr>
        <w:t>La KB viene valutata come classificatore autonomo (baseline esperta, soglia: score ≥ 1 → positivo) prima di qualsiasi addestramento ML:</w:t>
      </w:r>
    </w:p>
    <w:tbl>
      <w:tblPr>
        <w:tblW w:w="9026" w:type="dxa"/>
        <w:jc w:val="start"/>
        <w:tblInd w:w="0" w:type="dxa"/>
        <w:tblLayout w:type="fixed"/>
        <w:tblCellMar>
          <w:top w:w="80" w:type="dxa"/>
          <w:start w:w="120" w:type="dxa"/>
          <w:bottom w:w="80" w:type="dxa"/>
          <w:end w:w="120" w:type="dxa"/>
        </w:tblCellMar>
      </w:tblPr>
      <w:tblGrid>
        <w:gridCol w:w="2198"/>
        <w:gridCol w:w="2202"/>
        <w:gridCol w:w="2198"/>
        <w:gridCol w:w="2428"/>
      </w:tblGrid>
      <w:tr>
        <w:trPr/>
        <w:tc>
          <w:tcPr>
            <w:tcW w:w="21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Precision</w:t>
            </w:r>
          </w:p>
        </w:tc>
        <w:tc>
          <w:tcPr>
            <w:tcW w:w="220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Recall</w:t>
            </w:r>
          </w:p>
        </w:tc>
        <w:tc>
          <w:tcPr>
            <w:tcW w:w="21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F1</w:t>
            </w:r>
          </w:p>
        </w:tc>
        <w:tc>
          <w:tcPr>
            <w:tcW w:w="242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AUC-ROC</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0,232</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0,874</w:t>
            </w:r>
          </w:p>
        </w:tc>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0,367</w:t>
            </w:r>
          </w:p>
        </w:tc>
        <w:tc>
          <w:tcPr>
            <w:tcW w:w="24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0,677</w:t>
            </w:r>
          </w:p>
        </w:tc>
      </w:tr>
    </w:tbl>
    <w:p>
      <w:pPr>
        <w:pStyle w:val="Normal"/>
        <w:spacing w:before="0" w:after="80"/>
        <w:rPr/>
      </w:pPr>
      <w:r>
        <w:rPr/>
      </w:r>
    </w:p>
    <w:p>
      <w:pPr>
        <w:pStyle w:val="Normal"/>
        <w:spacing w:before="0" w:after="160"/>
        <w:rPr/>
      </w:pPr>
      <w:r>
        <w:rPr>
          <w:rFonts w:eastAsia="Arial" w:cs="Arial"/>
          <w:sz w:val="24"/>
          <w:szCs w:val="24"/>
        </w:rPr>
        <w:t>L'elevato recall (0,874) con bassa precision (0,232) è il pattern atteso per una KB che codifica condizioni necessarie ma non sufficienti: la KB identifica quasi tutti i pixel di frana reali ma include anche molti falsi positivi — versanti con le condizioni predisponenti che non hanno ancora ceduto. Questa asimmetria è desiderabile in contesto di risk assessment, dove un falso negativo (area pericolosa non identificata) è più grave di un falso positivo.</w:t>
      </w:r>
    </w:p>
    <w:p>
      <w:pPr>
        <w:pStyle w:val="Normal"/>
        <w:spacing w:before="0" w:after="160"/>
        <w:rPr/>
      </w:pPr>
      <w:r>
        <w:rPr>
          <w:rFonts w:eastAsia="Arial" w:cs="Arial"/>
          <w:sz w:val="24"/>
          <w:szCs w:val="24"/>
        </w:rPr>
        <w:t>La distribuzione del punteggio per classe (label=1 vs label=0) conferma il potere discriminante:</w:t>
      </w:r>
    </w:p>
    <w:tbl>
      <w:tblPr>
        <w:tblW w:w="9026" w:type="dxa"/>
        <w:jc w:val="start"/>
        <w:tblInd w:w="0" w:type="dxa"/>
        <w:tblLayout w:type="fixed"/>
        <w:tblCellMar>
          <w:top w:w="80" w:type="dxa"/>
          <w:start w:w="120" w:type="dxa"/>
          <w:bottom w:w="80" w:type="dxa"/>
          <w:end w:w="120" w:type="dxa"/>
        </w:tblCellMar>
      </w:tblPr>
      <w:tblGrid>
        <w:gridCol w:w="2000"/>
        <w:gridCol w:w="2400"/>
        <w:gridCol w:w="2400"/>
        <w:gridCol w:w="2226"/>
      </w:tblGrid>
      <w:tr>
        <w:trPr/>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Score</w:t>
            </w:r>
          </w:p>
        </w:tc>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Significato</w:t>
            </w:r>
          </w:p>
        </w:tc>
        <w:tc>
          <w:tcPr>
            <w:tcW w:w="24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Pixel frana</w:t>
            </w:r>
          </w:p>
        </w:tc>
        <w:tc>
          <w:tcPr>
            <w:tcW w:w="22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Pixel background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 (alta)</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slope_susceptible ∧ (weak ∨ near_drain)</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46,3%</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24,1%</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 (media)</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slope_susceptible ∨ material_susceptible</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41,1%</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33,8%</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 (bassa)</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nessuna condizione attivata</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12,6%</w:t>
            </w:r>
          </w:p>
        </w:tc>
        <w:tc>
          <w:tcPr>
            <w:tcW w:w="22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42,1%</w:t>
            </w:r>
          </w:p>
        </w:tc>
      </w:tr>
    </w:tbl>
    <w:p>
      <w:pPr>
        <w:pStyle w:val="Normal"/>
        <w:spacing w:before="0" w:after="80"/>
        <w:rPr/>
      </w:pPr>
      <w:r>
        <w:rPr/>
      </w:r>
    </w:p>
    <w:p>
      <w:pPr>
        <w:pStyle w:val="Normal"/>
        <w:rPr/>
      </w:pPr>
      <w:r>
        <w:rPr/>
      </w:r>
      <w:r>
        <w:br w:type="page"/>
      </w:r>
    </w:p>
    <w:p>
      <w:pPr>
        <w:pStyle w:val="Heading1"/>
        <w:spacing w:before="0" w:after="160"/>
        <w:rPr/>
      </w:pPr>
      <w:r>
        <w:rPr>
          <w:rFonts w:eastAsia="Arial" w:cs="Arial"/>
          <w:b/>
          <w:bCs/>
          <w:color w:val="2E75B6"/>
          <w:sz w:val="32"/>
          <w:szCs w:val="32"/>
        </w:rPr>
        <w:t>Sezione 2 — Apprendimento Supervisionato e Classificazione</w:t>
      </w:r>
    </w:p>
    <w:p>
      <w:pPr>
        <w:pStyle w:val="Heading2"/>
        <w:rPr/>
      </w:pPr>
      <w:r>
        <w:rPr>
          <w:rFonts w:eastAsia="Arial" w:cs="Arial"/>
          <w:b/>
          <w:bCs/>
          <w:color w:val="2E4057"/>
          <w:sz w:val="28"/>
          <w:szCs w:val="28"/>
        </w:rPr>
        <w:t>Sommario</w:t>
      </w:r>
    </w:p>
    <w:p>
      <w:pPr>
        <w:pStyle w:val="Normal"/>
        <w:spacing w:before="0" w:after="160"/>
        <w:rPr/>
      </w:pPr>
      <w:r>
        <w:rPr>
          <w:rFonts w:eastAsia="Arial" w:cs="Arial"/>
          <w:sz w:val="24"/>
          <w:szCs w:val="24"/>
        </w:rPr>
        <w:t>Due classificatori supervisionati — Regressione Logistica (LR) e Random Forest (RF) — vengono addestrati sul feature matrix derivato dalla pipeline geospaziale. L'esperimento principale confronta le prestazioni con e senza il feature kb_susceptibility per quantificare il contributo della conoscenza esperta ai modelli data-driven. La valutazione usa 5-fold stratified cross-validation con AUC-ROC come metrica principale, riportando media e deviazione standard su tutti i fold.</w:t>
      </w:r>
    </w:p>
    <w:p>
      <w:pPr>
        <w:pStyle w:val="Heading2"/>
        <w:rPr/>
      </w:pPr>
      <w:r>
        <w:rPr>
          <w:rFonts w:eastAsia="Arial" w:cs="Arial"/>
          <w:b/>
          <w:bCs/>
          <w:color w:val="2E4057"/>
          <w:sz w:val="28"/>
          <w:szCs w:val="28"/>
        </w:rPr>
        <w:t>Costruzione del Feature Matrix</w:t>
      </w:r>
    </w:p>
    <w:p>
      <w:pPr>
        <w:pStyle w:val="Normal"/>
        <w:spacing w:before="0" w:after="160"/>
        <w:rPr/>
      </w:pPr>
      <w:r>
        <w:rPr>
          <w:rFonts w:eastAsia="Arial" w:cs="Arial"/>
          <w:sz w:val="24"/>
          <w:szCs w:val="24"/>
        </w:rPr>
        <w:t>Il feature matrix viene costruito campionando tutti i pixel validi di Campania a 30m di risoluzione (15.033.189 pixel totali nel dominio valido). La strategia di campionamento è stata progettata per bilanciare tre esigenze: rappresentatività, gestibilità computazionale e correttezza statistica.</w:t>
      </w:r>
    </w:p>
    <w:p>
      <w:pPr>
        <w:pStyle w:val="Normal"/>
        <w:spacing w:before="0" w:after="160"/>
        <w:rPr/>
      </w:pPr>
      <w:r>
        <w:rPr>
          <w:rFonts w:eastAsia="Arial" w:cs="Arial"/>
          <w:sz w:val="24"/>
          <w:szCs w:val="24"/>
        </w:rPr>
        <w:t>Campionamento: tutti i pixel positivi (label=1, inside IFFI polygons) vengono inclusi integralmente. I negativi vengono campionati con rapporto 5:1 (negativo:positivo), stratificato per classe litologica. La stratificazione è necessaria perché le classi litologiche hanno distribuzioni areali molto diverse in Campania: senza stratificazione, flysch_clastic (27% dell'area) verrebbe sovracampionato a scapito di volcanic_pyroclastic e hard_rock. Il campionamento usa numpy.random.default_rng(seed=42) per riproducibilità.</w:t>
      </w:r>
    </w:p>
    <w:tbl>
      <w:tblPr>
        <w:tblW w:w="9026" w:type="dxa"/>
        <w:jc w:val="start"/>
        <w:tblInd w:w="0" w:type="dxa"/>
        <w:tblLayout w:type="fixed"/>
        <w:tblCellMar>
          <w:top w:w="80" w:type="dxa"/>
          <w:start w:w="120" w:type="dxa"/>
          <w:bottom w:w="80" w:type="dxa"/>
          <w:end w:w="120" w:type="dxa"/>
        </w:tblCellMar>
      </w:tblPr>
      <w:tblGrid>
        <w:gridCol w:w="3000"/>
        <w:gridCol w:w="2998"/>
        <w:gridCol w:w="3028"/>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Parametro</w:t>
            </w:r>
          </w:p>
        </w:tc>
        <w:tc>
          <w:tcPr>
            <w:tcW w:w="29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Valore</w:t>
            </w:r>
          </w:p>
        </w:tc>
        <w:tc>
          <w:tcPr>
            <w:tcW w:w="302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Motivazione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Pixel totali Campania</w:t>
            </w:r>
          </w:p>
        </w:tc>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15.033.189</w:t>
            </w:r>
          </w:p>
        </w:tc>
        <w:tc>
          <w:tcPr>
            <w:tcW w:w="30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Dominio di studio a 30m</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Positivi (IFFI)</w:t>
            </w:r>
          </w:p>
        </w:tc>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999.696</w:t>
            </w:r>
          </w:p>
        </w:tc>
        <w:tc>
          <w:tcPr>
            <w:tcW w:w="30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Tutti i pixel in poligoni frana validi</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Negativi campionati</w:t>
            </w:r>
          </w:p>
        </w:tc>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4.998.480</w:t>
            </w:r>
          </w:p>
        </w:tc>
        <w:tc>
          <w:tcPr>
            <w:tcW w:w="30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Rapporto 5:1 stratificato per litho_class</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Totale feature matrix</w:t>
            </w:r>
          </w:p>
        </w:tc>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5.998.176 righe</w:t>
            </w:r>
          </w:p>
        </w:tc>
        <w:tc>
          <w:tcPr>
            <w:tcW w:w="30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~6M pixel, 11 feature + label + metadati</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Seed RNG</w:t>
            </w:r>
          </w:p>
        </w:tc>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42</w:t>
            </w:r>
          </w:p>
        </w:tc>
        <w:tc>
          <w:tcPr>
            <w:tcW w:w="30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Riproducibilità</w:t>
            </w:r>
          </w:p>
        </w:tc>
      </w:tr>
    </w:tbl>
    <w:p>
      <w:pPr>
        <w:pStyle w:val="Normal"/>
        <w:spacing w:before="0" w:after="80"/>
        <w:rPr/>
      </w:pPr>
      <w:r>
        <w:rPr/>
      </w:r>
    </w:p>
    <w:p>
      <w:pPr>
        <w:pStyle w:val="Normal"/>
        <w:spacing w:before="0" w:after="160"/>
        <w:rPr/>
      </w:pPr>
      <w:r>
        <w:rPr>
          <w:rFonts w:eastAsia="Arial" w:cs="Arial"/>
          <w:sz w:val="24"/>
          <w:szCs w:val="24"/>
        </w:rPr>
        <w:t>Spatial blocks: ogni pixel è assegnato a uno dei 25 blocchi di una griglia 5×5 sull'extent di Campania. Questi blocchi sono inclusi nel dataset ma non utilizzati per il CV (si usa stratified k-fold standard). Questa è una limitazione documentata: la cross-validation spaziale per blocchi sarebbe più corretta per dati geospaziali (evita autocorrelazione spaziale tra train e test), ma è stata sacrificata per semplicità implementativa nel contesto del progetto. I blocchi rimangono disponibili per estensioni future.</w:t>
      </w:r>
    </w:p>
    <w:p>
      <w:pPr>
        <w:pStyle w:val="Normal"/>
        <w:spacing w:before="0" w:after="160"/>
        <w:rPr/>
      </w:pPr>
      <w:r>
        <w:rPr>
          <w:rFonts w:eastAsia="Arial" w:cs="Arial"/>
          <w:sz w:val="24"/>
          <w:szCs w:val="24"/>
        </w:rPr>
        <w:t>Feature utilizzate (11 totali): slope, aspect, profile_curvature, planform_curvature, twi, flow_accumulation (tutti derivati dal DEM Copernicus 30m), litho_class (intero 0-5), corine (codice CLC intero), dist_drainage (metri, derivata da DEM), dist_roads (log-trasformata, derivata da OSM), kb_susceptibility (intero 0-2, derivata dalla KB Prolog).</w:t>
      </w:r>
    </w:p>
    <w:p>
      <w:pPr>
        <w:pStyle w:val="Heading2"/>
        <w:rPr/>
      </w:pPr>
      <w:r>
        <w:rPr>
          <w:rFonts w:eastAsia="Arial" w:cs="Arial"/>
          <w:b/>
          <w:bCs/>
          <w:color w:val="2E4057"/>
          <w:sz w:val="28"/>
          <w:szCs w:val="28"/>
        </w:rPr>
        <w:t>Strumenti utilizzati</w:t>
      </w:r>
    </w:p>
    <w:p>
      <w:pPr>
        <w:pStyle w:val="ListParagraph"/>
        <w:numPr>
          <w:ilvl w:val="0"/>
          <w:numId w:val="2"/>
        </w:numPr>
        <w:spacing w:before="0" w:after="80"/>
        <w:rPr/>
      </w:pPr>
      <w:r>
        <w:rPr>
          <w:rFonts w:eastAsia="Arial" w:cs="Arial"/>
          <w:sz w:val="24"/>
          <w:szCs w:val="24"/>
        </w:rPr>
        <w:t>scikit-learn: LogisticRegression, RandomForestClassifier, StratifiedKFold, StandardScaler, roc_auc_score</w:t>
      </w:r>
    </w:p>
    <w:p>
      <w:pPr>
        <w:pStyle w:val="ListParagraph"/>
        <w:numPr>
          <w:ilvl w:val="0"/>
          <w:numId w:val="2"/>
        </w:numPr>
        <w:spacing w:before="0" w:after="80"/>
        <w:rPr/>
      </w:pPr>
      <w:r>
        <w:rPr>
          <w:rFonts w:eastAsia="Arial" w:cs="Arial"/>
          <w:sz w:val="24"/>
          <w:szCs w:val="24"/>
        </w:rPr>
        <w:t>pandas / numpy: gestione feature matrix e calcolo metriche</w:t>
      </w:r>
    </w:p>
    <w:p>
      <w:pPr>
        <w:pStyle w:val="ListParagraph"/>
        <w:numPr>
          <w:ilvl w:val="0"/>
          <w:numId w:val="2"/>
        </w:numPr>
        <w:spacing w:before="0" w:after="80"/>
        <w:rPr/>
      </w:pPr>
      <w:r>
        <w:rPr>
          <w:rFonts w:eastAsia="Arial" w:cs="Arial"/>
          <w:sz w:val="24"/>
          <w:szCs w:val="24"/>
        </w:rPr>
        <w:t>pyarrow: serializzazione parquet del feature matrix (215,9 MB)</w:t>
      </w:r>
    </w:p>
    <w:p>
      <w:pPr>
        <w:pStyle w:val="Normal"/>
        <w:spacing w:before="0" w:after="80"/>
        <w:rPr/>
      </w:pPr>
      <w:r>
        <w:rPr/>
      </w:r>
    </w:p>
    <w:p>
      <w:pPr>
        <w:pStyle w:val="Heading2"/>
        <w:rPr/>
      </w:pPr>
      <w:r>
        <w:rPr>
          <w:rFonts w:eastAsia="Arial" w:cs="Arial"/>
          <w:b/>
          <w:bCs/>
          <w:color w:val="2E4057"/>
          <w:sz w:val="28"/>
          <w:szCs w:val="28"/>
        </w:rPr>
        <w:t>Decisioni di progetto</w:t>
      </w:r>
    </w:p>
    <w:p>
      <w:pPr>
        <w:pStyle w:val="Normal"/>
        <w:spacing w:before="0" w:after="160"/>
        <w:rPr/>
      </w:pPr>
      <w:r>
        <w:rPr>
          <w:rFonts w:eastAsia="Arial" w:cs="Arial"/>
          <w:sz w:val="24"/>
          <w:szCs w:val="24"/>
        </w:rPr>
        <w:t>Regressione Logistica: max_iter=1000, StandardScaler applicato inside the CV loop (fit solo su train fold, transform su entrambi — evita data leakage). Parametri default per C e penalty (L2, C=1.0) — non ottimizzati per mantenere confrontabilità con RF e chiarezza interpretativa. LR serve come baseline lineare: non può apprendere interazioni tra feature senza trasformazioni esplicite.</w:t>
      </w:r>
    </w:p>
    <w:p>
      <w:pPr>
        <w:pStyle w:val="Normal"/>
        <w:spacing w:before="0" w:after="160"/>
        <w:rPr/>
      </w:pPr>
      <w:r>
        <w:rPr>
          <w:rFonts w:eastAsia="Arial" w:cs="Arial"/>
          <w:sz w:val="24"/>
          <w:szCs w:val="24"/>
        </w:rPr>
        <w:t>Random Forest: n_estimators=100, random_state=42, n_jobs=-1. Depth illimitata (default) — coerente con l'uso di RF come stimatore non-lineare ad alta capacità. Nessun tuning degli iperparametri: l'obiettivo dell'esperimento è confrontare con/senza KB feature, non ottimizzare le prestazioni assolute. Con 6M righe e 100 alberi, ogni fold richiede circa 4-5 minuti.</w:t>
      </w:r>
    </w:p>
    <w:p>
      <w:pPr>
        <w:pStyle w:val="Normal"/>
        <w:spacing w:before="0" w:after="160"/>
        <w:rPr/>
      </w:pPr>
      <w:r>
        <w:rPr>
          <w:rFonts w:eastAsia="Arial" w:cs="Arial"/>
          <w:sz w:val="24"/>
          <w:szCs w:val="24"/>
        </w:rPr>
        <w:t>Metrica principale: AUC-ROC. Il dataset è sbilanciato (1:5) anche dopo il campionamento: accuracy e F1 al threshold di default (0,5) sarebbero fuorvianti. AUC misura la capacità discriminante indipendentemente dalla soglia ed è la metrica standard nella letteratura sulla suscettibilità da frana (Catani et al., 2013; Guzzetti et al., 2006).</w:t>
      </w:r>
    </w:p>
    <w:p>
      <w:pPr>
        <w:pStyle w:val="Heading2"/>
        <w:rPr/>
      </w:pPr>
      <w:r>
        <w:rPr>
          <w:rFonts w:eastAsia="Arial" w:cs="Arial"/>
          <w:b/>
          <w:bCs/>
          <w:color w:val="2E4057"/>
          <w:sz w:val="28"/>
          <w:szCs w:val="28"/>
        </w:rPr>
        <w:t>Valutazione e Risultati</w:t>
      </w:r>
    </w:p>
    <w:p>
      <w:pPr>
        <w:pStyle w:val="Normal"/>
        <w:spacing w:before="0" w:after="160"/>
        <w:rPr/>
      </w:pPr>
      <w:r>
        <w:rPr>
          <w:rFonts w:eastAsia="Arial" w:cs="Arial"/>
          <w:sz w:val="24"/>
          <w:szCs w:val="24"/>
        </w:rPr>
        <w:t>Risultati della 5-fold stratified cross-validation (media ± deviazione standard):</w:t>
      </w:r>
    </w:p>
    <w:tbl>
      <w:tblPr>
        <w:tblW w:w="9026" w:type="dxa"/>
        <w:jc w:val="start"/>
        <w:tblInd w:w="0" w:type="dxa"/>
        <w:tblLayout w:type="fixed"/>
        <w:tblCellMar>
          <w:top w:w="80" w:type="dxa"/>
          <w:start w:w="120" w:type="dxa"/>
          <w:bottom w:w="80" w:type="dxa"/>
          <w:end w:w="120" w:type="dxa"/>
        </w:tblCellMar>
      </w:tblPr>
      <w:tblGrid>
        <w:gridCol w:w="2198"/>
        <w:gridCol w:w="1802"/>
        <w:gridCol w:w="1699"/>
        <w:gridCol w:w="1701"/>
        <w:gridCol w:w="1626"/>
      </w:tblGrid>
      <w:tr>
        <w:trPr/>
        <w:tc>
          <w:tcPr>
            <w:tcW w:w="2198"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Modello / Feature set</w:t>
            </w:r>
          </w:p>
        </w:tc>
        <w:tc>
          <w:tcPr>
            <w:tcW w:w="1802"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AUC-ROC</w:t>
            </w:r>
          </w:p>
        </w:tc>
        <w:tc>
          <w:tcPr>
            <w:tcW w:w="1699"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F1</w:t>
            </w:r>
          </w:p>
        </w:tc>
        <w:tc>
          <w:tcPr>
            <w:tcW w:w="1701"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Precision</w:t>
            </w:r>
          </w:p>
        </w:tc>
        <w:tc>
          <w:tcPr>
            <w:tcW w:w="16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Recall</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KB standalone (baseline)</w:t>
            </w:r>
          </w:p>
        </w:tc>
        <w:tc>
          <w:tcPr>
            <w:tcW w:w="18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0,677 ± —</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0,367</w:t>
            </w:r>
          </w:p>
        </w:tc>
        <w:tc>
          <w:tcPr>
            <w:tcW w:w="1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0,232</w:t>
            </w:r>
          </w:p>
        </w:tc>
        <w:tc>
          <w:tcPr>
            <w:tcW w:w="1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0,874</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LR senza KB</w:t>
            </w:r>
          </w:p>
        </w:tc>
        <w:tc>
          <w:tcPr>
            <w:tcW w:w="18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0,599 ± 0,0004</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0,001 ± 0,0001</w:t>
            </w:r>
          </w:p>
        </w:tc>
        <w:tc>
          <w:tcPr>
            <w:tcW w:w="1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0,107 ± 0,011</w:t>
            </w:r>
          </w:p>
        </w:tc>
        <w:tc>
          <w:tcPr>
            <w:tcW w:w="1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0,001 ± 0,0001</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LR con KB</w:t>
            </w:r>
          </w:p>
        </w:tc>
        <w:tc>
          <w:tcPr>
            <w:tcW w:w="18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0,738 ± 0,0001</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0,038 ± 0,0008</w:t>
            </w:r>
          </w:p>
        </w:tc>
        <w:tc>
          <w:tcPr>
            <w:tcW w:w="1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0,443 ± 0,005</w:t>
            </w:r>
          </w:p>
        </w:tc>
        <w:tc>
          <w:tcPr>
            <w:tcW w:w="1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0,020 ± 0,0004</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RF senza KB</w:t>
            </w:r>
          </w:p>
        </w:tc>
        <w:tc>
          <w:tcPr>
            <w:tcW w:w="18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0,854 ± 0,0004</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0,357 ± 0,0014</w:t>
            </w:r>
          </w:p>
        </w:tc>
        <w:tc>
          <w:tcPr>
            <w:tcW w:w="1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0,603 ± 0,001</w:t>
            </w:r>
          </w:p>
        </w:tc>
        <w:tc>
          <w:tcPr>
            <w:tcW w:w="1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0,254 ± 0,0014</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RF con KB</w:t>
            </w:r>
          </w:p>
        </w:tc>
        <w:tc>
          <w:tcPr>
            <w:tcW w:w="18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0,852 ± 0,0003</w:t>
            </w:r>
          </w:p>
        </w:tc>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0,351 ± 0,0017</w:t>
            </w:r>
          </w:p>
        </w:tc>
        <w:tc>
          <w:tcPr>
            <w:tcW w:w="17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0,598 ± 0,001</w:t>
            </w:r>
          </w:p>
        </w:tc>
        <w:tc>
          <w:tcPr>
            <w:tcW w:w="16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0,248 ± 0,0016</w:t>
            </w:r>
          </w:p>
        </w:tc>
      </w:tr>
    </w:tbl>
    <w:p>
      <w:pPr>
        <w:pStyle w:val="Normal"/>
        <w:spacing w:before="0" w:after="80"/>
        <w:rPr/>
      </w:pPr>
      <w:r>
        <w:rPr/>
      </w:r>
    </w:p>
    <w:p>
      <w:pPr>
        <w:pStyle w:val="Normal"/>
        <w:spacing w:before="0" w:after="160"/>
        <w:rPr/>
      </w:pPr>
      <w:r>
        <w:rPr>
          <w:rFonts w:eastAsia="Arial" w:cs="Arial"/>
          <w:sz w:val="24"/>
          <w:szCs w:val="24"/>
        </w:rPr>
        <w:t>Il risultato più rilevante è la differenza tra modelli con e senza kb_susceptibility in funzione della capacità del modello base. Per la Regressione Logistica — modello lineare che non può apprendere interazioni tra feature — l'aggiunta di kb_susceptibility produce un miglioramento sostanziale di +0,139 AUC (da 0,599 a 0,738). La KB "precomputa" la combinazione non-lineare litologia×pendenza×drenaggio in un singolo feature discreto che LR può sfruttare linearmente.</w:t>
      </w:r>
    </w:p>
    <w:p>
      <w:pPr>
        <w:pStyle w:val="Normal"/>
        <w:spacing w:before="0" w:after="160"/>
        <w:rPr/>
      </w:pPr>
      <w:r>
        <w:rPr>
          <w:rFonts w:eastAsia="Arial" w:cs="Arial"/>
          <w:sz w:val="24"/>
          <w:szCs w:val="24"/>
        </w:rPr>
        <w:t>Per il Random Forest — modello non-lineare ad alta capacità — l'effetto è opposto e trascurabile: RF con KB ottiene 0,852 vs RF senza KB 0,854, una differenza di −0,002 ampiamente all'interno di una deviazione standard (0,0004). Il motivo è nell'importanza delle feature: RF assegna kb_susceptibility solo il 3,7% di importanza (ultima posizione), mentre ha accesso diretto a slope (14,2%) e litho_class (6,3%) — gli stessi input della KB. RF impara da solo l'interazione slope×litho che la KB codifica esplicitamente, rendendo kb_susceptibility ridondante.</w:t>
      </w:r>
    </w:p>
    <w:p>
      <w:pPr>
        <w:pStyle w:val="Normal"/>
        <w:spacing w:before="0" w:after="160"/>
        <w:rPr/>
      </w:pPr>
      <w:r>
        <w:rPr>
          <w:rFonts w:eastAsia="Arial" w:cs="Arial"/>
          <w:sz w:val="24"/>
          <w:szCs w:val="24"/>
        </w:rPr>
        <w:t>Questa asimmetria — KB utile per modelli lineari, ridondante per modelli non-lineari — è coerente con la letteratura sull'integrazione di Background Knowledge nell'apprendimento automatico e costituisce di per sé un risultato scientifico interessante.</w:t>
      </w:r>
    </w:p>
    <w:p>
      <w:pPr>
        <w:pStyle w:val="Normal"/>
        <w:spacing w:before="0" w:after="160"/>
        <w:rPr/>
      </w:pPr>
      <w:r>
        <w:rPr>
          <w:rFonts w:eastAsia="Arial" w:cs="Arial"/>
          <w:sz w:val="24"/>
          <w:szCs w:val="24"/>
        </w:rPr>
        <w:t>Feature importance del Random Forest (fit su dataset completo):</w:t>
      </w:r>
    </w:p>
    <w:tbl>
      <w:tblPr>
        <w:tblW w:w="9026" w:type="dxa"/>
        <w:jc w:val="start"/>
        <w:tblInd w:w="0" w:type="dxa"/>
        <w:tblLayout w:type="fixed"/>
        <w:tblCellMar>
          <w:top w:w="80" w:type="dxa"/>
          <w:start w:w="120" w:type="dxa"/>
          <w:bottom w:w="80" w:type="dxa"/>
          <w:end w:w="120" w:type="dxa"/>
        </w:tblCellMar>
      </w:tblPr>
      <w:tblGrid>
        <w:gridCol w:w="3000"/>
        <w:gridCol w:w="2000"/>
        <w:gridCol w:w="4026"/>
      </w:tblGrid>
      <w:tr>
        <w:trPr/>
        <w:tc>
          <w:tcPr>
            <w:tcW w:w="3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Feature</w:t>
            </w:r>
          </w:p>
        </w:tc>
        <w:tc>
          <w:tcPr>
            <w:tcW w:w="2000"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Importanza</w:t>
            </w:r>
          </w:p>
        </w:tc>
        <w:tc>
          <w:tcPr>
            <w:tcW w:w="4026" w:type="dxa"/>
            <w:tcBorders>
              <w:top w:val="single" w:sz="2" w:space="0" w:color="CCCCCC"/>
              <w:start w:val="single" w:sz="2" w:space="0" w:color="CCCCCC"/>
              <w:bottom w:val="single" w:sz="2" w:space="0" w:color="CCCCCC"/>
              <w:end w:val="single" w:sz="2" w:space="0" w:color="CCCCCC"/>
            </w:tcBorders>
            <w:shd w:fill="2E75B6" w:val="clear"/>
          </w:tcPr>
          <w:p>
            <w:pPr>
              <w:pStyle w:val="Normal"/>
              <w:rPr/>
            </w:pPr>
            <w:r>
              <w:rPr>
                <w:rFonts w:eastAsia="Arial" w:cs="Arial"/>
                <w:b/>
                <w:bCs/>
                <w:color w:val="FFFFFF"/>
                <w:sz w:val="22"/>
                <w:szCs w:val="22"/>
              </w:rPr>
              <w:t>Nota</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slope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0,142</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Fattore primario — pendenza</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planform_curvature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0,120</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Convergenza flusso superficiale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aspect</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0,116</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Orientamento versante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twi</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0,113</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Indice di umidità topografica</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profile_curvature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0,112</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Accelerazione flusso</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dist_roads</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0,108</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Effetto infrastrutture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dist_drainage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0,099</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Scalzamento al piede</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litho_class</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0,063</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Litologia geotecnica</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flow_accumulation</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0,048</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Rete idrografica implicita</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corine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0,043</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Copertura suolo</w:t>
            </w:r>
          </w:p>
        </w:tc>
      </w:tr>
      <w:tr>
        <w:trPr/>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kb_susceptibility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0,037</w:t>
            </w:r>
          </w:p>
        </w:tc>
        <w:tc>
          <w:tcPr>
            <w:tcW w:w="402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sz w:val="22"/>
                <w:szCs w:val="22"/>
              </w:rPr>
              <w:t>Conoscenza esperta (ridondante per RF)</w:t>
            </w:r>
          </w:p>
        </w:tc>
      </w:tr>
    </w:tbl>
    <w:p>
      <w:pPr>
        <w:pStyle w:val="Normal"/>
        <w:spacing w:before="0" w:after="80"/>
        <w:rPr/>
      </w:pPr>
      <w:r>
        <w:rPr/>
      </w:r>
    </w:p>
    <w:p>
      <w:pPr>
        <w:pStyle w:val="Normal"/>
        <w:rPr/>
      </w:pPr>
      <w:r>
        <w:rPr/>
      </w:r>
      <w:r>
        <w:br w:type="page"/>
      </w:r>
    </w:p>
    <w:p>
      <w:pPr>
        <w:pStyle w:val="Heading1"/>
        <w:spacing w:before="0" w:after="160"/>
        <w:rPr/>
      </w:pPr>
      <w:r>
        <w:rPr>
          <w:rFonts w:eastAsia="Arial" w:cs="Arial"/>
          <w:b/>
          <w:bCs/>
          <w:color w:val="2E75B6"/>
          <w:sz w:val="32"/>
          <w:szCs w:val="32"/>
        </w:rPr>
        <w:t>Conclusioni</w:t>
      </w:r>
    </w:p>
    <w:p>
      <w:pPr>
        <w:pStyle w:val="Normal"/>
        <w:spacing w:before="0" w:after="160"/>
        <w:rPr/>
      </w:pPr>
      <w:r>
        <w:rPr>
          <w:rFonts w:eastAsia="Arial" w:cs="Arial"/>
          <w:sz w:val="24"/>
          <w:szCs w:val="24"/>
        </w:rPr>
        <w:t>Il sistema sviluppato dimostra la fattibilità dell'integrazione tra ragionamento logico simbolico e apprendimento supervisionato per la mappatura della suscettibilità da frana a scala regionale. Il Random Forest raggiunge AUC 0,852 ± 0,0003, in linea con i risultati riportati in letteratura per studi analoghi in Italia (Catani et al., 2013: 0,81-0,87). La KB standalone raggiunge AUC 0,677 con recall 0,874, confermando che le regole esperte catturano la maggior parte dei casi reali ma con bassa precisione.</w:t>
      </w:r>
    </w:p>
    <w:p>
      <w:pPr>
        <w:pStyle w:val="Normal"/>
        <w:spacing w:before="0" w:after="160"/>
        <w:rPr/>
      </w:pPr>
      <w:r>
        <w:rPr>
          <w:rFonts w:eastAsia="Arial" w:cs="Arial"/>
          <w:sz w:val="24"/>
          <w:szCs w:val="24"/>
        </w:rPr>
        <w:t>Il risultato più significativo riguarda l'interazione tra KB e tipologia di modello. L'aggiunta di kb_susceptibility migliora la Regressione Logistica di +0,139 AUC ma non apporta benefici misurabili al Random Forest (−0,002, trascurabile). Questo dimostra che il valore della conoscenza esperta dipende dalla capacità del modello base: è massimo per modelli lineari che non possono apprendere interazioni tra feature, ed è ridondante per modelli non-lineari che scoprono autonomamente le stesse relazioni dai dati.</w:t>
      </w:r>
    </w:p>
    <w:p>
      <w:pPr>
        <w:pStyle w:val="Normal"/>
        <w:spacing w:before="0" w:after="160"/>
        <w:rPr/>
      </w:pPr>
      <w:r>
        <w:rPr>
          <w:rFonts w:eastAsia="Arial" w:cs="Arial"/>
          <w:sz w:val="24"/>
          <w:szCs w:val="24"/>
        </w:rPr>
        <w:t>Limitazioni principali: (1) la cross-validation usa k-fold stratificata standard invece di CV spaziale per blocchi, il che può sovrastimare le prestazioni per effetto dell'autocorrelazione spaziale tra pixel adiacenti nei fold di train e test; (2) la risoluzione ERA5 (9km) ha reso inutilizzabile il dato pluviometrico come feature pixel-level, limitando l'analisi ai fattori predisponenti statici; (3) la classificazione litologica da mappa 1:100.000 introduce artefatti da bordo foglio parzialmente mitigati dalla aggregazione in 5 classi geotecniche.</w:t>
      </w:r>
    </w:p>
    <w:p>
      <w:pPr>
        <w:pStyle w:val="Normal"/>
        <w:spacing w:before="0" w:after="160"/>
        <w:rPr/>
      </w:pPr>
      <w:r>
        <w:rPr>
          <w:rFonts w:eastAsia="Arial" w:cs="Arial"/>
          <w:sz w:val="24"/>
          <w:szCs w:val="24"/>
        </w:rPr>
        <w:t>Sviluppi futuri: implementazione di spatial block CV per una valutazione più rigorosa; integrazione di dati pluviometrici ad alta risoluzione (rete pluviometrica ARPAC Campania) per la componente trigger; estensione a modelli di hazard dinamico che combinino suscettibilità statica con soglie pluviometriche di innesco (Guzzetti et al., 2007); validazione esterna tramite confronto sistematico con la mosaicatura ISPRA P1-P4.</w:t>
      </w:r>
    </w:p>
    <w:p>
      <w:pPr>
        <w:pStyle w:val="Normal"/>
        <w:spacing w:before="0" w:after="80"/>
        <w:rPr/>
      </w:pPr>
      <w:r>
        <w:rPr/>
      </w:r>
    </w:p>
    <w:p>
      <w:pPr>
        <w:pStyle w:val="Normal"/>
        <w:rPr/>
      </w:pPr>
      <w:r>
        <w:rPr/>
      </w:r>
      <w:r>
        <w:br w:type="page"/>
      </w:r>
    </w:p>
    <w:p>
      <w:pPr>
        <w:pStyle w:val="Heading1"/>
        <w:spacing w:before="0" w:after="160"/>
        <w:rPr/>
      </w:pPr>
      <w:r>
        <w:rPr>
          <w:rFonts w:eastAsia="Arial" w:cs="Arial"/>
          <w:b/>
          <w:bCs/>
          <w:color w:val="2E75B6"/>
          <w:sz w:val="32"/>
          <w:szCs w:val="32"/>
        </w:rPr>
        <w:t>Riferimenti Bibliografici</w:t>
      </w:r>
    </w:p>
    <w:p>
      <w:pPr>
        <w:pStyle w:val="Normal"/>
        <w:spacing w:before="0" w:after="160"/>
        <w:rPr/>
      </w:pPr>
      <w:r>
        <w:rPr>
          <w:rFonts w:eastAsia="Arial" w:cs="Arial"/>
          <w:sz w:val="24"/>
          <w:szCs w:val="24"/>
        </w:rPr>
        <w:t>[1] Catani, F., Lagomarsino, D., Segoni, S., Tofani, V. (2013). Landslide susceptibility estimation by random forests technique. Natural Hazards and Earth System Sciences, 13, 2815–2831. https://doi.org/10.5194/nhess-13-2815-2013</w:t>
      </w:r>
    </w:p>
    <w:p>
      <w:pPr>
        <w:pStyle w:val="Normal"/>
        <w:spacing w:before="0" w:after="160"/>
        <w:rPr/>
      </w:pPr>
      <w:r>
        <w:rPr>
          <w:rFonts w:eastAsia="Arial" w:cs="Arial"/>
          <w:sz w:val="24"/>
          <w:szCs w:val="24"/>
        </w:rPr>
        <w:t>[2] Corominas, J., et al. (2014). Recommendations for the quantitative analysis of landslide risk. Bulletin of Engineering Geology and the Environment, 73(2), 209–263. https://doi.org/10.1007/s10064-013-0538-8</w:t>
      </w:r>
    </w:p>
    <w:p>
      <w:pPr>
        <w:pStyle w:val="Normal"/>
        <w:spacing w:before="0" w:after="160"/>
        <w:rPr/>
      </w:pPr>
      <w:r>
        <w:rPr>
          <w:rFonts w:eastAsia="Arial" w:cs="Arial"/>
          <w:sz w:val="24"/>
          <w:szCs w:val="24"/>
        </w:rPr>
        <w:t>[3] Alvioli, M., et al. (2020). Landslide susceptibility assessment in complex geological settings: sensitivity to geological information. Landslides, 17, 97–112. https://doi.org/10.1007/s10346-019-01340-2</w:t>
      </w:r>
    </w:p>
    <w:p>
      <w:pPr>
        <w:pStyle w:val="Normal"/>
        <w:spacing w:before="0" w:after="160"/>
        <w:rPr/>
      </w:pPr>
      <w:r>
        <w:rPr>
          <w:rFonts w:eastAsia="Arial" w:cs="Arial"/>
          <w:sz w:val="24"/>
          <w:szCs w:val="24"/>
        </w:rPr>
        <w:t>[4] Trigila, A., Iadanza, C., et al. (2021). Dissesto idrogeologico in Italia: pericolosità e indicatori di rischio. ISPRA Rapporti 356/2021.</w:t>
      </w:r>
    </w:p>
    <w:p>
      <w:pPr>
        <w:pStyle w:val="Normal"/>
        <w:spacing w:before="0" w:after="160"/>
        <w:rPr/>
      </w:pPr>
      <w:r>
        <w:rPr>
          <w:rFonts w:eastAsia="Arial" w:cs="Arial"/>
          <w:sz w:val="24"/>
          <w:szCs w:val="24"/>
        </w:rPr>
        <w:t>[5] Tufano, R., et al. (2023). A revised landslide inventory of the Campania region (Italy). Scientific Data, 10, 353. https://doi.org/10.1038/s41597-023-02155-6</w:t>
      </w:r>
    </w:p>
    <w:p>
      <w:pPr>
        <w:pStyle w:val="Normal"/>
        <w:spacing w:before="0" w:after="160"/>
        <w:rPr/>
      </w:pPr>
      <w:r>
        <w:rPr>
          <w:rFonts w:eastAsia="Arial" w:cs="Arial"/>
          <w:sz w:val="24"/>
          <w:szCs w:val="24"/>
        </w:rPr>
        <w:t>[6] Guzzetti, F., et al. (2006). Estimating the quality of landslide susceptibility models. Geomorphology, 81(1–2), 166–184. https://doi.org/10.1016/j.geomorph.2006.03.036</w:t>
      </w:r>
    </w:p>
    <w:p>
      <w:pPr>
        <w:pStyle w:val="Normal"/>
        <w:spacing w:before="0" w:after="160"/>
        <w:rPr/>
      </w:pPr>
      <w:r>
        <w:rPr>
          <w:rFonts w:eastAsia="Arial" w:cs="Arial"/>
          <w:sz w:val="24"/>
          <w:szCs w:val="24"/>
        </w:rPr>
        <w:t>[7] Guzzetti, F., et al. (2007). Rainfall thresholds for the initiation of landslides in central and southern Italy. Meteorology and Atmospheric Physics, 98, 239–267. https://doi.org/10.1007/s00703-007-0262-7</w:t>
      </w:r>
    </w:p>
    <w:p>
      <w:pPr>
        <w:pStyle w:val="Normal"/>
        <w:spacing w:before="0" w:after="160"/>
        <w:rPr/>
      </w:pPr>
      <w:r>
        <w:rPr>
          <w:rFonts w:eastAsia="Arial" w:cs="Arial"/>
          <w:sz w:val="24"/>
          <w:szCs w:val="24"/>
        </w:rPr>
        <w:t>[8] Iadanza, C., Trigila, A., et al. (2021). IdroGEO: a collaborative web mapping application based on REST API services and open data on landslides and floods in Italy. ISPRS Int. J. Geo-Inf., 10(2), 89. https://doi.org/10.3390/ijgi10020089</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320" w:after="160"/>
      <w:outlineLvl w:val="0"/>
    </w:pPr>
    <w:rPr>
      <w:rFonts w:ascii="Arial" w:hAnsi="Arial" w:eastAsia="Arial" w:cs="Arial"/>
      <w:b/>
      <w:bCs/>
      <w:color w:val="2E75B6"/>
      <w:sz w:val="32"/>
      <w:szCs w:val="32"/>
    </w:rPr>
  </w:style>
  <w:style w:type="paragraph" w:styleId="Heading2">
    <w:name w:val="heading 2"/>
    <w:basedOn w:val="Heading"/>
    <w:qFormat/>
    <w:pPr>
      <w:spacing w:before="240" w:after="120"/>
      <w:outlineLvl w:val="1"/>
    </w:pPr>
    <w:rPr>
      <w:rFonts w:ascii="Arial" w:hAnsi="Arial" w:eastAsia="Arial" w:cs="Arial"/>
      <w:b/>
      <w:bCs/>
      <w:color w:val="2E4057"/>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LibreOffice/26.2.2.2$Linux_X86_64 LibreOffice_project/620$Build-2</Application>
  <AppVersion>15.0000</AppVersion>
  <Pages>11</Pages>
  <Words>2494</Words>
  <Characters>16635</Characters>
  <CharactersWithSpaces>18869</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2026-03-30T17:35:41Z</dcterms:created>
  <dc:creator>Un-named</dc:creator>
  <dc:description/>
  <dc:language>en-US</dc:language>
  <cp:lastModifiedBy/>
  <dcterms:modified xsi:type="dcterms:W3CDTF">2026-03-31T00:59:56Z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