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Compliance Business Plan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Lending LLC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Compliance Business Plan &amp; License Application Narrative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For: Texas OCCC Regulated Lender License (Chapter 342, Texas Finance Code)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1. Executive Summary</w:t>
      </w:r>
    </w:p>
    <w:p>
      <w:pPr>
        <w:spacing w:after="80"/>
      </w:pPr>
      <w:r>
        <w:rPr>
          <w:rFonts w:ascii="Calibri" w:hAnsi="Calibri"/>
          <w:b/>
        </w:rPr>
        <w:t>PalmFi Lending LLC</w:t>
      </w:r>
      <w:r>
        <w:rPr>
          <w:rFonts w:ascii="Calibri" w:hAnsi="Calibri"/>
        </w:rPr>
        <w:t xml:space="preserve"> (“PalmFi”) is a Delaware limited liability company applying for a Texas Regulated Lender License under Chapter 342 of the Texas Finance Code. PalmFi operates an AI-native consumer lending platform that makes fully automated personal loans of $500–$50,000 to Texas residents.</w:t>
      </w:r>
    </w:p>
    <w:p>
      <w:pPr>
        <w:spacing w:after="80"/>
      </w:pPr>
      <w:r>
        <w:rPr>
          <w:rFonts w:ascii="Calibri" w:hAnsi="Calibri"/>
          <w:b/>
        </w:rPr>
        <w:t>Core proposition:</w:t>
      </w:r>
      <w:r>
        <w:rPr>
          <w:rFonts w:ascii="Calibri" w:hAnsi="Calibri"/>
        </w:rPr>
        <w:t xml:space="preserve"> PalmFi uses a machine learning underwriting ensemble (AUC 0.756) to evaluate borrowers holistically — beyond FICO scores — enabling fair, data-driven credit decisions for mainstream and thin-file borrowers alike. The platform is fully automated: application → scoring → approval/decline → disbursement → collections requires zero human touch.</w:t>
      </w:r>
    </w:p>
    <w:p>
      <w:pPr>
        <w:spacing w:after="80"/>
      </w:pPr>
      <w:r>
        <w:rPr>
          <w:rFonts w:ascii="Calibri" w:hAnsi="Calibri"/>
          <w:b/>
        </w:rPr>
        <w:t>Headquarters:</w:t>
      </w:r>
      <w:r>
        <w:rPr>
          <w:rFonts w:ascii="Calibri" w:hAnsi="Calibri"/>
        </w:rPr>
        <w:t xml:space="preserve"> [Your Address]</w:t>
        <w:br/>
      </w:r>
      <w:r>
        <w:rPr>
          <w:rFonts w:ascii="Calibri" w:hAnsi="Calibri"/>
          <w:b/>
        </w:rPr>
        <w:t>Registered Agent:</w:t>
      </w:r>
      <w:r>
        <w:rPr>
          <w:rFonts w:ascii="Calibri" w:hAnsi="Calibri"/>
        </w:rPr>
        <w:t xml:space="preserve"> [Registered Agent Name, Address]</w:t>
        <w:br/>
      </w:r>
      <w:r>
        <w:rPr>
          <w:rFonts w:ascii="Calibri" w:hAnsi="Calibri"/>
          <w:b/>
        </w:rPr>
        <w:t>EIN:</w:t>
      </w:r>
      <w:r>
        <w:rPr>
          <w:rFonts w:ascii="Calibri" w:hAnsi="Calibri"/>
        </w:rPr>
        <w:t xml:space="preserve"> [XX-XXXXXXX]</w:t>
        <w:br/>
      </w:r>
      <w:r>
        <w:rPr>
          <w:rFonts w:ascii="Calibri" w:hAnsi="Calibri"/>
          <w:b/>
        </w:rPr>
        <w:t>Principal:</w:t>
      </w:r>
      <w:r>
        <w:rPr>
          <w:rFonts w:ascii="Calibri" w:hAnsi="Calibri"/>
        </w:rPr>
        <w:t xml:space="preserve"> [Your Name], [Your Title]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2. Company Overview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2.1 Business Model</w:t>
      </w:r>
    </w:p>
    <w:p>
      <w:pPr>
        <w:spacing w:after="80"/>
      </w:pPr>
      <w:r>
        <w:rPr>
          <w:rFonts w:ascii="Calibri" w:hAnsi="Calibri"/>
        </w:rPr>
        <w:t>PalmFi originates unsecured personal loans through a direct-to-consumer web platform at palm.ngrok.app (to be migrated to palmfi.com upon launch). Loans are funded from the Company’s own capital (seed stage) and ultimately from a mix of equity, debt facilities, and revenue reinvestment.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2.2 Loan Products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APR Range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1728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Structure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Standard Personal Loan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$500–$50,000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10%–29%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12–60 months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Fixed-rate, simple interest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Income-Share Hybrid*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$500–$15,000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Equivalent 8%–22%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6–60 months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% of income, capped</w:t>
            </w:r>
          </w:p>
        </w:tc>
      </w:tr>
    </w:tbl>
    <w:p>
      <w:pPr>
        <w:spacing w:after="80"/>
      </w:pPr>
      <w:r>
        <w:rPr>
          <w:rFonts w:ascii="Calibri" w:hAnsi="Calibri"/>
        </w:rPr>
        <w:t>*Income-share loans are an alternative payment option where the borrower pays a percentage of verified monthly income instead of a fixed payment, capped at 150% of the standard amortization.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2.3 Target Market</w:t>
      </w:r>
    </w:p>
    <w:p>
      <w:pPr>
        <w:pStyle w:val="ListBullet"/>
        <w:spacing w:after="40"/>
      </w:pPr>
      <w:r>
        <w:rPr>
          <w:rFonts w:ascii="Calibri" w:hAnsi="Calibri"/>
        </w:rPr>
        <w:t>Texas residents aged 18+ with valid SSN/ITIN</w:t>
      </w:r>
    </w:p>
    <w:p>
      <w:pPr>
        <w:pStyle w:val="ListBullet"/>
        <w:spacing w:after="40"/>
      </w:pPr>
      <w:r>
        <w:rPr>
          <w:rFonts w:ascii="Calibri" w:hAnsi="Calibri"/>
        </w:rPr>
        <w:t>Credit score range: 580–720 (including thin-file borrowers)</w:t>
      </w:r>
    </w:p>
    <w:p>
      <w:pPr>
        <w:pStyle w:val="ListBullet"/>
        <w:spacing w:after="40"/>
      </w:pPr>
      <w:r>
        <w:rPr>
          <w:rFonts w:ascii="Calibri" w:hAnsi="Calibri"/>
        </w:rPr>
        <w:t>Employment income: $1,500+/month minimum</w:t>
      </w:r>
    </w:p>
    <w:p>
      <w:pPr>
        <w:pStyle w:val="ListBullet"/>
        <w:spacing w:after="40"/>
      </w:pPr>
      <w:r>
        <w:rPr>
          <w:rFonts w:ascii="Calibri" w:hAnsi="Calibri"/>
        </w:rPr>
        <w:t>Primary use cases: Debt consolidation, home improvement, medical expenses, auto repair, education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3. Management Team</w:t>
      </w:r>
    </w:p>
    <w:p>
      <w:pPr>
        <w:spacing w:after="80"/>
      </w:pPr>
      <w:r>
        <w:rPr>
          <w:rFonts w:ascii="Calibri" w:hAnsi="Calibri"/>
          <w:b/>
        </w:rPr>
        <w:t>Principal:</w:t>
      </w:r>
      <w:r>
        <w:rPr>
          <w:rFonts w:ascii="Calibri" w:hAnsi="Calibri"/>
        </w:rPr>
        <w:t xml:space="preserve"> [Your Name], Founder &amp; CEO</w:t>
        <w:br/>
        <w:t>- Full-stack development, ML engineering, fintech platform architecture</w:t>
        <w:br/>
        <w:t>- Built the complete PalmFi platform: underwriting engine, web application, payment systems, compliance framework</w:t>
        <w:br/>
        <w:t>- [Additional relevant experience]</w:t>
      </w:r>
    </w:p>
    <w:p>
      <w:pPr>
        <w:spacing w:after="80"/>
      </w:pPr>
      <w:r>
        <w:rPr>
          <w:rFonts w:ascii="Calibri" w:hAnsi="Calibri"/>
          <w:i/>
        </w:rPr>
        <w:t>Additional key personnel will be added as the Company scales. During the initial license period, compliance functions will be supported by [attorney/counsel name] of [law firm].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4. Underwriting Methodology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4.1 Machine Learning Scoring</w:t>
      </w:r>
    </w:p>
    <w:p>
      <w:pPr>
        <w:spacing w:after="80"/>
      </w:pPr>
      <w:r>
        <w:rPr>
          <w:rFonts w:ascii="Calibri" w:hAnsi="Calibri"/>
        </w:rPr>
        <w:t>PalmFi uses a three-model ensemble:</w:t>
        <w:br/>
        <w:t xml:space="preserve">- </w:t>
      </w:r>
      <w:r>
        <w:rPr>
          <w:rFonts w:ascii="Calibri" w:hAnsi="Calibri"/>
          <w:b/>
        </w:rPr>
        <w:t>Decision Tree</w:t>
      </w:r>
      <w:r>
        <w:rPr>
          <w:rFonts w:ascii="Calibri" w:hAnsi="Calibri"/>
        </w:rPr>
        <w:t xml:space="preserve"> — interpretable baseline</w:t>
        <w:br/>
        <w:t xml:space="preserve">- </w:t>
      </w:r>
      <w:r>
        <w:rPr>
          <w:rFonts w:ascii="Calibri" w:hAnsi="Calibri"/>
          <w:b/>
        </w:rPr>
        <w:t>Logistic Regression</w:t>
      </w:r>
      <w:r>
        <w:rPr>
          <w:rFonts w:ascii="Calibri" w:hAnsi="Calibri"/>
        </w:rPr>
        <w:t xml:space="preserve"> — probability calibration</w:t>
        <w:br/>
        <w:t xml:space="preserve">- </w:t>
      </w:r>
      <w:r>
        <w:rPr>
          <w:rFonts w:ascii="Calibri" w:hAnsi="Calibri"/>
          <w:b/>
        </w:rPr>
        <w:t>Random Forest</w:t>
      </w:r>
      <w:r>
        <w:rPr>
          <w:rFonts w:ascii="Calibri" w:hAnsi="Calibri"/>
        </w:rPr>
        <w:t xml:space="preserve"> — high-dimensional feature interaction</w:t>
      </w:r>
    </w:p>
    <w:p>
      <w:pPr>
        <w:spacing w:after="80"/>
      </w:pPr>
      <w:r>
        <w:rPr>
          <w:rFonts w:ascii="Calibri" w:hAnsi="Calibri"/>
          <w:b/>
        </w:rPr>
        <w:t>Ensemble AUC: 0.756</w:t>
      </w:r>
      <w:r>
        <w:rPr>
          <w:rFonts w:ascii="Calibri" w:hAnsi="Calibri"/>
        </w:rPr>
        <w:t xml:space="preserve"> — strong risk discrimination.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4.2 Features Analyzed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 &amp; Employment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 income, employment length, income source, pay frequency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History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score range, number of credit lines, derogatory marks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Debt Capacity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DTI ratio, monthly housing payment, existing debt obligations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Behavior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card utilization rate, home ownership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Loan-Specific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 amount, loan purpose, term requested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4.3 Cash Flow Underwriting (For Thin-File Borrowers)</w:t>
      </w:r>
    </w:p>
    <w:p>
      <w:pPr>
        <w:spacing w:after="80"/>
      </w:pPr>
      <w:r>
        <w:rPr>
          <w:rFonts w:ascii="Calibri" w:hAnsi="Calibri"/>
        </w:rPr>
        <w:t>When bank account data is provided, PalmFi analyzes:</w:t>
        <w:br/>
        <w:t>- Average monthly deposits and income volatility</w:t>
        <w:br/>
        <w:t>- Overdraft/NSF frequency (last 90 days)</w:t>
        <w:br/>
        <w:t>- Expense categorization and recurring bills</w:t>
        <w:br/>
        <w:t>- Minimum daily balance trend</w:t>
      </w:r>
    </w:p>
    <w:p>
      <w:pPr>
        <w:spacing w:after="80"/>
      </w:pPr>
      <w:r>
        <w:rPr>
          <w:rFonts w:ascii="Calibri" w:hAnsi="Calibri"/>
        </w:rPr>
        <w:t>Cash flow analysis contributes up to 30% weight in the final risk score (50% for thin-file borrowers).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4.4 Fair Lending Compliance</w:t>
      </w:r>
    </w:p>
    <w:p>
      <w:pPr>
        <w:spacing w:after="80"/>
      </w:pPr>
      <w:r>
        <w:rPr>
          <w:rFonts w:ascii="Calibri" w:hAnsi="Calibri"/>
        </w:rPr>
        <w:t>All features are selected to be:</w:t>
        <w:br/>
        <w:t xml:space="preserve">- </w:t>
      </w:r>
      <w:r>
        <w:rPr>
          <w:rFonts w:ascii="Calibri" w:hAnsi="Calibri"/>
          <w:b/>
        </w:rPr>
        <w:t>Not proxies for prohibited basis</w:t>
      </w:r>
      <w:r>
        <w:rPr>
          <w:rFonts w:ascii="Calibri" w:hAnsi="Calibri"/>
        </w:rPr>
        <w:t xml:space="preserve"> (race, color, religion, national origin, sex, marital status, age, receipt of public assistance)</w:t>
        <w:br/>
        <w:t xml:space="preserve">- </w:t>
      </w:r>
      <w:r>
        <w:rPr>
          <w:rFonts w:ascii="Calibri" w:hAnsi="Calibri"/>
          <w:b/>
        </w:rPr>
        <w:t>Adverse action reasoning</w:t>
      </w:r>
      <w:r>
        <w:rPr>
          <w:rFonts w:ascii="Calibri" w:hAnsi="Calibri"/>
        </w:rPr>
        <w:t xml:space="preserve"> generated for every declined application, per ECOA/Reg B</w:t>
        <w:br/>
        <w:t xml:space="preserve">- </w:t>
      </w:r>
      <w:r>
        <w:rPr>
          <w:rFonts w:ascii="Calibri" w:hAnsi="Calibri"/>
          <w:b/>
        </w:rPr>
        <w:t>Model fairness tested</w:t>
      </w:r>
      <w:r>
        <w:rPr>
          <w:rFonts w:ascii="Calibri" w:hAnsi="Calibri"/>
        </w:rPr>
        <w:t xml:space="preserve"> on simulated demographic distributions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5. Compliance Program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5.1 TILA / Regulation Z</w:t>
      </w:r>
    </w:p>
    <w:p>
      <w:pPr>
        <w:pStyle w:val="ListBullet"/>
        <w:spacing w:after="40"/>
      </w:pPr>
      <w:r>
        <w:rPr>
          <w:rFonts w:ascii="Calibri" w:hAnsi="Calibri"/>
        </w:rPr>
        <w:t>All loan contracts include: finance charge, APR, amount financed, total of payments, payment schedule</w:t>
      </w:r>
    </w:p>
    <w:p>
      <w:pPr>
        <w:pStyle w:val="ListBullet"/>
        <w:spacing w:after="40"/>
      </w:pPr>
      <w:r>
        <w:rPr>
          <w:rFonts w:ascii="Calibri" w:hAnsi="Calibri"/>
        </w:rPr>
        <w:t>Right of rescission (if applicable)</w:t>
      </w:r>
    </w:p>
    <w:p>
      <w:pPr>
        <w:pStyle w:val="ListBullet"/>
        <w:spacing w:after="40"/>
      </w:pPr>
      <w:r>
        <w:rPr>
          <w:rFonts w:ascii="Calibri" w:hAnsi="Calibri"/>
        </w:rPr>
        <w:t>Periodic statements provided to borrowers with active loans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5.2 Truth in Lending &amp; Plain Language</w:t>
      </w:r>
    </w:p>
    <w:p>
      <w:pPr>
        <w:pStyle w:val="ListBullet"/>
        <w:spacing w:after="40"/>
      </w:pPr>
      <w:r>
        <w:rPr>
          <w:rFonts w:ascii="Calibri" w:hAnsi="Calibri"/>
        </w:rPr>
        <w:t>Contracts written in clear, plain English per TAC Chapter 90</w:t>
      </w:r>
    </w:p>
    <w:p>
      <w:pPr>
        <w:pStyle w:val="ListBullet"/>
        <w:spacing w:after="40"/>
      </w:pPr>
      <w:r>
        <w:rPr>
          <w:rFonts w:ascii="Calibri" w:hAnsi="Calibri"/>
        </w:rPr>
        <w:t>Prominent disclosure of rates, fees, and repayment terms</w:t>
      </w:r>
    </w:p>
    <w:p>
      <w:pPr>
        <w:pStyle w:val="ListBullet"/>
        <w:spacing w:after="40"/>
      </w:pPr>
      <w:r>
        <w:rPr>
          <w:rFonts w:ascii="Calibri" w:hAnsi="Calibri"/>
        </w:rPr>
        <w:t>No confusing legal jargon in borrower-facing documents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5.3 GLBA Privacy &amp; Data Security</w:t>
      </w:r>
    </w:p>
    <w:p>
      <w:pPr>
        <w:pStyle w:val="ListBullet"/>
        <w:spacing w:after="40"/>
      </w:pPr>
      <w:r>
        <w:rPr>
          <w:rFonts w:ascii="Calibri" w:hAnsi="Calibri"/>
        </w:rPr>
        <w:t>Written information security program maintained</w:t>
      </w:r>
    </w:p>
    <w:p>
      <w:pPr>
        <w:pStyle w:val="ListBullet"/>
        <w:spacing w:after="40"/>
      </w:pPr>
      <w:r>
        <w:rPr>
          <w:rFonts w:ascii="Calibri" w:hAnsi="Calibri"/>
        </w:rPr>
        <w:t>Borrower data encrypted at rest (AES-256) and in transit (TLS 1.3)</w:t>
      </w:r>
    </w:p>
    <w:p>
      <w:pPr>
        <w:pStyle w:val="ListBullet"/>
        <w:spacing w:after="40"/>
      </w:pPr>
      <w:r>
        <w:rPr>
          <w:rFonts w:ascii="Calibri" w:hAnsi="Calibri"/>
        </w:rPr>
        <w:t>Limited internal access on a need-to-know basis</w:t>
      </w:r>
    </w:p>
    <w:p>
      <w:pPr>
        <w:pStyle w:val="ListBullet"/>
        <w:spacing w:after="40"/>
      </w:pPr>
      <w:r>
        <w:rPr>
          <w:rFonts w:ascii="Calibri" w:hAnsi="Calibri"/>
        </w:rPr>
        <w:t>Annual privacy notice delivered to all borrowers</w:t>
      </w:r>
    </w:p>
    <w:p>
      <w:pPr>
        <w:pStyle w:val="ListBullet"/>
        <w:spacing w:after="40"/>
      </w:pPr>
      <w:r>
        <w:rPr>
          <w:rFonts w:ascii="Calibri" w:hAnsi="Calibri"/>
        </w:rPr>
        <w:t>Opt-out rights provided for information sharing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5.4 BSA/AML Program</w:t>
      </w:r>
    </w:p>
    <w:p>
      <w:pPr>
        <w:pStyle w:val="ListBullet"/>
        <w:spacing w:after="40"/>
      </w:pPr>
      <w:r>
        <w:rPr>
          <w:rFonts w:ascii="Calibri" w:hAnsi="Calibri"/>
        </w:rPr>
        <w:t>Due to the nature of direct-to-consumer lending, PalmFi is not a bank and does not accept deposits. However, PalmFi will maintain:</w:t>
      </w:r>
    </w:p>
    <w:p>
      <w:pPr>
        <w:pStyle w:val="ListBullet"/>
        <w:spacing w:after="40"/>
      </w:pPr>
      <w:r>
        <w:rPr>
          <w:rFonts w:ascii="Calibri" w:hAnsi="Calibri"/>
        </w:rPr>
        <w:t>Identity verification (KYC) for all borrowers</w:t>
      </w:r>
    </w:p>
    <w:p>
      <w:pPr>
        <w:pStyle w:val="ListBullet"/>
        <w:spacing w:after="40"/>
      </w:pPr>
      <w:r>
        <w:rPr>
          <w:rFonts w:ascii="Calibri" w:hAnsi="Calibri"/>
        </w:rPr>
        <w:t>Suspicious activity monitoring on payment patterns</w:t>
      </w:r>
    </w:p>
    <w:p>
      <w:pPr>
        <w:pStyle w:val="ListBullet"/>
        <w:spacing w:after="40"/>
      </w:pPr>
      <w:r>
        <w:rPr>
          <w:rFonts w:ascii="Calibri" w:hAnsi="Calibri"/>
        </w:rPr>
        <w:t>OFAC screening at origination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5.5 Fair Lending / ECOA</w:t>
      </w:r>
    </w:p>
    <w:p>
      <w:pPr>
        <w:pStyle w:val="ListBullet"/>
        <w:spacing w:after="40"/>
      </w:pPr>
      <w:r>
        <w:rPr>
          <w:rFonts w:ascii="Calibri" w:hAnsi="Calibri"/>
        </w:rPr>
        <w:t>All credit decisions made by algorithmic model — no human bias</w:t>
      </w:r>
    </w:p>
    <w:p>
      <w:pPr>
        <w:pStyle w:val="ListBullet"/>
        <w:spacing w:after="40"/>
      </w:pPr>
      <w:r>
        <w:rPr>
          <w:rFonts w:ascii="Calibri" w:hAnsi="Calibri"/>
        </w:rPr>
        <w:t>Model outcomes monitored for adverse impact</w:t>
      </w:r>
    </w:p>
    <w:p>
      <w:pPr>
        <w:pStyle w:val="ListBullet"/>
        <w:spacing w:after="40"/>
      </w:pPr>
      <w:r>
        <w:rPr>
          <w:rFonts w:ascii="Calibri" w:hAnsi="Calibri"/>
        </w:rPr>
        <w:t>Credit denial notifications include specific reasons and ECOA notice</w:t>
      </w:r>
    </w:p>
    <w:p>
      <w:pPr>
        <w:pStyle w:val="ListBullet"/>
        <w:spacing w:after="40"/>
      </w:pPr>
      <w:r>
        <w:rPr>
          <w:rFonts w:ascii="Calibri" w:hAnsi="Calibri"/>
        </w:rPr>
        <w:t>Spousal signature never required</w:t>
      </w:r>
    </w:p>
    <w:p>
      <w:pPr>
        <w:pStyle w:val="ListBullet"/>
        <w:spacing w:after="40"/>
      </w:pPr>
      <w:r>
        <w:rPr>
          <w:rFonts w:ascii="Calibri" w:hAnsi="Calibri"/>
        </w:rPr>
        <w:t>Public assistance income treated same as employment income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5.6 UDAAP Compliance</w:t>
      </w:r>
    </w:p>
    <w:p>
      <w:pPr>
        <w:pStyle w:val="ListBullet"/>
        <w:spacing w:after="40"/>
      </w:pPr>
      <w:r>
        <w:rPr>
          <w:rFonts w:ascii="Calibri" w:hAnsi="Calibri"/>
        </w:rPr>
        <w:t>All marketing materials accurately represent loan terms</w:t>
      </w:r>
    </w:p>
    <w:p>
      <w:pPr>
        <w:pStyle w:val="ListBullet"/>
        <w:spacing w:after="40"/>
      </w:pPr>
      <w:r>
        <w:rPr>
          <w:rFonts w:ascii="Calibri" w:hAnsi="Calibri"/>
        </w:rPr>
        <w:t>No misleading APR comparisons or fee disclosures</w:t>
      </w:r>
    </w:p>
    <w:p>
      <w:pPr>
        <w:pStyle w:val="ListBullet"/>
        <w:spacing w:after="40"/>
      </w:pPr>
      <w:r>
        <w:rPr>
          <w:rFonts w:ascii="Calibri" w:hAnsi="Calibri"/>
        </w:rPr>
        <w:t>Clear, simple fee schedules</w:t>
      </w:r>
    </w:p>
    <w:p>
      <w:pPr>
        <w:pStyle w:val="ListBullet"/>
        <w:spacing w:after="40"/>
      </w:pPr>
      <w:r>
        <w:rPr>
          <w:rFonts w:ascii="Calibri" w:hAnsi="Calibri"/>
        </w:rPr>
        <w:t>Prepayment penalty: None (as required by TFC §342.252)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6. Collections Policy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6.1 Graduated Collections Workflow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Days Past Due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Stage 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0-10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Reminder email/SMS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Stage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11-30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Soft phone call, payment portal link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Stage 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31-60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Escalated phone call, email, late fee assessed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Stage 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61-90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Supervisor call, payment plan offered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Stage 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91-120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Final notice, referral to collections partner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Stage 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120+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Charge-off, credit reporting, potential legal action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6.2 Collection Practices Compliance</w:t>
      </w:r>
    </w:p>
    <w:p>
      <w:pPr>
        <w:pStyle w:val="ListBullet"/>
        <w:spacing w:after="40"/>
      </w:pPr>
      <w:r>
        <w:rPr>
          <w:rFonts w:ascii="Calibri" w:hAnsi="Calibri"/>
        </w:rPr>
        <w:t>No calls before 8am or after 9pm (borrower’s local time)</w:t>
      </w:r>
    </w:p>
    <w:p>
      <w:pPr>
        <w:pStyle w:val="ListBullet"/>
        <w:spacing w:after="40"/>
      </w:pPr>
      <w:r>
        <w:rPr>
          <w:rFonts w:ascii="Calibri" w:hAnsi="Calibri"/>
        </w:rPr>
        <w:t>No third-party disclosure of debt</w:t>
      </w:r>
    </w:p>
    <w:p>
      <w:pPr>
        <w:pStyle w:val="ListBullet"/>
        <w:spacing w:after="40"/>
      </w:pPr>
      <w:r>
        <w:rPr>
          <w:rFonts w:ascii="Calibri" w:hAnsi="Calibri"/>
        </w:rPr>
        <w:t>No harassment or false representations</w:t>
      </w:r>
    </w:p>
    <w:p>
      <w:pPr>
        <w:pStyle w:val="ListBullet"/>
        <w:spacing w:after="40"/>
      </w:pPr>
      <w:r>
        <w:rPr>
          <w:rFonts w:ascii="Calibri" w:hAnsi="Calibri"/>
        </w:rPr>
        <w:t>Debt validation notice provided within 5 days of first contact</w:t>
      </w:r>
    </w:p>
    <w:p>
      <w:pPr>
        <w:pStyle w:val="ListBullet"/>
        <w:spacing w:after="40"/>
      </w:pPr>
      <w:r>
        <w:rPr>
          <w:rFonts w:ascii="Calibri" w:hAnsi="Calibri"/>
        </w:rPr>
        <w:t>All communications comply with Texas Debt Collection Act (TFC Ch. 392) and FDCPA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6.3 Hardship Accommodations</w:t>
      </w:r>
    </w:p>
    <w:p>
      <w:pPr>
        <w:spacing w:after="80"/>
      </w:pPr>
      <w:r>
        <w:rPr>
          <w:rFonts w:ascii="Calibri" w:hAnsi="Calibri"/>
        </w:rPr>
        <w:t>Borrowers experiencing temporary financial difficulty may request:</w:t>
        <w:br/>
        <w:t>- Payment deferral (up to 2 months)</w:t>
        <w:br/>
        <w:t>- Modified payment plan</w:t>
        <w:br/>
        <w:t>- Interest rate freeze during forbearance period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7. Consumer Protection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7.1 Complaint Management</w:t>
      </w:r>
    </w:p>
    <w:p>
      <w:pPr>
        <w:pStyle w:val="ListBullet"/>
        <w:spacing w:after="40"/>
      </w:pPr>
      <w:r>
        <w:rPr>
          <w:rFonts w:ascii="Calibri" w:hAnsi="Calibri"/>
          <w:b/>
        </w:rPr>
        <w:t>Dedicated email:</w:t>
      </w:r>
      <w:r>
        <w:rPr>
          <w:rFonts w:ascii="Calibri" w:hAnsi="Calibri"/>
        </w:rPr>
        <w:t xml:space="preserve"> complaints@palmfi.com</w:t>
      </w:r>
    </w:p>
    <w:p>
      <w:pPr>
        <w:pStyle w:val="ListBullet"/>
        <w:spacing w:after="40"/>
      </w:pPr>
      <w:r>
        <w:rPr>
          <w:rFonts w:ascii="Calibri" w:hAnsi="Calibri"/>
          <w:b/>
        </w:rPr>
        <w:t>Response standard:</w:t>
      </w:r>
      <w:r>
        <w:rPr>
          <w:rFonts w:ascii="Calibri" w:hAnsi="Calibri"/>
        </w:rPr>
        <w:t xml:space="preserve"> Initial acknowledgment within 2 business days; resolution within 15 business days</w:t>
      </w:r>
    </w:p>
    <w:p>
      <w:pPr>
        <w:pStyle w:val="ListBullet"/>
        <w:spacing w:after="40"/>
      </w:pPr>
      <w:r>
        <w:rPr>
          <w:rFonts w:ascii="Calibri" w:hAnsi="Calibri"/>
          <w:b/>
        </w:rPr>
        <w:t>Recordkeeping:</w:t>
      </w:r>
      <w:r>
        <w:rPr>
          <w:rFonts w:ascii="Calibri" w:hAnsi="Calibri"/>
        </w:rPr>
        <w:t xml:space="preserve"> All complaints logged in CRM with resolution status</w:t>
      </w:r>
    </w:p>
    <w:p>
      <w:pPr>
        <w:pStyle w:val="ListBullet"/>
        <w:spacing w:after="40"/>
      </w:pPr>
      <w:r>
        <w:rPr>
          <w:rFonts w:ascii="Calibri" w:hAnsi="Calibri"/>
          <w:b/>
        </w:rPr>
        <w:t>Annual reporting:</w:t>
      </w:r>
      <w:r>
        <w:rPr>
          <w:rFonts w:ascii="Calibri" w:hAnsi="Calibri"/>
        </w:rPr>
        <w:t xml:space="preserve"> Complaint summary provided to OCCC upon request</w:t>
      </w:r>
    </w:p>
    <w:p>
      <w:pPr>
        <w:pStyle w:val="ListBullet"/>
        <w:spacing w:after="40"/>
      </w:pPr>
      <w:r>
        <w:rPr>
          <w:rFonts w:ascii="Calibri" w:hAnsi="Calibri"/>
          <w:b/>
        </w:rPr>
        <w:t>Escalation:</w:t>
      </w:r>
      <w:r>
        <w:rPr>
          <w:rFonts w:ascii="Calibri" w:hAnsi="Calibri"/>
        </w:rPr>
        <w:t xml:space="preserve"> Borrowers directed to Texas OCCC after internal resolution attempt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7.2 Dispute Resolution</w:t>
      </w:r>
    </w:p>
    <w:p>
      <w:pPr>
        <w:spacing w:after="80"/>
      </w:pPr>
      <w:r>
        <w:rPr>
          <w:rFonts w:ascii="Calibri" w:hAnsi="Calibri"/>
        </w:rPr>
        <w:t>Borrowers may dispute any charge or payment by sending written notice to PalmFi. PalmFi will investigate and respond within 30 days. If the dispute involves a billing error, provisions of TILA Section 161 apply.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7.3 Credit Reporting</w:t>
      </w:r>
    </w:p>
    <w:p>
      <w:pPr>
        <w:spacing w:after="80"/>
      </w:pPr>
      <w:r>
        <w:rPr>
          <w:rFonts w:ascii="Calibri" w:hAnsi="Calibri"/>
        </w:rPr>
        <w:t>PalmFi will report to at least one major credit bureau (to be determined based on cost and integration feasibility). Reporting includes:</w:t>
        <w:br/>
        <w:t>- Monthly payment history (on-time, late, charge-off)</w:t>
        <w:br/>
        <w:t>- Loan opening date and current balance</w:t>
        <w:br/>
        <w:t>- Loan closure (paid in full or charged off)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8. Recordkeeping</w:t>
      </w:r>
    </w:p>
    <w:p>
      <w:pPr>
        <w:spacing w:after="80"/>
      </w:pPr>
      <w:r>
        <w:rPr>
          <w:rFonts w:ascii="Calibri" w:hAnsi="Calibri"/>
        </w:rPr>
        <w:t>PalmFi maintains all loan records for the following periods: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Record Type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Retention Period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 application &amp; decisions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 years after final payment/charge-off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Payment history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 years after final payment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Collections records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 years after account closure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Complaint records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 years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 training records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 years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Audit logs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 years</w:t>
            </w:r>
          </w:p>
        </w:tc>
      </w:tr>
    </w:tbl>
    <w:p>
      <w:pPr>
        <w:spacing w:after="80"/>
      </w:pPr>
      <w:r>
        <w:rPr>
          <w:rFonts w:ascii="Calibri" w:hAnsi="Calibri"/>
        </w:rPr>
        <w:t>Records stored in encrypted database with daily automated backups. Physical backup retained off-site.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9. Business Continuity</w:t>
      </w:r>
    </w:p>
    <w:p>
      <w:pPr>
        <w:pStyle w:val="ListBullet"/>
        <w:spacing w:after="40"/>
      </w:pPr>
      <w:r>
        <w:rPr>
          <w:rFonts w:ascii="Calibri" w:hAnsi="Calibri"/>
          <w:b/>
        </w:rPr>
        <w:t>Hosting:</w:t>
      </w:r>
      <w:r>
        <w:rPr>
          <w:rFonts w:ascii="Calibri" w:hAnsi="Calibri"/>
        </w:rPr>
        <w:t xml:space="preserve"> Cloud-based infrastructure with automatic failover</w:t>
      </w:r>
    </w:p>
    <w:p>
      <w:pPr>
        <w:pStyle w:val="ListBullet"/>
        <w:spacing w:after="40"/>
      </w:pPr>
      <w:r>
        <w:rPr>
          <w:rFonts w:ascii="Calibri" w:hAnsi="Calibri"/>
          <w:b/>
        </w:rPr>
        <w:t>Data backup:</w:t>
      </w:r>
      <w:r>
        <w:rPr>
          <w:rFonts w:ascii="Calibri" w:hAnsi="Calibri"/>
        </w:rPr>
        <w:t xml:space="preserve"> Daily encrypted off-site backups, tested quarterly</w:t>
      </w:r>
    </w:p>
    <w:p>
      <w:pPr>
        <w:pStyle w:val="ListBullet"/>
        <w:spacing w:after="40"/>
      </w:pPr>
      <w:r>
        <w:rPr>
          <w:rFonts w:ascii="Calibri" w:hAnsi="Calibri"/>
          <w:b/>
        </w:rPr>
        <w:t>Uptime target:</w:t>
      </w:r>
      <w:r>
        <w:rPr>
          <w:rFonts w:ascii="Calibri" w:hAnsi="Calibri"/>
        </w:rPr>
        <w:t xml:space="preserve"> 99.5% for borrower-facing portal</w:t>
      </w:r>
    </w:p>
    <w:p>
      <w:pPr>
        <w:pStyle w:val="ListBullet"/>
        <w:spacing w:after="40"/>
      </w:pPr>
      <w:r>
        <w:rPr>
          <w:rFonts w:ascii="Calibri" w:hAnsi="Calibri"/>
          <w:b/>
        </w:rPr>
        <w:t>Incident response:</w:t>
      </w:r>
      <w:r>
        <w:rPr>
          <w:rFonts w:ascii="Calibri" w:hAnsi="Calibri"/>
        </w:rPr>
        <w:t xml:space="preserve"> Security incident response plan with 24-hour notification to affected parties and regulators</w:t>
      </w:r>
    </w:p>
    <w:p>
      <w:pPr>
        <w:pStyle w:val="ListBullet"/>
        <w:spacing w:after="40"/>
      </w:pPr>
      <w:r>
        <w:rPr>
          <w:rFonts w:ascii="Calibri" w:hAnsi="Calibri"/>
          <w:b/>
        </w:rPr>
        <w:t>Key person risk:</w:t>
      </w:r>
      <w:r>
        <w:rPr>
          <w:rFonts w:ascii="Calibri" w:hAnsi="Calibri"/>
        </w:rPr>
        <w:t xml:space="preserve"> Platform designed to operate with minimal human intervention; underwriting and collections run autonomously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10. Financial Projections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Year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Loans originated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50–100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500–1,000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Average loan size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$3,500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Total originations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$175,000–$350,000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$2.5M–$5M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Gross revenue (APR)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$35,000–$80,000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$450,000–$1M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Net charge-off rate (projected)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5–8%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5–8%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Operating expenses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$50,000–$80,000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$100,000–$200,000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Capital requirement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$200,000–$350,000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$2M–$4M (debt facility)</w:t>
            </w:r>
          </w:p>
        </w:tc>
      </w:tr>
    </w:tbl>
    <w:p>
      <w:pPr>
        <w:spacing w:after="80"/>
      </w:pPr>
      <w:r>
        <w:rPr>
          <w:rFonts w:ascii="Calibri" w:hAnsi="Calibri"/>
        </w:rPr>
        <w:t>Detailed financial statements available upon request.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11. Attachments</w:t>
      </w:r>
    </w:p>
    <w:p>
      <w:pPr>
        <w:pStyle w:val="ListBullet"/>
        <w:spacing w:after="40"/>
      </w:pPr>
      <w:r>
        <w:rPr>
          <w:rFonts w:ascii="Calibri" w:hAnsi="Calibri"/>
        </w:rPr>
        <w:t>[X] Certificate of Formation (Delaware)</w:t>
      </w:r>
    </w:p>
    <w:p>
      <w:pPr>
        <w:pStyle w:val="ListBullet"/>
        <w:spacing w:after="40"/>
      </w:pPr>
      <w:r>
        <w:rPr>
          <w:rFonts w:ascii="Calibri" w:hAnsi="Calibri"/>
        </w:rPr>
        <w:t xml:space="preserve">[X] Certificate of Foreign Qualification (Texas) — </w:t>
      </w:r>
      <w:r>
        <w:rPr>
          <w:rFonts w:ascii="Calibri" w:hAnsi="Calibri"/>
          <w:i/>
        </w:rPr>
        <w:t>to be filed</w:t>
      </w:r>
    </w:p>
    <w:p>
      <w:pPr>
        <w:pStyle w:val="ListBullet"/>
        <w:spacing w:after="40"/>
      </w:pPr>
      <w:r>
        <w:rPr>
          <w:rFonts w:ascii="Calibri" w:hAnsi="Calibri"/>
        </w:rPr>
        <w:t>[X] EIN Confirmation Letter</w:t>
      </w:r>
    </w:p>
    <w:p>
      <w:pPr>
        <w:pStyle w:val="ListBullet"/>
        <w:spacing w:after="40"/>
      </w:pPr>
      <w:r>
        <w:rPr>
          <w:rFonts w:ascii="Calibri" w:hAnsi="Calibri"/>
        </w:rPr>
        <w:t>[X] Principal Background Disclosure Form</w:t>
      </w:r>
    </w:p>
    <w:p>
      <w:pPr>
        <w:pStyle w:val="ListBullet"/>
        <w:spacing w:after="40"/>
      </w:pPr>
      <w:r>
        <w:rPr>
          <w:rFonts w:ascii="Calibri" w:hAnsi="Calibri"/>
        </w:rPr>
        <w:t>[X] Proposed Loan Contract</w:t>
      </w:r>
    </w:p>
    <w:p>
      <w:pPr>
        <w:pStyle w:val="ListBullet"/>
        <w:spacing w:after="40"/>
      </w:pPr>
      <w:r>
        <w:rPr>
          <w:rFonts w:ascii="Calibri" w:hAnsi="Calibri"/>
        </w:rPr>
        <w:t>[X] Financial Statements (Balance Sheet, P&amp;L)</w:t>
      </w:r>
    </w:p>
    <w:p>
      <w:pPr>
        <w:pStyle w:val="ListBullet"/>
        <w:spacing w:after="40"/>
      </w:pPr>
      <w:r>
        <w:rPr>
          <w:rFonts w:ascii="Calibri" w:hAnsi="Calibri"/>
        </w:rPr>
        <w:t>[X] Surety Bond (to be obtained)</w:t>
      </w:r>
    </w:p>
    <w:p>
      <w:pPr>
        <w:pStyle w:val="ListBullet"/>
        <w:spacing w:after="40"/>
      </w:pPr>
      <w:r>
        <w:rPr>
          <w:rFonts w:ascii="Calibri" w:hAnsi="Calibri"/>
        </w:rPr>
        <w:t>[X] Privacy Policy</w:t>
      </w:r>
    </w:p>
    <w:p>
      <w:pPr>
        <w:pStyle w:val="ListBullet"/>
        <w:spacing w:after="40"/>
      </w:pPr>
      <w:r>
        <w:rPr>
          <w:rFonts w:ascii="Calibri" w:hAnsi="Calibri"/>
        </w:rPr>
        <w:t>[X] Terms of Service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</w:rPr>
        <w:t>Document Date:</w:t>
      </w:r>
      <w:r>
        <w:rPr>
          <w:rFonts w:ascii="Calibri" w:hAnsi="Calibri"/>
        </w:rPr>
        <w:t xml:space="preserve"> [Date]</w:t>
        <w:br/>
      </w:r>
      <w:r>
        <w:rPr>
          <w:rFonts w:ascii="Calibri" w:hAnsi="Calibri"/>
          <w:b/>
        </w:rPr>
        <w:t>Prepared By:</w:t>
      </w:r>
      <w:r>
        <w:rPr>
          <w:rFonts w:ascii="Calibri" w:hAnsi="Calibri"/>
        </w:rPr>
        <w:t xml:space="preserve"> [Your Name]</w:t>
        <w:br/>
      </w:r>
      <w:r>
        <w:rPr>
          <w:rFonts w:ascii="Calibri" w:hAnsi="Calibri"/>
          <w:b/>
        </w:rPr>
        <w:t>For:</w:t>
      </w:r>
      <w:r>
        <w:rPr>
          <w:rFonts w:ascii="Calibri" w:hAnsi="Calibri"/>
        </w:rPr>
        <w:t xml:space="preserve"> Texas Office of Consumer Credit Commissioner</w:t>
        <w:br/>
      </w:r>
      <w:r>
        <w:rPr>
          <w:rFonts w:ascii="Calibri" w:hAnsi="Calibri"/>
          <w:b/>
        </w:rPr>
        <w:t>License Type:</w:t>
      </w:r>
      <w:r>
        <w:rPr>
          <w:rFonts w:ascii="Calibri" w:hAnsi="Calibri"/>
        </w:rPr>
        <w:t xml:space="preserve"> Regulated Lender (Chapter 342)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