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Compliance Manual Outline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Compliance Manual (Outline)</w:t>
      </w:r>
    </w:p>
    <w:p>
      <w:pPr>
        <w:spacing w:after="80"/>
      </w:pPr>
      <w:r>
        <w:rPr>
          <w:rFonts w:ascii="Calibri" w:hAnsi="Calibri"/>
          <w:i/>
        </w:rPr>
        <w:t>To be maintained as a living document updated at least annually, and whenever regulatory requirements change.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Regulatory Framework</w:t>
      </w:r>
    </w:p>
    <w:p>
      <w:pPr>
        <w:pStyle w:val="ListBullet"/>
        <w:spacing w:after="40"/>
      </w:pPr>
      <w:r>
        <w:rPr>
          <w:rFonts w:ascii="Calibri" w:hAnsi="Calibri"/>
        </w:rPr>
        <w:t>1.1 Texas Finance Code Chapter 342 (Consumer Loans)</w:t>
      </w:r>
    </w:p>
    <w:p>
      <w:pPr>
        <w:pStyle w:val="ListBullet"/>
        <w:spacing w:after="40"/>
      </w:pPr>
      <w:r>
        <w:rPr>
          <w:rFonts w:ascii="Calibri" w:hAnsi="Calibri"/>
        </w:rPr>
        <w:t>1.2 Texas Administrative Code Title 7, Chapters 83 &amp; 90</w:t>
      </w:r>
    </w:p>
    <w:p>
      <w:pPr>
        <w:pStyle w:val="ListBullet"/>
        <w:spacing w:after="40"/>
      </w:pPr>
      <w:r>
        <w:rPr>
          <w:rFonts w:ascii="Calibri" w:hAnsi="Calibri"/>
        </w:rPr>
        <w:t>1.3 Federal Truth in Lending Act / Regulation Z</w:t>
      </w:r>
    </w:p>
    <w:p>
      <w:pPr>
        <w:pStyle w:val="ListBullet"/>
        <w:spacing w:after="40"/>
      </w:pPr>
      <w:r>
        <w:rPr>
          <w:rFonts w:ascii="Calibri" w:hAnsi="Calibri"/>
        </w:rPr>
        <w:t>1.4 Equal Credit Opportunity Act / Regulation B</w:t>
      </w:r>
    </w:p>
    <w:p>
      <w:pPr>
        <w:pStyle w:val="ListBullet"/>
        <w:spacing w:after="40"/>
      </w:pPr>
      <w:r>
        <w:rPr>
          <w:rFonts w:ascii="Calibri" w:hAnsi="Calibri"/>
        </w:rPr>
        <w:t>1.5 Fair Credit Reporting Act</w:t>
      </w:r>
    </w:p>
    <w:p>
      <w:pPr>
        <w:pStyle w:val="ListBullet"/>
        <w:spacing w:after="40"/>
      </w:pPr>
      <w:r>
        <w:rPr>
          <w:rFonts w:ascii="Calibri" w:hAnsi="Calibri"/>
        </w:rPr>
        <w:t>1.6 Gramm-Leach-Bliley Act / Regulation P (Privacy)</w:t>
      </w:r>
    </w:p>
    <w:p>
      <w:pPr>
        <w:pStyle w:val="ListBullet"/>
        <w:spacing w:after="40"/>
      </w:pPr>
      <w:r>
        <w:rPr>
          <w:rFonts w:ascii="Calibri" w:hAnsi="Calibri"/>
        </w:rPr>
        <w:t>1.7 Fair Debt Collection Practices Act</w:t>
      </w:r>
    </w:p>
    <w:p>
      <w:pPr>
        <w:pStyle w:val="ListBullet"/>
        <w:spacing w:after="40"/>
      </w:pPr>
      <w:r>
        <w:rPr>
          <w:rFonts w:ascii="Calibri" w:hAnsi="Calibri"/>
        </w:rPr>
        <w:t>1.8 Texas Debt Collection Act (TFC Chapter 392)</w:t>
      </w:r>
    </w:p>
    <w:p>
      <w:pPr>
        <w:pStyle w:val="ListBullet"/>
        <w:spacing w:after="40"/>
      </w:pPr>
      <w:r>
        <w:rPr>
          <w:rFonts w:ascii="Calibri" w:hAnsi="Calibri"/>
        </w:rPr>
        <w:t>1.9 UDAAP Standards</w:t>
      </w:r>
    </w:p>
    <w:p>
      <w:pPr>
        <w:pStyle w:val="ListBullet"/>
        <w:spacing w:after="40"/>
      </w:pPr>
      <w:r>
        <w:rPr>
          <w:rFonts w:ascii="Calibri" w:hAnsi="Calibri"/>
        </w:rPr>
        <w:t>1.10 Anti-Money Laundering / OFAC</w:t>
      </w:r>
    </w:p>
    <w:p>
      <w:pPr>
        <w:pStyle w:val="ListBullet"/>
        <w:spacing w:after="40"/>
      </w:pPr>
      <w:r>
        <w:rPr>
          <w:rFonts w:ascii="Calibri" w:hAnsi="Calibri"/>
        </w:rPr>
        <w:t>1.11 Electronic Signatures in Global and National Commerce Act (ESIGN)</w:t>
      </w:r>
    </w:p>
    <w:p>
      <w:pPr>
        <w:pStyle w:val="ListBullet"/>
        <w:spacing w:after="40"/>
      </w:pPr>
      <w:r>
        <w:rPr>
          <w:rFonts w:ascii="Calibri" w:hAnsi="Calibri"/>
        </w:rPr>
        <w:t>1.12 Uniform Electronic Transactions Act (Texas UETA)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2. Lending Operations</w:t>
      </w:r>
    </w:p>
    <w:p>
      <w:pPr>
        <w:pStyle w:val="ListBullet"/>
        <w:spacing w:after="40"/>
      </w:pPr>
      <w:r>
        <w:rPr>
          <w:rFonts w:ascii="Calibri" w:hAnsi="Calibri"/>
        </w:rPr>
        <w:t>2.1 Loan Application Processing</w:t>
      </w:r>
    </w:p>
    <w:p>
      <w:pPr>
        <w:pStyle w:val="ListBullet"/>
        <w:spacing w:after="40"/>
      </w:pPr>
      <w:r>
        <w:rPr>
          <w:rFonts w:ascii="Calibri" w:hAnsi="Calibri"/>
        </w:rPr>
        <w:t>2.2 Underwriting &amp; Credit Scoring</w:t>
      </w:r>
    </w:p>
    <w:p>
      <w:pPr>
        <w:pStyle w:val="ListBullet"/>
        <w:spacing w:after="40"/>
      </w:pPr>
      <w:r>
        <w:rPr>
          <w:rFonts w:ascii="Calibri" w:hAnsi="Calibri"/>
        </w:rPr>
        <w:t>2.3 Documenting Adverse Action Decisions</w:t>
      </w:r>
    </w:p>
    <w:p>
      <w:pPr>
        <w:pStyle w:val="ListBullet"/>
        <w:spacing w:after="40"/>
      </w:pPr>
      <w:r>
        <w:rPr>
          <w:rFonts w:ascii="Calibri" w:hAnsi="Calibri"/>
        </w:rPr>
        <w:t>2.4 Loan Approval, Closing &amp; Disbursement</w:t>
      </w:r>
    </w:p>
    <w:p>
      <w:pPr>
        <w:pStyle w:val="ListBullet"/>
        <w:spacing w:after="40"/>
      </w:pPr>
      <w:r>
        <w:rPr>
          <w:rFonts w:ascii="Calibri" w:hAnsi="Calibri"/>
        </w:rPr>
        <w:t>2.5 Payment Processing &amp; Application of Payments</w:t>
      </w:r>
    </w:p>
    <w:p>
      <w:pPr>
        <w:pStyle w:val="ListBullet"/>
        <w:spacing w:after="40"/>
      </w:pPr>
      <w:r>
        <w:rPr>
          <w:rFonts w:ascii="Calibri" w:hAnsi="Calibri"/>
        </w:rPr>
        <w:t>2.6 Late Fees &amp; Other Permissible Charges</w:t>
      </w:r>
    </w:p>
    <w:p>
      <w:pPr>
        <w:pStyle w:val="ListBullet"/>
        <w:spacing w:after="40"/>
      </w:pPr>
      <w:r>
        <w:rPr>
          <w:rFonts w:ascii="Calibri" w:hAnsi="Calibri"/>
        </w:rPr>
        <w:t>2.7 Prepayment Handling</w:t>
      </w:r>
    </w:p>
    <w:p>
      <w:pPr>
        <w:pStyle w:val="ListBullet"/>
        <w:spacing w:after="40"/>
      </w:pPr>
      <w:r>
        <w:rPr>
          <w:rFonts w:ascii="Calibri" w:hAnsi="Calibri"/>
        </w:rPr>
        <w:t>2.8 Loan Modifications &amp; Hardship Accommodations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Disclosures &amp; Notices</w:t>
      </w:r>
    </w:p>
    <w:p>
      <w:pPr>
        <w:pStyle w:val="ListBullet"/>
        <w:spacing w:after="40"/>
      </w:pPr>
      <w:r>
        <w:rPr>
          <w:rFonts w:ascii="Calibri" w:hAnsi="Calibri"/>
        </w:rPr>
        <w:t>3.1 TILA Disclosures (timing, format, content)</w:t>
      </w:r>
    </w:p>
    <w:p>
      <w:pPr>
        <w:pStyle w:val="ListBullet"/>
        <w:spacing w:after="40"/>
      </w:pPr>
      <w:r>
        <w:rPr>
          <w:rFonts w:ascii="Calibri" w:hAnsi="Calibri"/>
        </w:rPr>
        <w:t>3.2 Annual Privacy Notice</w:t>
      </w:r>
    </w:p>
    <w:p>
      <w:pPr>
        <w:pStyle w:val="ListBullet"/>
        <w:spacing w:after="40"/>
      </w:pPr>
      <w:r>
        <w:rPr>
          <w:rFonts w:ascii="Calibri" w:hAnsi="Calibri"/>
        </w:rPr>
        <w:t>3.3 Periodic Billing Statements</w:t>
      </w:r>
    </w:p>
    <w:p>
      <w:pPr>
        <w:pStyle w:val="ListBullet"/>
        <w:spacing w:after="40"/>
      </w:pPr>
      <w:r>
        <w:rPr>
          <w:rFonts w:ascii="Calibri" w:hAnsi="Calibri"/>
        </w:rPr>
        <w:t>3.4 Notices of Assignment</w:t>
      </w:r>
    </w:p>
    <w:p>
      <w:pPr>
        <w:pStyle w:val="ListBullet"/>
        <w:spacing w:after="40"/>
      </w:pPr>
      <w:r>
        <w:rPr>
          <w:rFonts w:ascii="Calibri" w:hAnsi="Calibri"/>
        </w:rPr>
        <w:t>3.5 Change-in-Terms Notices</w:t>
      </w:r>
    </w:p>
    <w:p>
      <w:pPr>
        <w:pStyle w:val="ListBullet"/>
        <w:spacing w:after="40"/>
      </w:pPr>
      <w:r>
        <w:rPr>
          <w:rFonts w:ascii="Calibri" w:hAnsi="Calibri"/>
        </w:rPr>
        <w:t>3.6 Electronic Disclosure Consent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Collections</w:t>
      </w:r>
    </w:p>
    <w:p>
      <w:pPr>
        <w:pStyle w:val="ListBullet"/>
        <w:spacing w:after="40"/>
      </w:pPr>
      <w:r>
        <w:rPr>
          <w:rFonts w:ascii="Calibri" w:hAnsi="Calibri"/>
        </w:rPr>
        <w:t>4.1 Collections Workflow (per stage)</w:t>
      </w:r>
    </w:p>
    <w:p>
      <w:pPr>
        <w:pStyle w:val="ListBullet"/>
        <w:spacing w:after="40"/>
      </w:pPr>
      <w:r>
        <w:rPr>
          <w:rFonts w:ascii="Calibri" w:hAnsi="Calibri"/>
        </w:rPr>
        <w:t>4.2 Communication Time &amp; Frequency Limits</w:t>
      </w:r>
    </w:p>
    <w:p>
      <w:pPr>
        <w:pStyle w:val="ListBullet"/>
        <w:spacing w:after="40"/>
      </w:pPr>
      <w:r>
        <w:rPr>
          <w:rFonts w:ascii="Calibri" w:hAnsi="Calibri"/>
        </w:rPr>
        <w:t>4.3 Debt Validation Process</w:t>
      </w:r>
    </w:p>
    <w:p>
      <w:pPr>
        <w:pStyle w:val="ListBullet"/>
        <w:spacing w:after="40"/>
      </w:pPr>
      <w:r>
        <w:rPr>
          <w:rFonts w:ascii="Calibri" w:hAnsi="Calibri"/>
        </w:rPr>
        <w:t>4.4 Prohibited Collection Practices</w:t>
      </w:r>
    </w:p>
    <w:p>
      <w:pPr>
        <w:pStyle w:val="ListBullet"/>
        <w:spacing w:after="40"/>
      </w:pPr>
      <w:r>
        <w:rPr>
          <w:rFonts w:ascii="Calibri" w:hAnsi="Calibri"/>
        </w:rPr>
        <w:t>4.5 Cease Communication Requests</w:t>
      </w:r>
    </w:p>
    <w:p>
      <w:pPr>
        <w:pStyle w:val="ListBullet"/>
        <w:spacing w:after="40"/>
      </w:pPr>
      <w:r>
        <w:rPr>
          <w:rFonts w:ascii="Calibri" w:hAnsi="Calibri"/>
        </w:rPr>
        <w:t>4.6 Litigation Referral Standards</w:t>
      </w:r>
    </w:p>
    <w:p>
      <w:pPr>
        <w:pStyle w:val="ListBullet"/>
        <w:spacing w:after="40"/>
      </w:pPr>
      <w:r>
        <w:rPr>
          <w:rFonts w:ascii="Calibri" w:hAnsi="Calibri"/>
        </w:rPr>
        <w:t>4.7 Charged-Off Account Handling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Fair Lending</w:t>
      </w:r>
    </w:p>
    <w:p>
      <w:pPr>
        <w:pStyle w:val="ListBullet"/>
        <w:spacing w:after="40"/>
      </w:pPr>
      <w:r>
        <w:rPr>
          <w:rFonts w:ascii="Calibri" w:hAnsi="Calibri"/>
        </w:rPr>
        <w:t>5.1 Prohibited Bases for Discrimination</w:t>
      </w:r>
    </w:p>
    <w:p>
      <w:pPr>
        <w:pStyle w:val="ListBullet"/>
        <w:spacing w:after="40"/>
      </w:pPr>
      <w:r>
        <w:rPr>
          <w:rFonts w:ascii="Calibri" w:hAnsi="Calibri"/>
        </w:rPr>
        <w:t>5.2 Spousal Signature Policy</w:t>
      </w:r>
    </w:p>
    <w:p>
      <w:pPr>
        <w:pStyle w:val="ListBullet"/>
        <w:spacing w:after="40"/>
      </w:pPr>
      <w:r>
        <w:rPr>
          <w:rFonts w:ascii="Calibri" w:hAnsi="Calibri"/>
        </w:rPr>
        <w:t>5.3 Public Assistance Income Treatment</w:t>
      </w:r>
    </w:p>
    <w:p>
      <w:pPr>
        <w:pStyle w:val="ListBullet"/>
        <w:spacing w:after="40"/>
      </w:pPr>
      <w:r>
        <w:rPr>
          <w:rFonts w:ascii="Calibri" w:hAnsi="Calibri"/>
        </w:rPr>
        <w:t>5.4 Algorithmic Fairness Monitoring</w:t>
      </w:r>
    </w:p>
    <w:p>
      <w:pPr>
        <w:pStyle w:val="ListBullet"/>
        <w:spacing w:after="40"/>
      </w:pPr>
      <w:r>
        <w:rPr>
          <w:rFonts w:ascii="Calibri" w:hAnsi="Calibri"/>
        </w:rPr>
        <w:t>5.5 Adverse Action Notice Content &amp; Timing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Data Privacy &amp; Security</w:t>
      </w:r>
    </w:p>
    <w:p>
      <w:pPr>
        <w:pStyle w:val="ListBullet"/>
        <w:spacing w:after="40"/>
      </w:pPr>
      <w:r>
        <w:rPr>
          <w:rFonts w:ascii="Calibri" w:hAnsi="Calibri"/>
        </w:rPr>
        <w:t>6.1 Information Classification (PII, NPI)</w:t>
      </w:r>
    </w:p>
    <w:p>
      <w:pPr>
        <w:pStyle w:val="ListBullet"/>
        <w:spacing w:after="40"/>
      </w:pPr>
      <w:r>
        <w:rPr>
          <w:rFonts w:ascii="Calibri" w:hAnsi="Calibri"/>
        </w:rPr>
        <w:t>6.2 Data Encryption Standards</w:t>
      </w:r>
    </w:p>
    <w:p>
      <w:pPr>
        <w:pStyle w:val="ListBullet"/>
        <w:spacing w:after="40"/>
      </w:pPr>
      <w:r>
        <w:rPr>
          <w:rFonts w:ascii="Calibri" w:hAnsi="Calibri"/>
        </w:rPr>
        <w:t>6.3 Access Controls</w:t>
      </w:r>
    </w:p>
    <w:p>
      <w:pPr>
        <w:pStyle w:val="ListBullet"/>
        <w:spacing w:after="40"/>
      </w:pPr>
      <w:r>
        <w:rPr>
          <w:rFonts w:ascii="Calibri" w:hAnsi="Calibri"/>
        </w:rPr>
        <w:t>6.4 Breach Notification Procedure</w:t>
      </w:r>
    </w:p>
    <w:p>
      <w:pPr>
        <w:pStyle w:val="ListBullet"/>
        <w:spacing w:after="40"/>
      </w:pPr>
      <w:r>
        <w:rPr>
          <w:rFonts w:ascii="Calibri" w:hAnsi="Calibri"/>
        </w:rPr>
        <w:t>6.5 Third-Party Vendor Oversight</w:t>
      </w:r>
    </w:p>
    <w:p>
      <w:pPr>
        <w:pStyle w:val="ListBullet"/>
        <w:spacing w:after="40"/>
      </w:pPr>
      <w:r>
        <w:rPr>
          <w:rFonts w:ascii="Calibri" w:hAnsi="Calibri"/>
        </w:rPr>
        <w:t>6.6 Data Retention &amp; Disposal Schedule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7. Complaints</w:t>
      </w:r>
    </w:p>
    <w:p>
      <w:pPr>
        <w:pStyle w:val="ListBullet"/>
        <w:spacing w:after="40"/>
      </w:pPr>
      <w:r>
        <w:rPr>
          <w:rFonts w:ascii="Calibri" w:hAnsi="Calibri"/>
        </w:rPr>
        <w:t>7.1 Complaint Intake Channels (email, web, phone)</w:t>
      </w:r>
    </w:p>
    <w:p>
      <w:pPr>
        <w:pStyle w:val="ListBullet"/>
        <w:spacing w:after="40"/>
      </w:pPr>
      <w:r>
        <w:rPr>
          <w:rFonts w:ascii="Calibri" w:hAnsi="Calibri"/>
        </w:rPr>
        <w:t>7.2 Investigation &amp; Response Timeline</w:t>
      </w:r>
    </w:p>
    <w:p>
      <w:pPr>
        <w:pStyle w:val="ListBullet"/>
        <w:spacing w:after="40"/>
      </w:pPr>
      <w:r>
        <w:rPr>
          <w:rFonts w:ascii="Calibri" w:hAnsi="Calibri"/>
        </w:rPr>
        <w:t>7.3 Escalation to OCCC</w:t>
      </w:r>
    </w:p>
    <w:p>
      <w:pPr>
        <w:pStyle w:val="ListBullet"/>
        <w:spacing w:after="40"/>
      </w:pPr>
      <w:r>
        <w:rPr>
          <w:rFonts w:ascii="Calibri" w:hAnsi="Calibri"/>
        </w:rPr>
        <w:t>7.4 Complaint Recordkeeping</w:t>
      </w:r>
    </w:p>
    <w:p>
      <w:pPr>
        <w:pStyle w:val="ListBullet"/>
        <w:spacing w:after="40"/>
      </w:pPr>
      <w:r>
        <w:rPr>
          <w:rFonts w:ascii="Calibri" w:hAnsi="Calibri"/>
        </w:rPr>
        <w:t>7.5 Annual Complaint Reporting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8. Recordkeeping</w:t>
      </w:r>
    </w:p>
    <w:p>
      <w:pPr>
        <w:pStyle w:val="ListBullet"/>
        <w:spacing w:after="40"/>
      </w:pPr>
      <w:r>
        <w:rPr>
          <w:rFonts w:ascii="Calibri" w:hAnsi="Calibri"/>
        </w:rPr>
        <w:t>8.1 Document Retention Schedule</w:t>
      </w:r>
    </w:p>
    <w:p>
      <w:pPr>
        <w:pStyle w:val="ListBullet"/>
        <w:spacing w:after="40"/>
      </w:pPr>
      <w:r>
        <w:rPr>
          <w:rFonts w:ascii="Calibri" w:hAnsi="Calibri"/>
        </w:rPr>
        <w:t>8.2 Audit Trail Requirements</w:t>
      </w:r>
    </w:p>
    <w:p>
      <w:pPr>
        <w:pStyle w:val="ListBullet"/>
        <w:spacing w:after="40"/>
      </w:pPr>
      <w:r>
        <w:rPr>
          <w:rFonts w:ascii="Calibri" w:hAnsi="Calibri"/>
        </w:rPr>
        <w:t>8.3 Examinations &amp; Regulatory Requests</w:t>
      </w:r>
    </w:p>
    <w:p>
      <w:pPr>
        <w:pStyle w:val="ListBullet"/>
        <w:spacing w:after="40"/>
      </w:pPr>
      <w:r>
        <w:rPr>
          <w:rFonts w:ascii="Calibri" w:hAnsi="Calibri"/>
        </w:rPr>
        <w:t>8.4 Record Destruction Protocol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9. Training</w:t>
      </w:r>
    </w:p>
    <w:p>
      <w:pPr>
        <w:pStyle w:val="ListBullet"/>
        <w:spacing w:after="40"/>
      </w:pPr>
      <w:r>
        <w:rPr>
          <w:rFonts w:ascii="Calibri" w:hAnsi="Calibri"/>
        </w:rPr>
        <w:t>9.1 New Employee/Contractor Compliance Training</w:t>
      </w:r>
    </w:p>
    <w:p>
      <w:pPr>
        <w:pStyle w:val="ListBullet"/>
        <w:spacing w:after="40"/>
      </w:pPr>
      <w:r>
        <w:rPr>
          <w:rFonts w:ascii="Calibri" w:hAnsi="Calibri"/>
        </w:rPr>
        <w:t>9.2 Annual Refresher Training</w:t>
      </w:r>
    </w:p>
    <w:p>
      <w:pPr>
        <w:pStyle w:val="ListBullet"/>
        <w:spacing w:after="40"/>
      </w:pPr>
      <w:r>
        <w:rPr>
          <w:rFonts w:ascii="Calibri" w:hAnsi="Calibri"/>
        </w:rPr>
        <w:t>9.3 Fair Lending Training</w:t>
      </w:r>
    </w:p>
    <w:p>
      <w:pPr>
        <w:pStyle w:val="ListBullet"/>
        <w:spacing w:after="40"/>
      </w:pPr>
      <w:r>
        <w:rPr>
          <w:rFonts w:ascii="Calibri" w:hAnsi="Calibri"/>
        </w:rPr>
        <w:t>9.4 Privacy &amp; Data Security Training</w:t>
      </w:r>
    </w:p>
    <w:p>
      <w:pPr>
        <w:pStyle w:val="ListBullet"/>
        <w:spacing w:after="40"/>
      </w:pPr>
      <w:r>
        <w:rPr>
          <w:rFonts w:ascii="Calibri" w:hAnsi="Calibri"/>
        </w:rPr>
        <w:t>9.5 Training Documentation Requirements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10. Testing &amp; Monitoring</w:t>
      </w:r>
    </w:p>
    <w:p>
      <w:pPr>
        <w:pStyle w:val="ListBullet"/>
        <w:spacing w:after="40"/>
      </w:pPr>
      <w:r>
        <w:rPr>
          <w:rFonts w:ascii="Calibri" w:hAnsi="Calibri"/>
        </w:rPr>
        <w:t>10.1 Internal Audit Schedule</w:t>
      </w:r>
    </w:p>
    <w:p>
      <w:pPr>
        <w:pStyle w:val="ListBullet"/>
        <w:spacing w:after="40"/>
      </w:pPr>
      <w:r>
        <w:rPr>
          <w:rFonts w:ascii="Calibri" w:hAnsi="Calibri"/>
        </w:rPr>
        <w:t>10.2 Compliance Testing Checklist</w:t>
      </w:r>
    </w:p>
    <w:p>
      <w:pPr>
        <w:pStyle w:val="ListBullet"/>
        <w:spacing w:after="40"/>
      </w:pPr>
      <w:r>
        <w:rPr>
          <w:rFonts w:ascii="Calibri" w:hAnsi="Calibri"/>
        </w:rPr>
        <w:t>10.3 Fair Lending Testing (adverse impact analysis)</w:t>
      </w:r>
    </w:p>
    <w:p>
      <w:pPr>
        <w:pStyle w:val="ListBullet"/>
        <w:spacing w:after="40"/>
      </w:pPr>
      <w:r>
        <w:rPr>
          <w:rFonts w:ascii="Calibri" w:hAnsi="Calibri"/>
        </w:rPr>
        <w:t>10.4 System Access Audits</w:t>
      </w:r>
    </w:p>
    <w:p>
      <w:pPr>
        <w:pStyle w:val="ListBullet"/>
        <w:spacing w:after="40"/>
      </w:pPr>
      <w:r>
        <w:rPr>
          <w:rFonts w:ascii="Calibri" w:hAnsi="Calibri"/>
        </w:rPr>
        <w:t>10.5 Third-Party Risk Assessment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Appendices</w:t>
      </w:r>
    </w:p>
    <w:p>
      <w:pPr>
        <w:pStyle w:val="ListBullet"/>
        <w:spacing w:after="40"/>
      </w:pPr>
      <w:r>
        <w:rPr>
          <w:rFonts w:ascii="Calibri" w:hAnsi="Calibri"/>
        </w:rPr>
        <w:t>A: Sample TILA Disclosure</w:t>
      </w:r>
    </w:p>
    <w:p>
      <w:pPr>
        <w:pStyle w:val="ListBullet"/>
        <w:spacing w:after="40"/>
      </w:pPr>
      <w:r>
        <w:rPr>
          <w:rFonts w:ascii="Calibri" w:hAnsi="Calibri"/>
        </w:rPr>
        <w:t>B: Sample Adverse Action Notice</w:t>
      </w:r>
    </w:p>
    <w:p>
      <w:pPr>
        <w:pStyle w:val="ListBullet"/>
        <w:spacing w:after="40"/>
      </w:pPr>
      <w:r>
        <w:rPr>
          <w:rFonts w:ascii="Calibri" w:hAnsi="Calibri"/>
        </w:rPr>
        <w:t>C: Sample Privacy Notice</w:t>
      </w:r>
    </w:p>
    <w:p>
      <w:pPr>
        <w:pStyle w:val="ListBullet"/>
        <w:spacing w:after="40"/>
      </w:pPr>
      <w:r>
        <w:rPr>
          <w:rFonts w:ascii="Calibri" w:hAnsi="Calibri"/>
        </w:rPr>
        <w:t>D: Sample Debt Validation Letter</w:t>
      </w:r>
    </w:p>
    <w:p>
      <w:pPr>
        <w:pStyle w:val="ListBullet"/>
        <w:spacing w:after="40"/>
      </w:pPr>
      <w:r>
        <w:rPr>
          <w:rFonts w:ascii="Calibri" w:hAnsi="Calibri"/>
        </w:rPr>
        <w:t>E: Complaint Form Template</w:t>
      </w:r>
    </w:p>
    <w:p>
      <w:pPr>
        <w:pStyle w:val="ListBullet"/>
        <w:spacing w:after="40"/>
      </w:pPr>
      <w:r>
        <w:rPr>
          <w:rFonts w:ascii="Calibri" w:hAnsi="Calibri"/>
        </w:rPr>
        <w:t>F: OCCC Contact Information</w:t>
      </w:r>
    </w:p>
    <w:p>
      <w:pPr>
        <w:pStyle w:val="ListBullet"/>
        <w:spacing w:after="40"/>
      </w:pPr>
      <w:r>
        <w:rPr>
          <w:rFonts w:ascii="Calibri" w:hAnsi="Calibri"/>
        </w:rPr>
        <w:t>G: Applicable Statute Citations</w:t>
      </w:r>
    </w:p>
    <w:p>
      <w:pPr>
        <w:pStyle w:val="ListBullet"/>
        <w:spacing w:after="40"/>
      </w:pPr>
      <w:r>
        <w:rPr>
          <w:rFonts w:ascii="Calibri" w:hAnsi="Calibri"/>
        </w:rPr>
        <w:t>H: Emergency/Continuity Plan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i/>
        </w:rPr>
        <w:t>This compliance manual is based on the Texas OCCC Regulated Lender requirements and federal consumer financial laws. It should be reviewed by qualified legal counsel before adoption. Last updated: May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