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Innovative Lending Products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Innovative Personal Lending Product Ideas</w:t>
      </w:r>
    </w:p>
    <w:p>
      <w:pPr>
        <w:spacing w:after="80"/>
      </w:pPr>
      <w:r>
        <w:rPr>
          <w:rFonts w:ascii="Calibri" w:hAnsi="Calibri"/>
        </w:rPr>
        <w:t xml:space="preserve">Ranked by </w:t>
      </w:r>
      <w:r>
        <w:rPr>
          <w:rFonts w:ascii="Calibri" w:hAnsi="Calibri"/>
          <w:b/>
        </w:rPr>
        <w:t>(opportunity × feasibility × moat)</w:t>
      </w:r>
      <w:r>
        <w:rPr>
          <w:rFonts w:ascii="Calibri" w:hAnsi="Calibri"/>
        </w:rPr>
        <w:t>. Each one is a distinct product PalmFi could build on top of the existing platform with relatively small additions.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1. 🔥 Income-Share Loans for Gig Workers</w:t>
      </w:r>
    </w:p>
    <w:p>
      <w:pPr>
        <w:spacing w:after="80"/>
      </w:pPr>
      <w:r>
        <w:rPr>
          <w:rFonts w:ascii="Calibri" w:hAnsi="Calibri"/>
          <w:b/>
        </w:rPr>
        <w:t>The product:</w:t>
      </w:r>
      <w:r>
        <w:rPr>
          <w:rFonts w:ascii="Calibri" w:hAnsi="Calibri"/>
        </w:rPr>
        <w:t xml:space="preserve"> No fixed monthly payment. Borrower pledges a fixed % of weekly Stripe/PayPal/Uber/DoorDash deposits until total repayment cap (e.g. 1.3× principal) is hit.</w:t>
      </w:r>
    </w:p>
    <w:p>
      <w:pPr>
        <w:spacing w:after="80"/>
      </w:pPr>
      <w:r>
        <w:rPr>
          <w:rFonts w:ascii="Calibri" w:hAnsi="Calibri"/>
          <w:b/>
        </w:rPr>
        <w:t>Why it works:</w:t>
      </w:r>
      <w:r>
        <w:rPr>
          <w:rFonts w:ascii="Calibri" w:hAnsi="Calibri"/>
        </w:rPr>
        <w:t xml:space="preserve"> Gig income is volatile → fixed payments cause defaults. % of income flexes naturally.</w:t>
      </w:r>
    </w:p>
    <w:p>
      <w:pPr>
        <w:spacing w:after="80"/>
      </w:pPr>
      <w:r>
        <w:rPr>
          <w:rFonts w:ascii="Calibri" w:hAnsi="Calibri"/>
          <w:b/>
        </w:rPr>
        <w:t>How:</w:t>
      </w:r>
      <w:r>
        <w:rPr>
          <w:rFonts w:ascii="Calibri" w:hAnsi="Calibri"/>
        </w:rPr>
        <w:t xml:space="preserve"> Plaid → connect deposit account → cron auto-debits 12% of every deposit. No invoices, no late fees, never delinquent.</w:t>
      </w:r>
    </w:p>
    <w:p>
      <w:pPr>
        <w:spacing w:after="80"/>
      </w:pPr>
      <w:r>
        <w:rPr>
          <w:rFonts w:ascii="Calibri" w:hAnsi="Calibri"/>
          <w:b/>
        </w:rPr>
        <w:t>Moat:</w:t>
      </w:r>
      <w:r>
        <w:rPr>
          <w:rFonts w:ascii="Calibri" w:hAnsi="Calibri"/>
        </w:rPr>
        <w:t xml:space="preserve"> Proprietary cash-flow underwriting model already built — perfect fit.</w:t>
      </w:r>
    </w:p>
    <w:p>
      <w:pPr>
        <w:spacing w:after="80"/>
      </w:pPr>
      <w:r>
        <w:rPr>
          <w:rFonts w:ascii="Calibri" w:hAnsi="Calibri"/>
          <w:b/>
        </w:rPr>
        <w:t>Why not a credit card:</w:t>
      </w:r>
      <w:r>
        <w:rPr>
          <w:rFonts w:ascii="Calibri" w:hAnsi="Calibri"/>
        </w:rPr>
        <w:t xml:space="preserve"> Cards are revolving; this has a defined payoff cap.</w:t>
      </w:r>
    </w:p>
    <w:p>
      <w:pPr>
        <w:spacing w:after="80"/>
      </w:pPr>
      <w:r>
        <w:rPr>
          <w:rFonts w:ascii="Calibri" w:hAnsi="Calibri"/>
          <w:b/>
        </w:rPr>
        <w:t>Risk:</w:t>
      </w:r>
      <w:r>
        <w:rPr>
          <w:rFonts w:ascii="Calibri" w:hAnsi="Calibri"/>
        </w:rPr>
        <w:t xml:space="preserve"> Some borrowers will fight the % debit. Need air-tight ToS.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2. 🔥 Cash-Flow-First Loans (No Credit Score Required)</w:t>
      </w:r>
    </w:p>
    <w:p>
      <w:pPr>
        <w:spacing w:after="80"/>
      </w:pPr>
      <w:r>
        <w:rPr>
          <w:rFonts w:ascii="Calibri" w:hAnsi="Calibri"/>
          <w:b/>
        </w:rPr>
        <w:t>The product:</w:t>
      </w:r>
      <w:r>
        <w:rPr>
          <w:rFonts w:ascii="Calibri" w:hAnsi="Calibri"/>
        </w:rPr>
        <w:t xml:space="preserve"> Approve based on 90 days of bank transactions only. Ignore FICO. Target the 25% of US adults with thin/no credit files.</w:t>
      </w:r>
    </w:p>
    <w:p>
      <w:pPr>
        <w:spacing w:after="80"/>
      </w:pPr>
      <w:r>
        <w:rPr>
          <w:rFonts w:ascii="Calibri" w:hAnsi="Calibri"/>
          <w:b/>
        </w:rPr>
        <w:t>Why it works:</w:t>
      </w:r>
      <w:r>
        <w:rPr>
          <w:rFonts w:ascii="Calibri" w:hAnsi="Calibri"/>
        </w:rPr>
        <w:t xml:space="preserve"> TransUnion estimates ~50M US adults are credit-invisible or have insufficient files. Banks won’t touch them. They have jobs and money.</w:t>
      </w:r>
    </w:p>
    <w:p>
      <w:pPr>
        <w:spacing w:after="80"/>
      </w:pPr>
      <w:r>
        <w:rPr>
          <w:rFonts w:ascii="Calibri" w:hAnsi="Calibri"/>
          <w:b/>
        </w:rPr>
        <w:t>How:</w:t>
      </w:r>
      <w:r>
        <w:rPr>
          <w:rFonts w:ascii="Calibri" w:hAnsi="Calibri"/>
        </w:rPr>
        <w:t xml:space="preserve"> Plaid pulls transactions → existing </w:t>
      </w:r>
      <w:r>
        <w:rPr>
          <w:rFonts w:ascii="Consolas" w:hAnsi="Consolas"/>
          <w:color w:val="E83E8C"/>
          <w:sz w:val="18"/>
        </w:rPr>
        <w:t>cash_flow.py</w:t>
      </w:r>
      <w:r>
        <w:rPr>
          <w:rFonts w:ascii="Calibri" w:hAnsi="Calibri"/>
        </w:rPr>
        <w:t xml:space="preserve"> analyzer → approve up to 50% of average monthly net income. Already built — just turn off the credit-score requirement.</w:t>
      </w:r>
    </w:p>
    <w:p>
      <w:pPr>
        <w:spacing w:after="80"/>
      </w:pPr>
      <w:r>
        <w:rPr>
          <w:rFonts w:ascii="Calibri" w:hAnsi="Calibri"/>
          <w:b/>
        </w:rPr>
        <w:t>Moat:</w:t>
      </w:r>
      <w:r>
        <w:rPr>
          <w:rFonts w:ascii="Calibri" w:hAnsi="Calibri"/>
        </w:rPr>
        <w:t xml:space="preserve"> Banks legally must use credit reports. You don’t. This is the entire startup of Petal Card, but for installment loans.</w:t>
      </w:r>
    </w:p>
    <w:p>
      <w:pPr>
        <w:spacing w:after="80"/>
      </w:pPr>
      <w:r>
        <w:rPr>
          <w:rFonts w:ascii="Calibri" w:hAnsi="Calibri"/>
          <w:b/>
        </w:rPr>
        <w:t>Win:</w:t>
      </w:r>
      <w:r>
        <w:rPr>
          <w:rFonts w:ascii="Calibri" w:hAnsi="Calibri"/>
        </w:rPr>
        <w:t xml:space="preserve"> $50B+ TAM. Underserved by every major lender.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3. 🔥 Bill-Splitter Loans (B2B2C)</w:t>
      </w:r>
    </w:p>
    <w:p>
      <w:pPr>
        <w:spacing w:after="80"/>
      </w:pPr>
      <w:r>
        <w:rPr>
          <w:rFonts w:ascii="Calibri" w:hAnsi="Calibri"/>
          <w:b/>
        </w:rPr>
        <w:t>The product:</w:t>
      </w:r>
      <w:r>
        <w:rPr>
          <w:rFonts w:ascii="Calibri" w:hAnsi="Calibri"/>
        </w:rPr>
        <w:t xml:space="preserve"> When someone gets a large unexpected bill (medical, vet, auto repair, dental), the </w:t>
      </w:r>
      <w:r>
        <w:rPr>
          <w:rFonts w:ascii="Calibri" w:hAnsi="Calibri"/>
          <w:i/>
        </w:rPr>
        <w:t>merchant</w:t>
      </w:r>
      <w:r>
        <w:rPr>
          <w:rFonts w:ascii="Calibri" w:hAnsi="Calibri"/>
        </w:rPr>
        <w:t xml:space="preserve"> offers PalmFi at checkout to split it into 4–12 payments.</w:t>
      </w:r>
    </w:p>
    <w:p>
      <w:pPr>
        <w:spacing w:after="80"/>
      </w:pPr>
      <w:r>
        <w:rPr>
          <w:rFonts w:ascii="Calibri" w:hAnsi="Calibri"/>
          <w:b/>
        </w:rPr>
        <w:t>Why it works:</w:t>
      </w:r>
      <w:r>
        <w:rPr>
          <w:rFonts w:ascii="Calibri" w:hAnsi="Calibri"/>
        </w:rPr>
        <w:t xml:space="preserve"> Merchant gets paid in full immediately. Borrower gets fixed payments. PalmFi takes 6–10% merchant fee + interest.</w:t>
      </w:r>
    </w:p>
    <w:p>
      <w:pPr>
        <w:spacing w:after="80"/>
      </w:pPr>
      <w:r>
        <w:rPr>
          <w:rFonts w:ascii="Calibri" w:hAnsi="Calibri"/>
          <w:b/>
        </w:rPr>
        <w:t>How:</w:t>
      </w:r>
      <w:r>
        <w:rPr>
          <w:rFonts w:ascii="Calibri" w:hAnsi="Calibri"/>
        </w:rPr>
        <w:t xml:space="preserve"> Build a 1-line JS widget for the merchant + a webhook → instant approval. Affirm/Klarna model but specialized for service businesses (vet, dental, auto repair, HVAC).</w:t>
      </w:r>
    </w:p>
    <w:p>
      <w:pPr>
        <w:spacing w:after="80"/>
      </w:pPr>
      <w:r>
        <w:rPr>
          <w:rFonts w:ascii="Calibri" w:hAnsi="Calibri"/>
          <w:b/>
        </w:rPr>
        <w:t>Moat:</w:t>
      </w:r>
      <w:r>
        <w:rPr>
          <w:rFonts w:ascii="Calibri" w:hAnsi="Calibri"/>
        </w:rPr>
        <w:t xml:space="preserve"> Affirm/Klarna ignore service businesses — they want retail. Specialized vertical = better conversion + less competition.</w:t>
      </w:r>
    </w:p>
    <w:p>
      <w:pPr>
        <w:spacing w:after="80"/>
      </w:pPr>
      <w:r>
        <w:rPr>
          <w:rFonts w:ascii="Calibri" w:hAnsi="Calibri"/>
          <w:b/>
        </w:rPr>
        <w:t>Distribution hack:</w:t>
      </w:r>
      <w:r>
        <w:rPr>
          <w:rFonts w:ascii="Calibri" w:hAnsi="Calibri"/>
        </w:rPr>
        <w:t xml:space="preserve"> Partner with one Practice Management software per vertical (e.g. Mindbody for fitness studios → instant access to 50k businesses).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4. 🔥 AI Co-Signer (Family Microloans)</w:t>
      </w:r>
    </w:p>
    <w:p>
      <w:pPr>
        <w:spacing w:after="80"/>
      </w:pPr>
      <w:r>
        <w:rPr>
          <w:rFonts w:ascii="Calibri" w:hAnsi="Calibri"/>
          <w:b/>
        </w:rPr>
        <w:t>The product:</w:t>
      </w:r>
      <w:r>
        <w:rPr>
          <w:rFonts w:ascii="Calibri" w:hAnsi="Calibri"/>
        </w:rPr>
        <w:t xml:space="preserve"> Two family members register. Younger family member can borrow up to 2× their income, but older family member’s score &amp; cash-flow boost approval. Older family member only liable if borrower defaults beyond 60 days.</w:t>
      </w:r>
    </w:p>
    <w:p>
      <w:pPr>
        <w:spacing w:after="80"/>
      </w:pPr>
      <w:r>
        <w:rPr>
          <w:rFonts w:ascii="Calibri" w:hAnsi="Calibri"/>
          <w:b/>
        </w:rPr>
        <w:t>Why it works:</w:t>
      </w:r>
      <w:r>
        <w:rPr>
          <w:rFonts w:ascii="Calibri" w:hAnsi="Calibri"/>
        </w:rPr>
        <w:t xml:space="preserve"> Family already lends to family informally. Formalizes it, reduces awkwardness, builds credit history for the younger one.</w:t>
      </w:r>
    </w:p>
    <w:p>
      <w:pPr>
        <w:spacing w:after="80"/>
      </w:pPr>
      <w:r>
        <w:rPr>
          <w:rFonts w:ascii="Calibri" w:hAnsi="Calibri"/>
          <w:b/>
        </w:rPr>
        <w:t>How:</w:t>
      </w:r>
      <w:r>
        <w:rPr>
          <w:rFonts w:ascii="Calibri" w:hAnsi="Calibri"/>
        </w:rPr>
        <w:t xml:space="preserve"> Add a “co-signer relationship” table; new application flow with two parties; conditional liability terms.</w:t>
      </w:r>
    </w:p>
    <w:p>
      <w:pPr>
        <w:spacing w:after="80"/>
      </w:pPr>
      <w:r>
        <w:rPr>
          <w:rFonts w:ascii="Calibri" w:hAnsi="Calibri"/>
          <w:b/>
        </w:rPr>
        <w:t>Moat:</w:t>
      </w:r>
      <w:r>
        <w:rPr>
          <w:rFonts w:ascii="Calibri" w:hAnsi="Calibri"/>
        </w:rPr>
        <w:t xml:space="preserve"> No major lender does soft co-signer flows. Captures intra-family lending market that currently goes through Venmo.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5. 🌱 Green-Score Loans</w:t>
      </w:r>
    </w:p>
    <w:p>
      <w:pPr>
        <w:spacing w:after="80"/>
      </w:pPr>
      <w:r>
        <w:rPr>
          <w:rFonts w:ascii="Calibri" w:hAnsi="Calibri"/>
          <w:b/>
        </w:rPr>
        <w:t>The product:</w:t>
      </w:r>
      <w:r>
        <w:rPr>
          <w:rFonts w:ascii="Calibri" w:hAnsi="Calibri"/>
        </w:rPr>
        <w:t xml:space="preserve"> Lower APR for borrowers using funds for sustainable purchases — solar panels, EVs, e-bikes, energy-efficient appliances. Verify via merchant code on Plaid transactions.</w:t>
      </w:r>
    </w:p>
    <w:p>
      <w:pPr>
        <w:spacing w:after="80"/>
      </w:pPr>
      <w:r>
        <w:rPr>
          <w:rFonts w:ascii="Calibri" w:hAnsi="Calibri"/>
          <w:b/>
        </w:rPr>
        <w:t>Why it works:</w:t>
      </w:r>
      <w:r>
        <w:rPr>
          <w:rFonts w:ascii="Calibri" w:hAnsi="Calibri"/>
        </w:rPr>
        <w:t xml:space="preserve"> Differentiated brand. Climate-conscious consumers will pay premium for “feel good” loan. Easy marketing angle.</w:t>
      </w:r>
    </w:p>
    <w:p>
      <w:pPr>
        <w:spacing w:after="80"/>
      </w:pPr>
      <w:r>
        <w:rPr>
          <w:rFonts w:ascii="Calibri" w:hAnsi="Calibri"/>
          <w:b/>
        </w:rPr>
        <w:t>How:</w:t>
      </w:r>
      <w:r>
        <w:rPr>
          <w:rFonts w:ascii="Calibri" w:hAnsi="Calibri"/>
        </w:rPr>
        <w:t xml:space="preserve"> Add merchant-code lookup table (MCC codes) → if loan funds spent at green merchants → 1pp APR cut.</w:t>
      </w:r>
    </w:p>
    <w:p>
      <w:pPr>
        <w:spacing w:after="80"/>
      </w:pPr>
      <w:r>
        <w:rPr>
          <w:rFonts w:ascii="Calibri" w:hAnsi="Calibri"/>
          <w:b/>
        </w:rPr>
        <w:t>Moat:</w:t>
      </w:r>
      <w:r>
        <w:rPr>
          <w:rFonts w:ascii="Calibri" w:hAnsi="Calibri"/>
        </w:rPr>
        <w:t xml:space="preserve"> Brand + climate-conscious audience. Aspiration Bank proved the willingness to pay. Lower APR is funded by lower default risk (these borrowers tend to be more financially stable).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6. 💡 Pay-Yourself-Forward (Save While You Borrow)</w:t>
      </w:r>
    </w:p>
    <w:p>
      <w:pPr>
        <w:spacing w:after="80"/>
      </w:pPr>
      <w:r>
        <w:rPr>
          <w:rFonts w:ascii="Calibri" w:hAnsi="Calibri"/>
          <w:b/>
        </w:rPr>
        <w:t>The product:</w:t>
      </w:r>
      <w:r>
        <w:rPr>
          <w:rFonts w:ascii="Calibri" w:hAnsi="Calibri"/>
        </w:rPr>
        <w:t xml:space="preserve"> Every loan payment includes a small forced-savings contribution (5–10% extra) into a high-yield savings account in the borrower’s name. After payoff, borrower has $500–$2k in savings.</w:t>
      </w:r>
    </w:p>
    <w:p>
      <w:pPr>
        <w:spacing w:after="80"/>
      </w:pPr>
      <w:r>
        <w:rPr>
          <w:rFonts w:ascii="Calibri" w:hAnsi="Calibri"/>
          <w:b/>
        </w:rPr>
        <w:t>Why it works:</w:t>
      </w:r>
      <w:r>
        <w:rPr>
          <w:rFonts w:ascii="Calibri" w:hAnsi="Calibri"/>
        </w:rPr>
        <w:t xml:space="preserve"> Solves the “78% of Americans live paycheck-to-paycheck” problem while building loyalty. After payoff, borrower has cash → likely to come back.</w:t>
      </w:r>
    </w:p>
    <w:p>
      <w:pPr>
        <w:spacing w:after="80"/>
      </w:pPr>
      <w:r>
        <w:rPr>
          <w:rFonts w:ascii="Calibri" w:hAnsi="Calibri"/>
          <w:b/>
        </w:rPr>
        <w:t>How:</w:t>
      </w:r>
      <w:r>
        <w:rPr>
          <w:rFonts w:ascii="Calibri" w:hAnsi="Calibri"/>
        </w:rPr>
        <w:t xml:space="preserve"> Treasury sub-account via Mercury or Stripe Treasury. Add savings rail to the autopilot collection step.</w:t>
      </w:r>
    </w:p>
    <w:p>
      <w:pPr>
        <w:spacing w:after="80"/>
      </w:pPr>
      <w:r>
        <w:rPr>
          <w:rFonts w:ascii="Calibri" w:hAnsi="Calibri"/>
          <w:b/>
        </w:rPr>
        <w:t>Moat:</w:t>
      </w:r>
      <w:r>
        <w:rPr>
          <w:rFonts w:ascii="Calibri" w:hAnsi="Calibri"/>
        </w:rPr>
        <w:t xml:space="preserve"> Behavioral finance angle — converts a debt into a net-positive financial event.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7. 💡 Dynamic Rate (Pay What You Earn)</w:t>
      </w:r>
    </w:p>
    <w:p>
      <w:pPr>
        <w:spacing w:after="80"/>
      </w:pPr>
      <w:r>
        <w:rPr>
          <w:rFonts w:ascii="Calibri" w:hAnsi="Calibri"/>
          <w:b/>
        </w:rPr>
        <w:t>The product:</w:t>
      </w:r>
      <w:r>
        <w:rPr>
          <w:rFonts w:ascii="Calibri" w:hAnsi="Calibri"/>
        </w:rPr>
        <w:t xml:space="preserve"> APR adjusts quarterly based on borrower’s verified income trajectory. Get a raise? Rate stays the same. Lose your job? Rate drops 2–5pp temporarily, term extends.</w:t>
      </w:r>
    </w:p>
    <w:p>
      <w:pPr>
        <w:spacing w:after="80"/>
      </w:pPr>
      <w:r>
        <w:rPr>
          <w:rFonts w:ascii="Calibri" w:hAnsi="Calibri"/>
          <w:b/>
        </w:rPr>
        <w:t>Why it works:</w:t>
      </w:r>
      <w:r>
        <w:rPr>
          <w:rFonts w:ascii="Calibri" w:hAnsi="Calibri"/>
        </w:rPr>
        <w:t xml:space="preserve"> Reduces hardship-driven defaults. Borrower keeps paying something. Lender keeps performing loan.</w:t>
      </w:r>
    </w:p>
    <w:p>
      <w:pPr>
        <w:spacing w:after="80"/>
      </w:pPr>
      <w:r>
        <w:rPr>
          <w:rFonts w:ascii="Calibri" w:hAnsi="Calibri"/>
          <w:b/>
        </w:rPr>
        <w:t>How:</w:t>
      </w:r>
      <w:r>
        <w:rPr>
          <w:rFonts w:ascii="Calibri" w:hAnsi="Calibri"/>
        </w:rPr>
        <w:t xml:space="preserve"> Plaid income verification monthly → if income drops &gt;25%, trigger automatic forbearance + rate reset. The infrastructure is essentially the rate-improvement step in autopilot, run in reverse.</w:t>
      </w:r>
    </w:p>
    <w:p>
      <w:pPr>
        <w:spacing w:after="80"/>
      </w:pPr>
      <w:r>
        <w:rPr>
          <w:rFonts w:ascii="Calibri" w:hAnsi="Calibri"/>
          <w:b/>
        </w:rPr>
        <w:t>Moat:</w:t>
      </w:r>
      <w:r>
        <w:rPr>
          <w:rFonts w:ascii="Calibri" w:hAnsi="Calibri"/>
        </w:rPr>
        <w:t xml:space="preserve"> Empathetic underwriting → lower charge-offs + better borrower NPS + viral word-of-mouth.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8. 💡 Crypto-Collateralized (HODLer’s Loan)</w:t>
      </w:r>
    </w:p>
    <w:p>
      <w:pPr>
        <w:spacing w:after="80"/>
      </w:pPr>
      <w:r>
        <w:rPr>
          <w:rFonts w:ascii="Calibri" w:hAnsi="Calibri"/>
          <w:b/>
        </w:rPr>
        <w:t>The product:</w:t>
      </w:r>
      <w:r>
        <w:rPr>
          <w:rFonts w:ascii="Calibri" w:hAnsi="Calibri"/>
        </w:rPr>
        <w:t xml:space="preserve"> Borrower posts BTC/ETH as collateral, borrows USD without selling. PalmFi auto-liquidates if collateral drops below 130% of loan.</w:t>
      </w:r>
    </w:p>
    <w:p>
      <w:pPr>
        <w:spacing w:after="80"/>
      </w:pPr>
      <w:r>
        <w:rPr>
          <w:rFonts w:ascii="Calibri" w:hAnsi="Calibri"/>
          <w:b/>
        </w:rPr>
        <w:t>Why it works:</w:t>
      </w:r>
      <w:r>
        <w:rPr>
          <w:rFonts w:ascii="Calibri" w:hAnsi="Calibri"/>
        </w:rPr>
        <w:t xml:space="preserve"> Crypto holders don’t want to sell (taxes + upside). Want USD for life expenses. Existing players (BlockFi, Celsius) blew up — clean field.</w:t>
      </w:r>
    </w:p>
    <w:p>
      <w:pPr>
        <w:spacing w:after="80"/>
      </w:pPr>
      <w:r>
        <w:rPr>
          <w:rFonts w:ascii="Calibri" w:hAnsi="Calibri"/>
          <w:b/>
        </w:rPr>
        <w:t>How:</w:t>
      </w:r>
      <w:r>
        <w:rPr>
          <w:rFonts w:ascii="Calibri" w:hAnsi="Calibri"/>
        </w:rPr>
        <w:t xml:space="preserve"> Custody via Anchorage / Coinbase Prime → smart contract for liquidation. ~3 weeks of additional dev. PalmFi’s tax-aware module already considers crypto.</w:t>
      </w:r>
    </w:p>
    <w:p>
      <w:pPr>
        <w:spacing w:after="80"/>
      </w:pPr>
      <w:r>
        <w:rPr>
          <w:rFonts w:ascii="Calibri" w:hAnsi="Calibri"/>
          <w:b/>
        </w:rPr>
        <w:t>Risk:</w:t>
      </w:r>
      <w:r>
        <w:rPr>
          <w:rFonts w:ascii="Calibri" w:hAnsi="Calibri"/>
        </w:rPr>
        <w:t xml:space="preserve"> Smart contract risk + crypto volatility. Start small.</w:t>
      </w:r>
    </w:p>
    <w:p>
      <w:pPr>
        <w:spacing w:after="80"/>
      </w:pPr>
      <w:r>
        <w:rPr>
          <w:rFonts w:ascii="Calibri" w:hAnsi="Calibri"/>
          <w:b/>
        </w:rPr>
        <w:t>Moat:</w:t>
      </w:r>
      <w:r>
        <w:rPr>
          <w:rFonts w:ascii="Calibri" w:hAnsi="Calibri"/>
        </w:rPr>
        <w:t xml:space="preserve"> Trustworthy custody after 2022 collapses + AI pricing of crypto risk.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9. 💡 Buy-the-Dip Loans (Investment-Backed)</w:t>
      </w:r>
    </w:p>
    <w:p>
      <w:pPr>
        <w:spacing w:after="80"/>
      </w:pPr>
      <w:r>
        <w:rPr>
          <w:rFonts w:ascii="Calibri" w:hAnsi="Calibri"/>
          <w:b/>
        </w:rPr>
        <w:t>The product:</w:t>
      </w:r>
      <w:r>
        <w:rPr>
          <w:rFonts w:ascii="Calibri" w:hAnsi="Calibri"/>
        </w:rPr>
        <w:t xml:space="preserve"> Verified brokerage account holders can borrow up to 30% of portfolio value at low APR (4–8%) for any purpose. PalmFi has soft lien on portfolio via SnapTrade/Plaid Investments.</w:t>
      </w:r>
    </w:p>
    <w:p>
      <w:pPr>
        <w:spacing w:after="80"/>
      </w:pPr>
      <w:r>
        <w:rPr>
          <w:rFonts w:ascii="Calibri" w:hAnsi="Calibri"/>
          <w:b/>
        </w:rPr>
        <w:t>Why it works:</w:t>
      </w:r>
      <w:r>
        <w:rPr>
          <w:rFonts w:ascii="Calibri" w:hAnsi="Calibri"/>
        </w:rPr>
        <w:t xml:space="preserve"> Margin loans from brokers are 10–13% APR. PalmFi undercuts using auto-collateral check.</w:t>
      </w:r>
    </w:p>
    <w:p>
      <w:pPr>
        <w:spacing w:after="80"/>
      </w:pPr>
      <w:r>
        <w:rPr>
          <w:rFonts w:ascii="Calibri" w:hAnsi="Calibri"/>
          <w:b/>
        </w:rPr>
        <w:t>How:</w:t>
      </w:r>
      <w:r>
        <w:rPr>
          <w:rFonts w:ascii="Calibri" w:hAnsi="Calibri"/>
        </w:rPr>
        <w:t xml:space="preserve"> SnapTrade API → daily portfolio value check → if collateral drops too low, auto-payment from linked bank.</w:t>
      </w:r>
    </w:p>
    <w:p>
      <w:pPr>
        <w:spacing w:after="80"/>
      </w:pPr>
      <w:r>
        <w:rPr>
          <w:rFonts w:ascii="Calibri" w:hAnsi="Calibri"/>
          <w:b/>
        </w:rPr>
        <w:t>Moat:</w:t>
      </w:r>
      <w:r>
        <w:rPr>
          <w:rFonts w:ascii="Calibri" w:hAnsi="Calibri"/>
        </w:rPr>
        <w:t xml:space="preserve"> Faster approval + lower rates than Robinhood/Schwab margin.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10. 🎯 Group Lending (Social Underwriting)</w:t>
      </w:r>
    </w:p>
    <w:p>
      <w:pPr>
        <w:spacing w:after="80"/>
      </w:pPr>
      <w:r>
        <w:rPr>
          <w:rFonts w:ascii="Calibri" w:hAnsi="Calibri"/>
          <w:b/>
        </w:rPr>
        <w:t>The product:</w:t>
      </w:r>
      <w:r>
        <w:rPr>
          <w:rFonts w:ascii="Calibri" w:hAnsi="Calibri"/>
        </w:rPr>
        <w:t xml:space="preserve"> 5 friends form a “circle.” Each can borrow $X. If one defaults, the others’ rates go up next time. Mutual accountability lowers default risk.</w:t>
      </w:r>
    </w:p>
    <w:p>
      <w:pPr>
        <w:spacing w:after="80"/>
      </w:pPr>
      <w:r>
        <w:rPr>
          <w:rFonts w:ascii="Calibri" w:hAnsi="Calibri"/>
          <w:b/>
        </w:rPr>
        <w:t>Why it works:</w:t>
      </w:r>
      <w:r>
        <w:rPr>
          <w:rFonts w:ascii="Calibri" w:hAnsi="Calibri"/>
        </w:rPr>
        <w:t xml:space="preserve"> Grameen Bank Nobel Prize–winning model. Used by Tala, Branch internationally. Untapped in US.</w:t>
      </w:r>
    </w:p>
    <w:p>
      <w:pPr>
        <w:spacing w:after="80"/>
      </w:pPr>
      <w:r>
        <w:rPr>
          <w:rFonts w:ascii="Calibri" w:hAnsi="Calibri"/>
          <w:b/>
        </w:rPr>
        <w:t>How:</w:t>
      </w:r>
      <w:r>
        <w:rPr>
          <w:rFonts w:ascii="Calibri" w:hAnsi="Calibri"/>
        </w:rPr>
        <w:t xml:space="preserve"> New table for circles, modified underwriting that includes circle’s collective performance.</w:t>
      </w:r>
    </w:p>
    <w:p>
      <w:pPr>
        <w:spacing w:after="80"/>
      </w:pPr>
      <w:r>
        <w:rPr>
          <w:rFonts w:ascii="Calibri" w:hAnsi="Calibri"/>
          <w:b/>
        </w:rPr>
        <w:t>Moat:</w:t>
      </w:r>
      <w:r>
        <w:rPr>
          <w:rFonts w:ascii="Calibri" w:hAnsi="Calibri"/>
        </w:rPr>
        <w:t xml:space="preserve"> Social pressure replaces credit score. Targets immigrant communities, recent grads.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My Top 3 Recommendations to Build First</w:t>
      </w:r>
    </w:p>
    <w:p>
      <w:pPr>
        <w:spacing w:after="80"/>
      </w:pPr>
      <w:r>
        <w:rPr>
          <w:rFonts w:ascii="Calibri" w:hAnsi="Calibri"/>
        </w:rPr>
        <w:t>For PalmFi specifically, given your existing tech stack: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Rank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Cash-Flow-First Loans (#2)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Already 90% built. Just toggle off credit-score requirement. Massive TAM.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Bill-Splitter B2B2C (#3)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Highest revenue per loan ($60+ merchant fee + interest). Fastest path to $1M ARR.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Income-Share Gig Loans (#1)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Strongest moat — nobody else has the cash-flow infra to do it.</w:t>
            </w:r>
          </w:p>
        </w:tc>
      </w:tr>
    </w:tbl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How to Decide</w:t>
      </w:r>
    </w:p>
    <w:p>
      <w:pPr>
        <w:spacing w:after="80"/>
      </w:pPr>
      <w:r>
        <w:rPr>
          <w:rFonts w:ascii="Calibri" w:hAnsi="Calibri"/>
          <w:b/>
        </w:rPr>
        <w:t>For lifestyle business → #2 (Bill-splitter):</w:t>
      </w:r>
      <w:r>
        <w:rPr>
          <w:rFonts w:ascii="Calibri" w:hAnsi="Calibri"/>
        </w:rPr>
        <w:t xml:space="preserve"> Highest revenue, easiest distribution via merchant partnerships.</w:t>
      </w:r>
    </w:p>
    <w:p>
      <w:pPr>
        <w:spacing w:after="80"/>
      </w:pPr>
      <w:r>
        <w:rPr>
          <w:rFonts w:ascii="Calibri" w:hAnsi="Calibri"/>
          <w:b/>
        </w:rPr>
        <w:t>For VC-backable → #1 or #3:</w:t>
      </w:r>
      <w:r>
        <w:rPr>
          <w:rFonts w:ascii="Calibri" w:hAnsi="Calibri"/>
        </w:rPr>
        <w:t xml:space="preserve"> Bigger TAM, more defensible, larger exit potential.</w:t>
      </w:r>
    </w:p>
    <w:p>
      <w:pPr>
        <w:spacing w:after="80"/>
      </w:pPr>
      <w:r>
        <w:rPr>
          <w:rFonts w:ascii="Calibri" w:hAnsi="Calibri"/>
          <w:b/>
        </w:rPr>
        <w:t>For lowest risk → #5 (Green-score) or #7 (Dynamic rate):</w:t>
      </w:r>
      <w:r>
        <w:rPr>
          <w:rFonts w:ascii="Calibri" w:hAnsi="Calibri"/>
        </w:rPr>
        <w:t xml:space="preserve"> Differentiation through brand/UX rather than novel risk-taking.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Build Order in Code (For #2 — Cash-Flow-First)</w:t>
      </w:r>
    </w:p>
    <w:p>
      <w:pPr>
        <w:spacing w:after="80"/>
      </w:pPr>
      <w:r>
        <w:rPr>
          <w:rFonts w:ascii="Calibri" w:hAnsi="Calibri"/>
        </w:rPr>
        <w:t>It’s literally three changes:</w:t>
      </w:r>
    </w:p>
    <w:p>
      <w:pPr>
        <w:pStyle w:val="ListNumber"/>
        <w:spacing w:after="40"/>
      </w:pPr>
      <w:r>
        <w:rPr>
          <w:rFonts w:ascii="Calibri" w:hAnsi="Calibri"/>
        </w:rPr>
        <w:t xml:space="preserve">Modify </w:t>
      </w:r>
      <w:r>
        <w:rPr>
          <w:rFonts w:ascii="Consolas" w:hAnsi="Consolas"/>
          <w:color w:val="E83E8C"/>
          <w:sz w:val="18"/>
        </w:rPr>
        <w:t>apply.html</w:t>
      </w:r>
      <w:r>
        <w:rPr>
          <w:rFonts w:ascii="Calibri" w:hAnsi="Calibri"/>
        </w:rPr>
        <w:t xml:space="preserve"> step 1 → make credit-score optional, mandate Plaid bank link</w:t>
      </w:r>
    </w:p>
    <w:p>
      <w:pPr>
        <w:pStyle w:val="ListNumber"/>
        <w:spacing w:after="40"/>
      </w:pPr>
      <w:r>
        <w:rPr>
          <w:rFonts w:ascii="Calibri" w:hAnsi="Calibri"/>
        </w:rPr>
        <w:t xml:space="preserve">Modify </w:t>
      </w:r>
      <w:r>
        <w:rPr>
          <w:rFonts w:ascii="Consolas" w:hAnsi="Consolas"/>
          <w:color w:val="E83E8C"/>
          <w:sz w:val="18"/>
        </w:rPr>
        <w:t>underwriting/scorer.py</w:t>
      </w:r>
      <w:r>
        <w:rPr>
          <w:rFonts w:ascii="Calibri" w:hAnsi="Calibri"/>
        </w:rPr>
        <w:t xml:space="preserve"> → if credit_score is None, weight cash-flow score at 100%</w:t>
      </w:r>
    </w:p>
    <w:p>
      <w:pPr>
        <w:pStyle w:val="ListNumber"/>
        <w:spacing w:after="40"/>
      </w:pPr>
      <w:r>
        <w:rPr>
          <w:rFonts w:ascii="Calibri" w:hAnsi="Calibri"/>
        </w:rPr>
        <w:t>Add a new landing page targeting credit-invisible audience</w:t>
      </w:r>
    </w:p>
    <w:p>
      <w:pPr>
        <w:spacing w:after="80"/>
      </w:pPr>
      <w:r>
        <w:rPr>
          <w:rFonts w:ascii="Calibri" w:hAnsi="Calibri"/>
          <w:b/>
        </w:rPr>
        <w:t>Estimated time:</w:t>
      </w:r>
      <w:r>
        <w:rPr>
          <w:rFonts w:ascii="Calibri" w:hAnsi="Calibri"/>
        </w:rPr>
        <w:t xml:space="preserve"> 1 weekend. Could be live next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