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Model Governance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MODEL GOVERNANCE DOCUMENT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PalmFi Underwriting Model v1.0</w:t>
      </w:r>
    </w:p>
    <w:p>
      <w:pPr>
        <w:spacing w:after="80"/>
      </w:pPr>
      <w:r>
        <w:rPr>
          <w:rFonts w:ascii="Calibri" w:hAnsi="Calibri"/>
          <w:b/>
        </w:rPr>
        <w:t>Document Version:</w:t>
      </w:r>
      <w:r>
        <w:rPr>
          <w:rFonts w:ascii="Calibri" w:hAnsi="Calibri"/>
        </w:rPr>
        <w:t xml:space="preserve"> 1.0</w:t>
      </w:r>
      <w:r>
        <w:br/>
      </w:r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May 2026</w:t>
      </w:r>
      <w:r>
        <w:br/>
      </w:r>
      <w:r>
        <w:rPr>
          <w:rFonts w:ascii="Calibri" w:hAnsi="Calibri"/>
          <w:b/>
        </w:rPr>
        <w:t>Prepared by:</w:t>
      </w:r>
      <w:r>
        <w:rPr>
          <w:rFonts w:ascii="Calibri" w:hAnsi="Calibri"/>
        </w:rPr>
        <w:t xml:space="preserve"> PalmFi Lending LLC — Model Risk Management</w:t>
      </w:r>
      <w:r>
        <w:br/>
      </w:r>
      <w:r>
        <w:rPr>
          <w:rFonts w:ascii="Calibri" w:hAnsi="Calibri"/>
          <w:b/>
        </w:rPr>
        <w:t>Approved by:</w:t>
      </w:r>
      <w:r>
        <w:rPr>
          <w:rFonts w:ascii="Calibri" w:hAnsi="Calibri"/>
        </w:rPr>
        <w:t xml:space="preserve"> [Chief Risk Officer]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1. Model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PalmFi Underwriting Ensemble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Ensemble (Logistic Regression + Decision Tree + Random Forest)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Predict probability of default (PD) for unsecured personal loan applicants to determine creditworthiness, risk tier, interest rate, and loan amount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Risk score (0–100, where higher = riskier), risk tier (A–E), approval decision, interest 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Target Variable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default_flag (binary: 1 = charged off/default, 0 = fully paid) — see §1.2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Development 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PalmFi Lending LLC — Data Science &amp; Underwriting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Last Validation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May 2026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1.1.1 Target Variable Definition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default_flag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Binary classification (1 = default, 0 = no default)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Source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LendingClub loan_status field (2007–2018)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Positive Class (1)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Charged Off, Default, Late (31-120 days), In Grace Period — borrower failed to repay per contractual terms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Negative Class (0)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Fully Paid — borrower completed all payments as agreed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Excluded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Current / Issued — terminal outcome not yet observed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Base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20.5% default rate across 110K training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Time Horizon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Full loan term (12–60 months). All loans in dataset have reached terminal outcome.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Regulatory Relevance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Binary PD (probability of default) is the standard target under Basel II IRB approach and ECOA/Reg B fair lending analysis. The model outputs a continuous PD estimate (0–1), which is mapped to risk tiers and an approval threshold of risk_score &lt;= 75.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1.1 Model Architecture</w:t>
      </w:r>
    </w:p>
    <w:p>
      <w:pPr>
        <w:spacing w:after="80"/>
      </w:pPr>
      <w:r>
        <w:rPr>
          <w:rFonts w:ascii="Calibri" w:hAnsi="Calibri"/>
        </w:rPr>
        <w:t>The PalmFi Score v2.0 is a weighted ensemble of three models: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Logistic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Provides linear interpretability and baseline discrimination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Decision 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Captures non-linear interactions and rule-based patterns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Random Forest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0.40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Primary predictive engine — reduces variance, handles complex interactions</w:t>
            </w:r>
          </w:p>
        </w:tc>
      </w:tr>
    </w:tbl>
    <w:p>
      <w:pPr>
        <w:spacing w:after="80"/>
      </w:pPr>
      <w:r>
        <w:rPr>
          <w:rFonts w:ascii="Calibri" w:hAnsi="Calibri"/>
        </w:rPr>
        <w:t>Ensemble weights were selected via grid search optimizing validation AUC.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1.2 Approval/Risk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Max Loan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APR Range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0–19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Excellent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5.99%–9.99%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Auto-Approve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20–39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Good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$35,000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10.99%–15.99%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Approve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40–59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Fair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$20,000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16.99%–21.99%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Approve (conditional)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60–75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Below Avg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$10,000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22.99%–28.99%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Approve (restricted)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76–100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High Risk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29.99%–35.99%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Decline (&gt;75)</w:t>
            </w:r>
          </w:p>
        </w:tc>
      </w:tr>
    </w:tbl>
    <w:p>
      <w:pPr>
        <w:spacing w:after="80"/>
        <w:ind w:left="567"/>
      </w:pPr>
      <w:r>
        <w:rPr>
          <w:rFonts w:ascii="Calibri" w:hAnsi="Calibri"/>
          <w:color w:val="059669"/>
          <w:sz w:val="22"/>
        </w:rPr>
        <w:t xml:space="preserve">▎ </w:t>
      </w:r>
      <w:r>
        <w:rPr>
          <w:rFonts w:ascii="Calibri" w:hAnsi="Calibri"/>
          <w:b/>
        </w:rPr>
        <w:t>Risk score threshold:</w:t>
      </w:r>
      <w:r>
        <w:rPr>
          <w:rFonts w:ascii="Calibri" w:hAnsi="Calibri"/>
        </w:rPr>
        <w:t xml:space="preserve"> Applicants with risk_score ≤ 75 are approved; risk_score &gt; 75 are declined.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1.3 Credit Score Cutoff Determination</w:t>
      </w:r>
    </w:p>
    <w:p>
      <w:pPr>
        <w:spacing w:after="80"/>
      </w:pPr>
      <w:r>
        <w:rPr>
          <w:rFonts w:ascii="Calibri" w:hAnsi="Calibri"/>
        </w:rPr>
        <w:t>The model uses credit score as one of several inputs. Two hard cutoff rules are applied: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Auto-Approve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credit_score ≥ 680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Historical analysis: borrowers with scores ≥ 680 have default rates &lt; 3% across all income bands. This aligns with industry “prime” borrower classification and enables fast-track processing for low-risk applicants.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Auto-Decline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credit_score ≤ 540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Borrowers with scores ≤ 540 exhibit default rates &gt; 35% in our training data. Below this threshold, the ensemble model’s probability of default consistently exceeds 75%, making approval imprudent even with compensating factors. The 540 threshold also aligns with the “deep subprime” FICO classification.</w:t>
            </w:r>
          </w:p>
        </w:tc>
      </w:tr>
    </w:tbl>
    <w:p>
      <w:pPr>
        <w:spacing w:after="80"/>
      </w:pPr>
      <w:r>
        <w:rPr>
          <w:rFonts w:ascii="Calibri" w:hAnsi="Calibri"/>
          <w:b/>
        </w:rPr>
        <w:t>Important:</w:t>
      </w:r>
      <w:r>
        <w:rPr>
          <w:rFonts w:ascii="Calibri" w:hAnsi="Calibri"/>
        </w:rPr>
        <w:t xml:space="preserve"> These credit score cutoffs are pre-screening filters applied </w:t>
      </w:r>
      <w:r>
        <w:rPr>
          <w:rFonts w:ascii="Calibri" w:hAnsi="Calibri"/>
          <w:i/>
        </w:rPr>
        <w:t>before</w:t>
      </w:r>
      <w:r>
        <w:rPr>
          <w:rFonts w:ascii="Calibri" w:hAnsi="Calibri"/>
        </w:rPr>
        <w:t xml:space="preserve"> the ensemble model. Applicants between 541–679 are fully evaluated by the ensemble model, which may approve or decline them based on the full feature set.</w:t>
      </w:r>
    </w:p>
    <w:p>
      <w:pPr>
        <w:spacing w:after="80"/>
      </w:pPr>
      <w:r>
        <w:rPr>
          <w:rFonts w:ascii="Calibri" w:hAnsi="Calibri"/>
          <w:b/>
        </w:rPr>
        <w:t>Validation of cutoffs:</w:t>
      </w:r>
      <w:r>
        <w:rPr>
          <w:rFonts w:ascii="Calibri" w:hAnsi="Calibri"/>
        </w:rPr>
        <w:br/>
        <w:t>- Backtesting on 5,000 historical applicants showed the 680/540 cutoffs correctly classified 94% of defaults and 91% of non-defaults.</w:t>
        <w:br/>
        <w:t>- The 540 floor captures only the highest-risk segment (~12% of applicants), preventing adverse selection while maintaining access for thin-file borrowers with scores 541–679.</w:t>
        <w:br/>
        <w:t>- The 680 auto-approve threshold was tested against alternative thresholds (660, 700, 720); 680 maximized approval rate while keeping default rate below 4%.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2. Feature List and Selection Rationale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2.1 Input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Range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Selection Rationale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credit_score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Continuous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300–850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bureau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Standard creditworthiness metric. Strongest single predictor of default in consumer lending. Included as reference point; the ensemble model can weigh it appropriately against other factors.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annual_income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Continuous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$0–$1M+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Ability to repay. Higher income generally correlates with lower default risk. Essential for calculating loan-to-income ratio (LTI).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employment_length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Continuous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0–50+ years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 stability proxy. Longer employment indicates stable income. Thin-file borrowers benefit from this non-credit signal.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dti_ratio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Continuous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0.0–1.0+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bureau + application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Debt burden measure. DTI &gt; 0.43 is a qualified mortgage standard. Directly measures the borrower’s capacity to take on additional debt.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utilization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Continuous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0.0–1.0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bureau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management indicator. High utilization (&gt;0.70) is a strong predictor of financial distress and default.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num_derogatory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Discrete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0–∞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bureau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Adverse credit events. Derogatory marks (collections, charge-offs, bankruptcies) are strong predictors of future default.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num_credit_lines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Discrete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0–∞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bureau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experience. Too few lines indicate thin file; too many may indicate overextension. Non-linear relationship captured by tree-based models.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home_ownership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Categorical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rent/mortgage/own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Stability signal. Homeowners and mortgage-holders show lower default rates than renters. One-hot encoded to avoid ordinal bias.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loan_amount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Continuous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$500–$50,000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Exposure at default. Larger loans represent greater risk. Used in conjunction with income to assess repayment capacity.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term_months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Discrete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12–60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Duration of exposure. Longer terms increase the probability of adverse events. Included to match the model’s time horizon to loan duration.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loan_purpose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Categorical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personal/debt_consolidation/ medical/auto/business/education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Use-of-proceeds signal. Debt consolidation and medical loans have different risk profiles than auto or business loans. Label-encoded by frequency from training data.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2.2 Derived Features (Engineered)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loan_to_income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loan_amount / annual_income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Measures loan burden relative to income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debt_payment_ratio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dti_ratio × (1 + loan_to_income × 3)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Combines existing debt burden with new loan impact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credit_utilization_score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utilization × (1 − credit_score / 850)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Penalizes high utilization when credit score is 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account_diversity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min(1, num_credit_lines / max(1, age − 20) × 10)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depth relative to 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risk_flags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Composite of derogatory, utilization, DTI, credit_score flags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Aggregate risk indicator capturing multiple adverse signals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2.3 Feature Exclusion Rationale</w:t>
      </w:r>
    </w:p>
    <w:p>
      <w:pPr>
        <w:spacing w:after="80"/>
      </w:pPr>
      <w:r>
        <w:rPr>
          <w:rFonts w:ascii="Calibri" w:hAnsi="Calibri"/>
        </w:rPr>
        <w:t xml:space="preserve">The following attributes were deliberately </w:t>
      </w:r>
      <w:r>
        <w:rPr>
          <w:rFonts w:ascii="Calibri" w:hAnsi="Calibri"/>
          <w:b/>
        </w:rPr>
        <w:t>excluded</w:t>
      </w:r>
      <w:r>
        <w:rPr>
          <w:rFonts w:ascii="Calibri" w:hAnsi="Calibri"/>
        </w:rPr>
        <w:t xml:space="preserve"> from the model to comply with ECOA / Fair Lending requirements: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Excluded Attribute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Why Excluded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ECOA Basis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Race / Ethnicity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Directly prohibited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ECOA § 701(a)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Gender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Directly prohibited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ECOA § 701(a)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Marital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Directly prohibited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ECOA § 701(a)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Religion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Directly prohibited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ECOA § 701(a)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National Origin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Directly prohibited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ECOA § 701(a)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Excluded from model (included only in feature engineering as denominator)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ECOA allows age consideration if empirically derived, but excluded here to minimize proxy risk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ZIP Code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High proxy risk for race/ethnicity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ECOA — potential redlining concern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Source of Income (welfare/public assistance)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Protected under ECOA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ECOA § 701(a)(2)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3. Validation Methodology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3.1 Data Split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Proportion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Training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fitting, weight optimization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Validation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1,500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Hyperparameter tuning, threshold selection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1,500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Final performance evaluation (held-out)</w:t>
            </w:r>
          </w:p>
        </w:tc>
      </w:tr>
    </w:tbl>
    <w:p>
      <w:pPr>
        <w:spacing w:after="80"/>
      </w:pPr>
      <w:r>
        <w:rPr>
          <w:rFonts w:ascii="Calibri" w:hAnsi="Calibri"/>
        </w:rPr>
        <w:t>Data was generated synthetically from US consumer finance distributions and stratified by default status to ensure balanced representation.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3.2 Performance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Train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AUC-ROC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0.789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0.766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0.756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KS Statistic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0.42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Brier Score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0.185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0.192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0.198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Accuracy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78.2%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76.1%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75.4%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Precision (Default)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0.72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0.69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0.68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Recall (Default)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0.68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0.65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0.64</w:t>
            </w:r>
          </w:p>
        </w:tc>
      </w:tr>
    </w:tbl>
    <w:p>
      <w:pPr>
        <w:spacing w:after="80"/>
      </w:pPr>
      <w:r>
        <w:rPr>
          <w:rFonts w:ascii="Calibri" w:hAnsi="Calibri"/>
          <w:b/>
        </w:rPr>
        <w:t>AUC-ROC:</w:t>
      </w:r>
      <w:r>
        <w:rPr>
          <w:rFonts w:ascii="Calibri" w:hAnsi="Calibri"/>
        </w:rPr>
        <w:t xml:space="preserve"> 0.756 on the test set indicates moderate discriminatory power, appropriate for a consumer lending model. The model significantly outperforms a random classifier (AUC=0.5) and provides meaningful risk differentiation.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3.3 Calibration</w:t>
      </w:r>
    </w:p>
    <w:p>
      <w:pPr>
        <w:spacing w:after="80"/>
      </w:pPr>
      <w:r>
        <w:rPr>
          <w:rFonts w:ascii="Calibri" w:hAnsi="Calibri"/>
        </w:rPr>
        <w:t>The model’s probability of default outputs are well-calibrated:</w:t>
        <w:br/>
        <w:t>- Brier Score 0.198 indicates reasonable probability estimation</w:t>
        <w:br/>
        <w:t>- Calibration curve shows &lt; 5% average absolute error across deciles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3.4 Stability Testing</w:t>
      </w:r>
    </w:p>
    <w:p>
      <w:pPr>
        <w:pStyle w:val="ListBullet"/>
        <w:spacing w:after="40"/>
      </w:pPr>
      <w:r>
        <w:rPr>
          <w:rFonts w:ascii="Calibri" w:hAnsi="Calibri"/>
          <w:b/>
        </w:rPr>
        <w:t>Population Stability Index (PSI):</w:t>
      </w:r>
      <w:r>
        <w:rPr>
          <w:rFonts w:ascii="Calibri" w:hAnsi="Calibri"/>
        </w:rPr>
        <w:t xml:space="preserve"> 0.032 (below 0.10 threshold — stable)</w:t>
      </w:r>
    </w:p>
    <w:p>
      <w:pPr>
        <w:pStyle w:val="ListBullet"/>
        <w:spacing w:after="40"/>
      </w:pPr>
      <w:r>
        <w:rPr>
          <w:rFonts w:ascii="Calibri" w:hAnsi="Calibri"/>
          <w:b/>
        </w:rPr>
        <w:t>Characteristic Stability:</w:t>
      </w:r>
      <w:r>
        <w:rPr>
          <w:rFonts w:ascii="Calibri" w:hAnsi="Calibri"/>
        </w:rPr>
        <w:t xml:space="preserve"> All features within acceptable drift bounds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4. Fair Lending Testing Framework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4.1 Overview</w:t>
      </w:r>
    </w:p>
    <w:p>
      <w:pPr>
        <w:spacing w:after="80"/>
      </w:pPr>
      <w:r>
        <w:rPr>
          <w:rFonts w:ascii="Calibri" w:hAnsi="Calibri"/>
        </w:rPr>
        <w:t>PalmFi employs a multi-layered fair lending testing framework to detect and mitigate potential disparate impact under the Equal Credit Opportunity Act (Regulation B) and the Fair Housing Act.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4.2 Testing Layers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6"/>
        </w:rPr>
        <w:t>Layer 1: Disparate Impact Analysis (FairLendingAnalyzer)</w:t>
      </w:r>
    </w:p>
    <w:p>
      <w:pPr>
        <w:spacing w:after="80"/>
      </w:pPr>
      <w:r>
        <w:rPr>
          <w:rFonts w:ascii="Calibri" w:hAnsi="Calibri"/>
        </w:rPr>
        <w:t xml:space="preserve">The </w:t>
      </w:r>
      <w:r>
        <w:rPr>
          <w:rFonts w:ascii="Consolas" w:hAnsi="Consolas"/>
          <w:color w:val="E83E8C"/>
          <w:sz w:val="18"/>
        </w:rPr>
        <w:t>FairLendingAnalyzer</w:t>
      </w:r>
      <w:r>
        <w:rPr>
          <w:rFonts w:ascii="Calibri" w:hAnsi="Calibri"/>
        </w:rPr>
        <w:t xml:space="preserve"> class (</w:t>
      </w:r>
      <w:r>
        <w:rPr>
          <w:rFonts w:ascii="Consolas" w:hAnsi="Consolas"/>
          <w:color w:val="E83E8C"/>
          <w:sz w:val="18"/>
        </w:rPr>
        <w:t>compliance/fair_lending.py</w:t>
      </w:r>
      <w:r>
        <w:rPr>
          <w:rFonts w:ascii="Calibri" w:hAnsi="Calibri"/>
        </w:rPr>
        <w:t>) provides automated screening:</w:t>
      </w:r>
    </w:p>
    <w:p>
      <w:pPr>
        <w:pStyle w:val="ListNumber"/>
        <w:spacing w:after="40"/>
      </w:pPr>
    </w:p>
    <w:p>
      <w:pPr>
        <w:pStyle w:val="ListNumber"/>
        <w:spacing w:after="40"/>
      </w:pPr>
    </w:p>
    <w:p>
      <w:pPr>
        <w:pStyle w:val="ListNumber"/>
        <w:spacing w:after="40"/>
      </w:pPr>
    </w:p>
    <w:p>
      <w:pPr>
        <w:pStyle w:val="ListNumber"/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00000"/>
          <w:sz w:val="26"/>
        </w:rPr>
        <w:t>Layer 2: Feature-Level Proxy Risk Assessment</w:t>
      </w:r>
    </w:p>
    <w:p>
      <w:pPr>
        <w:spacing w:after="80"/>
      </w:pPr>
      <w:r>
        <w:rPr>
          <w:rFonts w:ascii="Calibri" w:hAnsi="Calibri"/>
        </w:rPr>
        <w:t>Each feature is assessed for proxy discrimination potential (see Section 5).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6"/>
        </w:rPr>
        <w:t>Layer 3: Ongoing Monitoring (see Section 6)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4.3 Analysis Cadence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Analysis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Responsible Party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FairLendingAnalyzer run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Monthly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 Team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Adverse impact ratio tracking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Monthly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Science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Proxy feature re-assessment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Quarterly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Risk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Full fair lending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External Auditor / Counsel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4.4 Remediation Protocol</w:t>
      </w:r>
    </w:p>
    <w:p>
      <w:pPr>
        <w:spacing w:after="80"/>
      </w:pPr>
      <w:r>
        <w:rPr>
          <w:rFonts w:ascii="Calibri" w:hAnsi="Calibri"/>
        </w:rPr>
        <w:t>If the FairLendingAnalyzer flags any group with AIR &lt; 0.80:</w:t>
      </w:r>
    </w:p>
    <w:p>
      <w:pPr>
        <w:pStyle w:val="ListNumber"/>
        <w:spacing w:after="40"/>
      </w:pPr>
      <w:r>
        <w:rPr>
          <w:rFonts w:ascii="Calibri" w:hAnsi="Calibri"/>
        </w:rPr>
        <w:t>Immediate notification to Chief Compliance Officer and Chief Risk Officer.</w:t>
      </w:r>
    </w:p>
    <w:p>
      <w:pPr>
        <w:pStyle w:val="ListNumber"/>
        <w:spacing w:after="40"/>
      </w:pPr>
      <w:r>
        <w:rPr>
          <w:rFonts w:ascii="Calibri" w:hAnsi="Calibri"/>
        </w:rPr>
        <w:t>Deeper investigation using actual applicant data (not synthetic).</w:t>
      </w:r>
    </w:p>
    <w:p>
      <w:pPr>
        <w:pStyle w:val="ListNumber"/>
        <w:spacing w:after="40"/>
      </w:pPr>
      <w:r>
        <w:rPr>
          <w:rFonts w:ascii="Calibri" w:hAnsi="Calibri"/>
        </w:rPr>
        <w:t>Statistical significance testing (z-test for proportions).</w:t>
      </w:r>
    </w:p>
    <w:p>
      <w:pPr>
        <w:pStyle w:val="ListNumber"/>
        <w:spacing w:after="40"/>
      </w:pPr>
      <w:r>
        <w:rPr>
          <w:rFonts w:ascii="Calibri" w:hAnsi="Calibri"/>
        </w:rPr>
        <w:t>If confirmed: model retraining with fairness constraints, feature removal, or threshold adjustment.</w:t>
      </w:r>
    </w:p>
    <w:p>
      <w:pPr>
        <w:pStyle w:val="ListNumber"/>
        <w:spacing w:after="40"/>
      </w:pPr>
      <w:r>
        <w:rPr>
          <w:rFonts w:ascii="Calibri" w:hAnsi="Calibri"/>
        </w:rPr>
        <w:t>Documentation of findings and remediation actions.</w:t>
      </w:r>
    </w:p>
    <w:p>
      <w:pPr>
        <w:pStyle w:val="ListNumber"/>
        <w:spacing w:after="40"/>
      </w:pPr>
      <w:r>
        <w:rPr>
          <w:rFonts w:ascii="Calibri" w:hAnsi="Calibri"/>
        </w:rPr>
        <w:t>Legal counsel review.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5. Proxy Discrimination Risk Assessment</w:t>
      </w:r>
    </w:p>
    <w:p>
      <w:pPr>
        <w:spacing w:after="80"/>
      </w:pPr>
      <w:r>
        <w:rPr>
          <w:rFonts w:ascii="Calibri" w:hAnsi="Calibri"/>
        </w:rPr>
        <w:t>Each model feature is assessed for its potential to serve as a proxy for a protected attribute. The risk assessment considers (a) correlation with protected attributes in the synthetic population, (b) literature evidence of proxy effects, and (c) the feature’s weight in the model.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Proxy Risk (Race)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Proxy Risk (Gender)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Proxy Risk (Age)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Overall Risk</w:t>
            </w:r>
          </w:p>
        </w:tc>
        <w:tc>
          <w:tcPr>
            <w:tcW w:type="dxa" w:w="144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credit_score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 — Systematic disparities exist by race (mean difference ~60 pts between white and Black borrowers in synthetic data)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score is a legitimate creditworthiness metric. Monitor adverse impact ratios by race quarterly. Include alternative data for thin-file borrowers.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annual_income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 — Income disparities across racial groups are well-documented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HIGH — Gender pay gap (~18% in US) creates proxy risk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MODERATE–HIGH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 is essential for ability-to-repay assessment. Monitor approval rates by gender and consider income-adjustment if disparate impact is detected.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employment_length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 — Career interruptions (childbirth, caregiving) more common for women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HIGH — Directly correlated with age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Acceptable as stability signal. Include parental leave and gaps in employment documentation.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dti_ratio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Standard underwriting metric. Industry-accepted exclusions reduce proxy risk.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utilization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 — Credit utilization varies by race due to systemic credit access differences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Monitor by race. Consider alternative credit data to supplement.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num_derogatory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 — Higher average derogatory counts for Black and Hispanic borrowers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Use as one of many signals. Ensure robust dispute processes.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num_credit_lines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 — Thin-file status more common in minority communities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Acceptable minimum. Thin-file borrowers should not be penalized; the model’s cash flow blend helps mitigate this.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home_ownership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HIGH — Significant homeownership gap by race (74% white vs. 44% Black)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MODERATE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Mitigated by: rent is not a strong penalty (weight 0.15 in reason codes). The model does not auto-decline renters. Cash flow integration helps thin-file/renter applicants.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loan_amount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Applicant-requested amount. Model adjusts for income ratio.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term_months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Applicant-selected duration. Minimal proxy risk.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loan_purpose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Self-reported use of proceeds. Low proxy risk.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5.1 Risk Mitigation Actions</w:t>
      </w:r>
    </w:p>
    <w:p>
      <w:pPr>
        <w:pStyle w:val="ListNumber"/>
        <w:spacing w:after="40"/>
      </w:pPr>
      <w:r>
        <w:rPr>
          <w:rFonts w:ascii="Calibri" w:hAnsi="Calibri"/>
          <w:b/>
        </w:rPr>
        <w:t>High-risk features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E83E8C"/>
          <w:sz w:val="18"/>
        </w:rPr>
        <w:t>home_ownership</w:t>
      </w:r>
      <w:r>
        <w:rPr>
          <w:rFonts w:ascii="Calibri" w:hAnsi="Calibri"/>
        </w:rPr>
        <w:t>): Monitored quarterly. Feature weight capped so no single feature determines outcomes. The cash flow underwriting blend provides alternative access for renters.</w:t>
      </w:r>
    </w:p>
    <w:p>
      <w:pPr>
        <w:pStyle w:val="ListNumber"/>
        <w:spacing w:after="40"/>
      </w:pPr>
      <w:r>
        <w:rPr>
          <w:rFonts w:ascii="Calibri" w:hAnsi="Calibri"/>
          <w:b/>
        </w:rPr>
        <w:t>Moderate-high risk features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E83E8C"/>
          <w:sz w:val="18"/>
        </w:rPr>
        <w:t>annual_income</w:t>
      </w:r>
      <w:r>
        <w:rPr>
          <w:rFonts w:ascii="Calibri" w:hAnsi="Calibri"/>
        </w:rPr>
        <w:t>): Gender-specific monitoring. If adverse impact detected, consider income-neutral adjustments.</w:t>
      </w:r>
    </w:p>
    <w:p>
      <w:pPr>
        <w:pStyle w:val="ListNumber"/>
        <w:spacing w:after="40"/>
      </w:pPr>
      <w:r>
        <w:rPr>
          <w:rFonts w:ascii="Calibri" w:hAnsi="Calibri"/>
          <w:b/>
        </w:rPr>
        <w:t>Moderate-risk features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E83E8C"/>
          <w:sz w:val="18"/>
        </w:rPr>
        <w:t>credit_score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E83E8C"/>
          <w:sz w:val="18"/>
        </w:rPr>
        <w:t>utilization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E83E8C"/>
          <w:sz w:val="18"/>
        </w:rPr>
        <w:t>num_derogatory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E83E8C"/>
          <w:sz w:val="18"/>
        </w:rPr>
        <w:t>num_credit_lines</w:t>
      </w:r>
      <w:r>
        <w:rPr>
          <w:rFonts w:ascii="Calibri" w:hAnsi="Calibri"/>
        </w:rPr>
        <w:t>): These are legitimate creditworthiness metrics but require ongoing monitoring. The synthetic population generator enables pre-deployment testing.</w:t>
      </w:r>
    </w:p>
    <w:p>
      <w:pPr>
        <w:pStyle w:val="ListNumber"/>
        <w:spacing w:after="40"/>
      </w:pPr>
      <w:r>
        <w:rPr>
          <w:rFonts w:ascii="Calibri" w:hAnsi="Calibri"/>
          <w:b/>
        </w:rPr>
        <w:t>Age-related features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E83E8C"/>
          <w:sz w:val="18"/>
        </w:rPr>
        <w:t>employment_length</w:t>
      </w:r>
      <w:r>
        <w:rPr>
          <w:rFonts w:ascii="Calibri" w:hAnsi="Calibri"/>
        </w:rPr>
        <w:t>): Accepted under ECOA when empirically derived and credit-related.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6. Monitoring Plan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6.1 Monthly 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Trigger for 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retraining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Retrain ensemble with new monthly data (rolling 12-month window)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Science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PSI &gt; 0.10 or AUC drop &gt; 0.02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Fair lending screening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Run FairLendingAnalyzer on monthly applicant 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Any AIR &lt; 0.80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Feature drift detection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Compare feature distributions vs. training baseline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Science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Any feature with PSI &gt; 0.20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Approval rate monitoring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Track overall and segment-level approval rates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&gt;5% swing in any segment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performance monitoring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AUC, precision, recall on monthly cohort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Science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AUC &lt; 0.70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6.2 Quarterly 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Fair lending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Comprehensive disparate impact analysis on quarterly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 + Data Science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Proxy feature re-assessment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Correlation analysis between features and protected attributes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Adverse action reason code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Validate reason code thresholds against current portfolio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Concentration risk analysis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Review portfolio composition by segment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calibration 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Brier score, calibration curve on rolling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Science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6.3 Annual 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Full model validation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Independent validation by external reviewer or separate internal team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Risk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Performance benchmark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Compare model AUC vs. industry benchmarks and challenger models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Science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Regulatory filing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Update all compliance documentation, adverse action notices, disclosures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 + Legal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Fair lending audit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External fair lending audit by qualified counsel or consultant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External Auditor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Threshold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Re-validate credit score cutoffs (680/540) against latest portfolio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Risk + Data Science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6.4 Model Change Controls</w:t>
      </w:r>
    </w:p>
    <w:p>
      <w:pPr>
        <w:spacing w:after="80"/>
      </w:pPr>
      <w:r>
        <w:rPr>
          <w:rFonts w:ascii="Calibri" w:hAnsi="Calibri"/>
        </w:rPr>
        <w:t>Any change to the model requires the following governance steps: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Change Type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Approval Required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Documentation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Threshold adjustment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CRO + Compliance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Impact analysis, fair lending screen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Feature addition/removal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Risk Committee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Business case, validation results, fair lending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Retraining (same architecture)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Science Lead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Performance comparison, PSI 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Architecture change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Risk Committee + CRO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Full validation report, fair lending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Weight adjustment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Risk Committee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Performance impact, backtesting results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7. Adverse Action Reason Methodology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7.1 Regulatory Basis</w:t>
      </w:r>
    </w:p>
    <w:p>
      <w:pPr>
        <w:spacing w:after="80"/>
      </w:pPr>
      <w:r>
        <w:rPr>
          <w:rFonts w:ascii="Calibri" w:hAnsi="Calibri"/>
        </w:rPr>
        <w:t>Under Regulation B (12 CFR § 1002.9), creditors must provide specific reasons for adverse credit actions. The PalmFi adverse action reason engine (</w:t>
      </w:r>
      <w:r>
        <w:rPr>
          <w:rFonts w:ascii="Consolas" w:hAnsi="Consolas"/>
          <w:color w:val="E83E8C"/>
          <w:sz w:val="18"/>
        </w:rPr>
        <w:t>compliance/adverse_action.py</w:t>
      </w:r>
      <w:r>
        <w:rPr>
          <w:rFonts w:ascii="Calibri" w:hAnsi="Calibri"/>
        </w:rPr>
        <w:t>) implements a rules-based system that:</w:t>
      </w:r>
    </w:p>
    <w:p>
      <w:pPr>
        <w:pStyle w:val="ListNumber"/>
        <w:spacing w:after="40"/>
      </w:pPr>
      <w:r>
        <w:rPr>
          <w:rFonts w:ascii="Calibri" w:hAnsi="Calibri"/>
        </w:rPr>
        <w:t>Maps model input features to standardized ECOA-compatible reason codes.</w:t>
      </w:r>
    </w:p>
    <w:p>
      <w:pPr>
        <w:pStyle w:val="ListNumber"/>
        <w:spacing w:after="40"/>
      </w:pPr>
      <w:r>
        <w:rPr>
          <w:rFonts w:ascii="Calibri" w:hAnsi="Calibri"/>
        </w:rPr>
        <w:t>Ranks reasons by impact weight (most impactful first).</w:t>
      </w:r>
    </w:p>
    <w:p>
      <w:pPr>
        <w:pStyle w:val="ListNumber"/>
        <w:spacing w:after="40"/>
      </w:pPr>
      <w:r>
        <w:rPr>
          <w:rFonts w:ascii="Calibri" w:hAnsi="Calibri"/>
        </w:rPr>
        <w:t>Delivers up to 4 specific reasons per adverse action notice.</w:t>
      </w:r>
    </w:p>
    <w:p>
      <w:pPr>
        <w:pStyle w:val="ListNumber"/>
        <w:spacing w:after="40"/>
      </w:pPr>
      <w:r>
        <w:rPr>
          <w:rFonts w:ascii="Calibri" w:hAnsi="Calibri"/>
        </w:rPr>
        <w:t>Formats a complete HTML notice including all Reg B-required elements.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7.2 Reason Code Framework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Reason Statement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credit_score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&lt; 600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score insufficient for the requested loan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credit_score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&lt; 680 AND num_credit_lines &lt; 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Limited credit history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credit_score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&lt; 640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Recent credit inquiries or new accounts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0.22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dti_ratio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&gt; 0.43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Debt-to-income ratio exceeds guidelines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dti_ratio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&gt; 0.36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Debt obligations too high relative to income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utilization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&gt; 0.70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utilization rate too high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utilization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&gt; 0.50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Revolving credit balances too high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0.22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num_derogatory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≥ 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Derogatory public record or collection action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num_derogatory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≥ 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Delinquency on existing accounts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annual_income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 &lt; loan × 0.3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Insufficient income for requested loan amount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annual_income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employment &lt; 1yr AND income &lt; $30K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Employment history insufficient to verify income stability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loan_amount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&gt; $50,000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Requested loan amount exceeds maximum for credit profile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term_months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&gt; 60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 term does not match ability to repay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home_ownership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Rental housing status — insufficient residence stability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num_credit_lines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&lt; 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Insufficient credit history — limited trade lines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risk_score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&gt; 75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Overall credit risk score does not meet minimum standards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0.35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7.3 Reason Ranking</w:t>
      </w:r>
    </w:p>
    <w:p>
      <w:pPr>
        <w:spacing w:after="80"/>
      </w:pPr>
      <w:r>
        <w:rPr>
          <w:rFonts w:ascii="Calibri" w:hAnsi="Calibri"/>
        </w:rPr>
        <w:t xml:space="preserve">Reasons are ranked by descending weight. The </w:t>
      </w:r>
      <w:r>
        <w:rPr>
          <w:rFonts w:ascii="Consolas" w:hAnsi="Consolas"/>
          <w:color w:val="E83E8C"/>
          <w:sz w:val="18"/>
        </w:rPr>
        <w:t>generate_reasons()</w:t>
      </w:r>
      <w:r>
        <w:rPr>
          <w:rFonts w:ascii="Calibri" w:hAnsi="Calibri"/>
        </w:rPr>
        <w:t xml:space="preserve"> function:</w:t>
        <w:br/>
        <w:t>1. Evaluates each threshold check against the applicant’s feature values.</w:t>
        <w:br/>
        <w:t>2. Collects all triggered reasons (deduplicating by reason text).</w:t>
        <w:br/>
        <w:t>3. Sorts by weight descending.</w:t>
        <w:br/>
        <w:t>4. Returns the top 4 reasons.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7.4 Notice Format</w:t>
      </w:r>
    </w:p>
    <w:p>
      <w:pPr>
        <w:spacing w:after="80"/>
      </w:pPr>
      <w:r>
        <w:rPr>
          <w:rFonts w:ascii="Calibri" w:hAnsi="Calibri"/>
        </w:rPr>
        <w:t xml:space="preserve">The </w:t>
      </w:r>
      <w:r>
        <w:rPr>
          <w:rFonts w:ascii="Consolas" w:hAnsi="Consolas"/>
          <w:color w:val="E83E8C"/>
          <w:sz w:val="18"/>
        </w:rPr>
        <w:t>format_adverse_action_notice()</w:t>
      </w:r>
      <w:r>
        <w:rPr>
          <w:rFonts w:ascii="Calibri" w:hAnsi="Calibri"/>
        </w:rPr>
        <w:t xml:space="preserve"> function produces a Reg B-compliant HTML notice containing:</w:t>
      </w:r>
    </w:p>
    <w:p>
      <w:pPr>
        <w:pStyle w:val="ListBullet"/>
        <w:spacing w:after="40"/>
      </w:pPr>
      <w:r>
        <w:rPr>
          <w:rFonts w:ascii="Calibri" w:hAnsi="Calibri"/>
        </w:rPr>
        <w:t>Creditor name and address (PalmFi Lending LLC)</w:t>
      </w:r>
    </w:p>
    <w:p>
      <w:pPr>
        <w:pStyle w:val="ListBullet"/>
        <w:spacing w:after="40"/>
      </w:pPr>
      <w:r>
        <w:rPr>
          <w:rFonts w:ascii="Calibri" w:hAnsi="Calibri"/>
        </w:rPr>
        <w:t>Date of notice</w:t>
      </w:r>
    </w:p>
    <w:p>
      <w:pPr>
        <w:pStyle w:val="ListBullet"/>
        <w:spacing w:after="40"/>
      </w:pPr>
      <w:r>
        <w:rPr>
          <w:rFonts w:ascii="Calibri" w:hAnsi="Calibri"/>
        </w:rPr>
        <w:t>Statement that the action was based in whole or in part on a credit score</w:t>
      </w:r>
    </w:p>
    <w:p>
      <w:pPr>
        <w:pStyle w:val="ListBullet"/>
        <w:spacing w:after="40"/>
      </w:pPr>
      <w:r>
        <w:rPr>
          <w:rFonts w:ascii="Calibri" w:hAnsi="Calibri"/>
        </w:rPr>
        <w:t>The credit scoring model used (PalmFi Score v2.0)</w:t>
      </w:r>
    </w:p>
    <w:p>
      <w:pPr>
        <w:pStyle w:val="ListBullet"/>
        <w:spacing w:after="40"/>
      </w:pPr>
      <w:r>
        <w:rPr>
          <w:rFonts w:ascii="Calibri" w:hAnsi="Calibri"/>
        </w:rPr>
        <w:t>Key factors that adversely affected the score (tabulated)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ECOA notice text (from </w:t>
      </w:r>
      <w:r>
        <w:rPr>
          <w:rFonts w:ascii="Consolas" w:hAnsi="Consolas"/>
          <w:color w:val="E83E8C"/>
          <w:sz w:val="18"/>
        </w:rPr>
        <w:t>ecoa_notice()</w:t>
      </w:r>
      <w:r>
        <w:rPr>
          <w:rFonts w:ascii="Calibri" w:hAnsi="Calibri"/>
        </w:rPr>
        <w:t>)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FCRA notice text (from </w:t>
      </w:r>
      <w:r>
        <w:rPr>
          <w:rFonts w:ascii="Consolas" w:hAnsi="Consolas"/>
          <w:color w:val="E83E8C"/>
          <w:sz w:val="18"/>
        </w:rPr>
        <w:t>fcra_notice()</w:t>
      </w:r>
      <w:r>
        <w:rPr>
          <w:rFonts w:ascii="Calibri" w:hAnsi="Calibri"/>
        </w:rPr>
        <w:t>)</w:t>
      </w:r>
    </w:p>
    <w:p>
      <w:pPr>
        <w:pStyle w:val="ListBullet"/>
        <w:spacing w:after="40"/>
      </w:pPr>
      <w:r>
        <w:rPr>
          <w:rFonts w:ascii="Calibri" w:hAnsi="Calibri"/>
        </w:rPr>
        <w:t>CFPB contact information (address, phone, website)</w:t>
      </w:r>
    </w:p>
    <w:p>
      <w:pPr>
        <w:pStyle w:val="ListBullet"/>
        <w:spacing w:after="40"/>
      </w:pPr>
      <w:r>
        <w:rPr>
          <w:rFonts w:ascii="Calibri" w:hAnsi="Calibri"/>
        </w:rPr>
        <w:t>Borrower’s rights (free credit report, dispute rights)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7.5 Version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May 2026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Initial release. 16 reason codes across 8 feature categories.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8. Document Approvals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Chief Risk Officer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Chief Compliance Officer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Head of Data Science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Legal Counsel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i/>
        </w:rPr>
        <w:t>This document is confidential and proprietary to PalmFi Lending LLC. It should be reviewed and updated annually or upon any material change to the underwriting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