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Model Validation Report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SunCredit Underwriting Model — Real Data Validation Report</w:t>
      </w:r>
    </w:p>
    <w:p>
      <w:pPr>
        <w:spacing w:after="80"/>
      </w:pPr>
      <w:r>
        <w:rPr>
          <w:rFonts w:ascii="Calibri" w:hAnsi="Calibri"/>
          <w:b/>
        </w:rPr>
        <w:t>Date:</w:t>
      </w:r>
      <w:r>
        <w:rPr>
          <w:rFonts w:ascii="Calibri" w:hAnsi="Calibri"/>
        </w:rPr>
        <w:t xml:space="preserve"> May 9, 2026</w:t>
        <w:br/>
      </w:r>
      <w:r>
        <w:rPr>
          <w:rFonts w:ascii="Calibri" w:hAnsi="Calibri"/>
          <w:b/>
        </w:rPr>
        <w:t>Prepared for:</w:t>
      </w:r>
      <w:r>
        <w:rPr>
          <w:rFonts w:ascii="Calibri" w:hAnsi="Calibri"/>
        </w:rPr>
        <w:t xml:space="preserve"> Bank Partnership Due Diligence &amp; Model Governance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Executive Summary</w:t>
      </w:r>
    </w:p>
    <w:p>
      <w:pPr>
        <w:spacing w:after="80"/>
      </w:pPr>
      <w:r>
        <w:rPr>
          <w:rFonts w:ascii="Calibri" w:hAnsi="Calibri"/>
        </w:rPr>
        <w:t xml:space="preserve">SunCredit’s underwriting model has been </w:t>
      </w:r>
      <w:r>
        <w:rPr>
          <w:rFonts w:ascii="Calibri" w:hAnsi="Calibri"/>
          <w:b/>
        </w:rPr>
        <w:t>re-trained on 110,000 real LendingClub loan records</w:t>
      </w:r>
      <w:r>
        <w:rPr>
          <w:rFonts w:ascii="Calibri" w:hAnsi="Calibri"/>
        </w:rPr>
        <w:t xml:space="preserve"> (2007-2018), replacing the previous synthetic-only training data. The model achieves: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Test AUC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0.666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Validation AUC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0.670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Data Source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LendingClub (real unsecured personal loans)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Training Samples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50,000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Total Available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110,000 (train + val + test)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Default Rate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20.5%</w:t>
            </w:r>
          </w:p>
        </w:tc>
      </w:tr>
    </w:tbl>
    <w:p>
      <w:pPr>
        <w:spacing w:after="80"/>
        <w:ind w:left="567"/>
      </w:pPr>
      <w:r>
        <w:rPr>
          <w:rFonts w:ascii="Calibri" w:hAnsi="Calibri"/>
          <w:color w:val="059669"/>
          <w:sz w:val="22"/>
        </w:rPr>
        <w:t xml:space="preserve">▎ </w:t>
      </w:r>
      <w:r>
        <w:rPr>
          <w:rFonts w:ascii="Calibri" w:hAnsi="Calibri"/>
          <w:b/>
        </w:rPr>
        <w:t>Interpretation:</w:t>
      </w:r>
      <w:r>
        <w:rPr>
          <w:rFonts w:ascii="Calibri" w:hAnsi="Calibri"/>
        </w:rPr>
        <w:t xml:space="preserve"> AUC 0.666 is in line with typical simple models on LendingClub data. LendingClub borrowers are predominantly prime-quality (mean credit score 694, range 660-845), making default prediction inherently difficult. The model successfully rank-orders risk but cannot achieve clean separation — this is expected and well-documented in academic literature.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Target Variable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Variable 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default_flag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Definition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Binary indicator: 1 = borrower charged off / defaulted on the loan (i.e., failed to repay per terms), 0 = loan fully paid as agreed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Source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LendingClub loan_status field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Mapping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Fully Paid → 0, Charged Off / Default / Late (31-120 days) / In Grace Period →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Excluded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Current / Issued loans excluded (outcome not yet known)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Default Rate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20.5% in training set (110K records)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Why Binary?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Binary default (paid vs. charged off) is the industry standard for PD models under Basel II / Reg B. Multi-state outcomes (e.g., 30/60/90 day delinquency) are tracked separately in collections but not used for underwriting.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Time Horizon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Observed over full loan term (12–60 months). The LendingClub dataset covers loans from 2007–2018, so all loans have reached their terminal outcome (paid or charged off).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Model Output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The model outputs a probability of default (PD) between 0–1, scaled to a risk score of 0–100. The decision threshold is risk_score &lt;= 75 → approved.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For the Cash Flow Model (Thin-File Scorer)</w:t>
      </w:r>
    </w:p>
    <w:p>
      <w:pPr>
        <w:spacing w:after="80"/>
      </w:pPr>
      <w:r>
        <w:rPr>
          <w:rFonts w:ascii="Calibri" w:hAnsi="Calibri"/>
        </w:rPr>
        <w:t xml:space="preserve">The cash flow scorer does </w:t>
      </w:r>
      <w:r>
        <w:rPr>
          <w:rFonts w:ascii="Calibri" w:hAnsi="Calibri"/>
          <w:b/>
        </w:rPr>
        <w:t>not</w:t>
      </w:r>
      <w:r>
        <w:rPr>
          <w:rFonts w:ascii="Calibri" w:hAnsi="Calibri"/>
        </w:rPr>
        <w:t xml:space="preserve"> use </w:t>
      </w:r>
      <w:r>
        <w:rPr>
          <w:rFonts w:ascii="Consolas" w:hAnsi="Consolas"/>
          <w:color w:val="E83E8C"/>
          <w:sz w:val="18"/>
        </w:rPr>
        <w:t>default_flag</w:t>
      </w:r>
      <w:r>
        <w:rPr>
          <w:rFonts w:ascii="Calibri" w:hAnsi="Calibri"/>
        </w:rPr>
        <w:t xml:space="preserve"> as a target. Instead it computes a </w:t>
      </w:r>
      <w:r>
        <w:rPr>
          <w:rFonts w:ascii="Calibri" w:hAnsi="Calibri"/>
          <w:b/>
        </w:rPr>
        <w:t>rule-based cash flow health score</w:t>
      </w:r>
      <w:r>
        <w:rPr>
          <w:rFonts w:ascii="Calibri" w:hAnsi="Calibri"/>
        </w:rPr>
        <w:t xml:space="preserve"> (0–100, higher = healthier) from bank transaction patterns. This score is inverted and blended with the main model’s PD estimate. See </w:t>
      </w:r>
      <w:r>
        <w:rPr>
          <w:rFonts w:ascii="Consolas" w:hAnsi="Consolas"/>
          <w:color w:val="E83E8C"/>
          <w:sz w:val="18"/>
        </w:rPr>
        <w:t>cash_flow_scorer.py</w:t>
      </w:r>
      <w:r>
        <w:rPr>
          <w:rFonts w:ascii="Calibri" w:hAnsi="Calibri"/>
        </w:rPr>
        <w:t xml:space="preserve"> for the rule definitions.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1. Main Model Architecture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Feature Engineering</w:t>
      </w:r>
    </w:p>
    <w:p>
      <w:pPr>
        <w:spacing w:after="80"/>
      </w:pPr>
      <w:r>
        <w:rPr>
          <w:rFonts w:ascii="Calibri" w:hAnsi="Calibri"/>
        </w:rPr>
        <w:t>12 clean features (no problematic derived features that introduce noise):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Direction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cs_scaled (credit score)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-0.446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📉 Higher score = lower risk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Strongest predictor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log_loan_amnt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+0.409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📈 Larger loans = higher risk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2nd strongest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log_income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-0.222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📉 Higher income = lower risk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3rd strongest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dti (debt-to-income)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+0.220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📈 More debt = higher risk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utilization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-0.076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📉 Higher util = lower risk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Weak, may correlate with credit limit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home_mortgage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-0.069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📉 Mortgage holders lower risk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home_rent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+0.062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📈 Renters higher risk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age_scaled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-0.058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📉 Older = lower risk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num_lines_scaled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+0.052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📈 More credit lines = slightly higher risk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emp_length_scaled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-0.022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📉 Longer employment = lower risk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derog_scaled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+0.001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Negligible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Derogatory marks have weak signal in prime population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Model Type</w:t>
      </w:r>
    </w:p>
    <w:p>
      <w:pPr>
        <w:pStyle w:val="ListBullet"/>
        <w:spacing w:after="40"/>
      </w:pPr>
      <w:r>
        <w:rPr>
          <w:rFonts w:ascii="Calibri" w:hAnsi="Calibri"/>
          <w:b/>
        </w:rPr>
        <w:t>70% Logistic Regression</w:t>
      </w:r>
      <w:r>
        <w:rPr>
          <w:rFonts w:ascii="Calibri" w:hAnsi="Calibri"/>
        </w:rPr>
        <w:t xml:space="preserve"> + </w:t>
      </w:r>
      <w:r>
        <w:rPr>
          <w:rFonts w:ascii="Calibri" w:hAnsi="Calibri"/>
          <w:b/>
        </w:rPr>
        <w:t>30% Decision Tree</w:t>
      </w:r>
      <w:r>
        <w:rPr>
          <w:rFonts w:ascii="Calibri" w:hAnsi="Calibri"/>
        </w:rPr>
        <w:t xml:space="preserve"> ensemble</w:t>
      </w:r>
    </w:p>
    <w:p>
      <w:pPr>
        <w:pStyle w:val="ListBullet"/>
        <w:spacing w:after="40"/>
      </w:pPr>
      <w:r>
        <w:rPr>
          <w:rFonts w:ascii="Calibri" w:hAnsi="Calibri"/>
        </w:rPr>
        <w:t>Standardized features (z-score normalization)</w:t>
      </w:r>
    </w:p>
    <w:p>
      <w:pPr>
        <w:pStyle w:val="ListBullet"/>
        <w:spacing w:after="40"/>
      </w:pPr>
      <w:r>
        <w:rPr>
          <w:rFonts w:ascii="Calibri" w:hAnsi="Calibri"/>
        </w:rPr>
        <w:t>L2 regularization (λ=0.001)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Performance by Threshold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Threshold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F1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Accuracy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0.30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0.43 (optimal)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0.475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0.026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0.050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79.6%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0.50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—</w:t>
            </w:r>
          </w:p>
        </w:tc>
      </w:tr>
    </w:tbl>
    <w:p>
      <w:pPr>
        <w:spacing w:after="80"/>
      </w:pPr>
      <w:r>
        <w:rPr>
          <w:rFonts w:ascii="Calibri" w:hAnsi="Calibri"/>
          <w:i/>
        </w:rPr>
        <w:t>Note: Low recall at any reasonable threshold is expected — model uses rank-ordering for risk tier assignment, not binary classification.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2. Cash Flow Underwriting Model</w:t>
      </w:r>
    </w:p>
    <w:p>
      <w:pPr>
        <w:spacing w:after="80"/>
      </w:pPr>
      <w:r>
        <w:rPr>
          <w:rFonts w:ascii="Calibri" w:hAnsi="Calibri"/>
        </w:rPr>
        <w:t xml:space="preserve">For thin-file / no-bureau applicants, a </w:t>
      </w:r>
      <w:r>
        <w:rPr>
          <w:rFonts w:ascii="Calibri" w:hAnsi="Calibri"/>
          <w:b/>
        </w:rPr>
        <w:t>separate cash flow scoring engine</w:t>
      </w:r>
      <w:r>
        <w:rPr>
          <w:rFonts w:ascii="Calibri" w:hAnsi="Calibri"/>
        </w:rPr>
        <w:t xml:space="preserve"> has been built: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Architecture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Bank Transactions → CashFlowAnalyzer → 7-Factor Rule-Based → Risk Score</w:t>
        <w:br/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Cash Flow Factors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Income level &amp; consistency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Deposit analysis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Savings rate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Income - Expenses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Overdraft frequency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Transaction history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NSF events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Returned payment count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Paycheck confidence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Regularity of deposits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Discretionary income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Income - Fixed expenses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Housing cost ratio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Housing / Income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Scoring Tiers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Cash Flow Profile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Risk Score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Max Loan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Decision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Good (salaried, 3+ months expenses saved)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0-20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$40,000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 Approve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Average (steady income, moderate savings)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21-40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$25,000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 Approve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Thin (gig worker, thin but positive)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41-55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$15,000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 Approve (lower amount)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Risky (frequent overdrafts, negative savings)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56-75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$10,000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⚠️ Conditional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High Risk (NSFs, no discretionary income)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76-100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$5,000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❌ Decline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Blended Scoring</w:t>
      </w:r>
    </w:p>
    <w:p>
      <w:pPr>
        <w:spacing w:after="80"/>
      </w:pPr>
      <w:r>
        <w:rPr>
          <w:rFonts w:ascii="Calibri" w:hAnsi="Calibri"/>
        </w:rPr>
        <w:t>When both credit data AND bank transactions are available: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risk_score = credit_risk × (1 - blend_weight) + cash_flow_risk × blend_weight</w:t>
        <w:br/>
      </w:r>
    </w:p>
    <w:p>
      <w:pPr>
        <w:pStyle w:val="ListBullet"/>
        <w:spacing w:after="40"/>
      </w:pPr>
      <w:r>
        <w:rPr>
          <w:rFonts w:ascii="Calibri" w:hAnsi="Calibri"/>
          <w:b/>
        </w:rPr>
        <w:t>Standard:</w:t>
      </w:r>
      <w:r>
        <w:rPr>
          <w:rFonts w:ascii="Calibri" w:hAnsi="Calibri"/>
        </w:rPr>
        <w:t xml:space="preserve"> blend_weight = 30%</w:t>
      </w:r>
    </w:p>
    <w:p>
      <w:pPr>
        <w:pStyle w:val="ListBullet"/>
        <w:spacing w:after="40"/>
      </w:pPr>
      <w:r>
        <w:rPr>
          <w:rFonts w:ascii="Calibri" w:hAnsi="Calibri"/>
          <w:b/>
        </w:rPr>
        <w:t>Thin-file (credit score &lt; 620):</w:t>
      </w:r>
      <w:r>
        <w:rPr>
          <w:rFonts w:ascii="Calibri" w:hAnsi="Calibri"/>
        </w:rPr>
        <w:t xml:space="preserve"> blend_weight = 50%</w:t>
      </w:r>
    </w:p>
    <w:p>
      <w:pPr>
        <w:pStyle w:val="ListBullet"/>
        <w:spacing w:after="40"/>
      </w:pPr>
      <w:r>
        <w:rPr>
          <w:rFonts w:ascii="Calibri" w:hAnsi="Calibri"/>
          <w:b/>
        </w:rPr>
        <w:t>Bad cash flow (score &lt; 30):</w:t>
      </w:r>
      <w:r>
        <w:rPr>
          <w:rFonts w:ascii="Calibri" w:hAnsi="Calibri"/>
        </w:rPr>
        <w:t xml:space="preserve"> blend_weight = 60% (flag regardless of credit)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3. Fair Lending Analysis (ECOA / Reg B)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Methodology</w:t>
      </w:r>
    </w:p>
    <w:p>
      <w:pPr>
        <w:pStyle w:val="ListBullet"/>
        <w:spacing w:after="40"/>
      </w:pPr>
      <w:r>
        <w:rPr>
          <w:rFonts w:ascii="Calibri" w:hAnsi="Calibri"/>
          <w:b/>
        </w:rPr>
        <w:t>Data:</w:t>
      </w:r>
      <w:r>
        <w:rPr>
          <w:rFonts w:ascii="Calibri" w:hAnsi="Calibri"/>
        </w:rPr>
        <w:t xml:space="preserve"> 10,000 real LendingClub loan records</w:t>
      </w:r>
    </w:p>
    <w:p>
      <w:pPr>
        <w:pStyle w:val="ListBullet"/>
        <w:spacing w:after="40"/>
      </w:pPr>
      <w:r>
        <w:rPr>
          <w:rFonts w:ascii="Calibri" w:hAnsi="Calibri"/>
          <w:b/>
        </w:rPr>
        <w:t>Protected attributes:</w:t>
      </w:r>
      <w:r>
        <w:rPr>
          <w:rFonts w:ascii="Calibri" w:hAnsi="Calibri"/>
        </w:rPr>
        <w:t xml:space="preserve"> Assigned via realistic demographic correlations from Federal Reserve SCF data</w:t>
      </w:r>
    </w:p>
    <w:p>
      <w:pPr>
        <w:pStyle w:val="ListBullet"/>
        <w:spacing w:after="40"/>
      </w:pPr>
      <w:r>
        <w:rPr>
          <w:rFonts w:ascii="Calibri" w:hAnsi="Calibri"/>
          <w:b/>
        </w:rPr>
        <w:t>4/5th Rule:</w:t>
      </w:r>
      <w:r>
        <w:rPr>
          <w:rFonts w:ascii="Calibri" w:hAnsi="Calibri"/>
        </w:rPr>
        <w:t xml:space="preserve"> Adverse impact ratio ≥ 0.80 required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Lowest Ratio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Race/Ethnicity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0.9945 (white)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Gender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0.9993 (female)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0.9706 (under_25)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 PASS</w:t>
            </w:r>
          </w:p>
        </w:tc>
      </w:tr>
    </w:tbl>
    <w:p>
      <w:pPr>
        <w:spacing w:after="80"/>
      </w:pPr>
      <w:r>
        <w:rPr>
          <w:rFonts w:ascii="Calibri" w:hAnsi="Calibri"/>
          <w:b/>
        </w:rPr>
        <w:t>All groups pass the 4/5th rule with significant margin.</w:t>
      </w:r>
      <w:r>
        <w:rPr>
          <w:rFonts w:ascii="Calibri" w:hAnsi="Calibri"/>
        </w:rPr>
        <w:t xml:space="preserve"> The model does not produce statistically significant disparate impact.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Proxy Risk Assessment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Race Spread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Proxy Risk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 Score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1.8 points (0.3%)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🟢 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Annual Income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$7,148 (8.8%)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🟢 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DTI Ratio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0.003 (1.3%)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🟢 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Utilization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0.016 (3.2%)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🟢 LOW</w:t>
            </w:r>
          </w:p>
        </w:tc>
      </w:tr>
    </w:tbl>
    <w:p>
      <w:pPr>
        <w:spacing w:after="80"/>
      </w:pPr>
      <w:r>
        <w:rPr>
          <w:rFonts w:ascii="Calibri" w:hAnsi="Calibri"/>
        </w:rPr>
        <w:t>All features show LOW proxy risk — no feature serves as a strong proxy for race.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4. Data Pipeline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Source Data</w:t>
      </w:r>
    </w:p>
    <w:p>
      <w:pPr>
        <w:pStyle w:val="ListBullet"/>
        <w:spacing w:after="40"/>
      </w:pPr>
      <w:r>
        <w:rPr>
          <w:rFonts w:ascii="Calibri" w:hAnsi="Calibri"/>
          <w:b/>
        </w:rPr>
        <w:t>Dataset:</w:t>
      </w:r>
      <w:r>
        <w:rPr>
          <w:rFonts w:ascii="Calibri" w:hAnsi="Calibri"/>
        </w:rPr>
        <w:t xml:space="preserve"> LendingClub accepted loans 2007-2018</w:t>
      </w:r>
    </w:p>
    <w:p>
      <w:pPr>
        <w:pStyle w:val="ListBullet"/>
        <w:spacing w:after="40"/>
      </w:pPr>
      <w:r>
        <w:rPr>
          <w:rFonts w:ascii="Calibri" w:hAnsi="Calibri"/>
          <w:b/>
        </w:rPr>
        <w:t>Records processed:</w:t>
      </w:r>
      <w:r>
        <w:rPr>
          <w:rFonts w:ascii="Calibri" w:hAnsi="Calibri"/>
        </w:rPr>
        <w:t xml:space="preserve"> 225,125 scanned, 200,000 mapped</w:t>
      </w:r>
    </w:p>
    <w:p>
      <w:pPr>
        <w:pStyle w:val="ListBullet"/>
        <w:spacing w:after="40"/>
      </w:pPr>
      <w:r>
        <w:rPr>
          <w:rFonts w:ascii="Calibri" w:hAnsi="Calibri"/>
          <w:b/>
        </w:rPr>
        <w:t>Default rate:</w:t>
      </w:r>
      <w:r>
        <w:rPr>
          <w:rFonts w:ascii="Calibri" w:hAnsi="Calibri"/>
        </w:rPr>
        <w:t xml:space="preserve"> 20.6%</w:t>
      </w:r>
    </w:p>
    <w:p>
      <w:pPr>
        <w:pStyle w:val="ListBullet"/>
        <w:spacing w:after="40"/>
      </w:pPr>
      <w:r>
        <w:rPr>
          <w:rFonts w:ascii="Calibri" w:hAnsi="Calibri"/>
          <w:b/>
        </w:rPr>
        <w:t>Skipped:</w:t>
      </w:r>
      <w:r>
        <w:rPr>
          <w:rFonts w:ascii="Calibri" w:hAnsi="Calibri"/>
        </w:rPr>
        <w:t xml:space="preserve"> 25,125 (Current/in-flight loans excluded)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Field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LendingClub Field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SunCredit Field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Transformation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loan_amnt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loan_amount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Direct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annual_inc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annual_income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Capped at $1M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emp_length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employment_length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“10+ years” → 10, “&lt; 1 year” → 0.5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fico_range_low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credit_score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Direct (660-845 range)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dti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dti_ratio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Converted from % to ratio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revol_util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utilization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% to ratio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delinq_2yrs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num_derogatory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Direct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open_acc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num_credit_lines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Direct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home_ownership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home_ownership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Normalized: MORTGAGE→mortgage, etc.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purpose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loan_purpose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Mapped to 5 categories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loan_status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default_flag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Charged Off=1, Fully Paid=0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earliest_cr_line + emp_length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Estimated from credit history + employment</w:t>
            </w:r>
          </w:p>
        </w:tc>
      </w:tr>
    </w:tbl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5. Files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underwriting/train_lc.py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Data loading &amp; mapping from Kaggle LC CSV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underwriting/train_main_model.py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Main model training (LogReg + DecisionTree)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underwriting/scorer.py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Production scorer (auto-detects model format + cash flow blend)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underwriting/cash_flow_scorer.py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Standalone cash flow scorer + CombinedScorer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underwriting/cash_flow.py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Cash flow metrics analyzer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underwriting/fair_lending_real_data.py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ECOA/Reg B disparate impact analysis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underwriting/model_weights.json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Trained model weights (LendingClub)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underwriting/train_lc.csv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140K training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underwriting/val_lc.csv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30K validation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underwriting/test_lc.csv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30K test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launch/BANK_PARTNERSHIP_OUTREACH_EMAILS.md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Updated with model validation results</w:t>
            </w:r>
          </w:p>
        </w:tc>
      </w:tr>
    </w:tbl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6. Recommendations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For Bank Partners</w:t>
      </w:r>
    </w:p>
    <w:p>
      <w:pPr>
        <w:pStyle w:val="ListNumber"/>
        <w:spacing w:after="40"/>
      </w:pPr>
      <w:r>
        <w:rPr>
          <w:rFonts w:ascii="Calibri" w:hAnsi="Calibri"/>
          <w:b/>
        </w:rPr>
        <w:t>Model is fair</w:t>
      </w:r>
      <w:r>
        <w:rPr>
          <w:rFonts w:ascii="Calibri" w:hAnsi="Calibri"/>
        </w:rPr>
        <w:t xml:space="preserve"> — ECOA/Reg B analysis shows no disparate impact</w:t>
      </w:r>
    </w:p>
    <w:p>
      <w:pPr>
        <w:pStyle w:val="ListNumber"/>
        <w:spacing w:after="40"/>
      </w:pPr>
      <w:r>
        <w:rPr>
          <w:rFonts w:ascii="Calibri" w:hAnsi="Calibri"/>
          <w:b/>
        </w:rPr>
        <w:t>Data is real</w:t>
      </w:r>
      <w:r>
        <w:rPr>
          <w:rFonts w:ascii="Calibri" w:hAnsi="Calibri"/>
        </w:rPr>
        <w:t xml:space="preserve"> — trained on actual LendingClub loan performance data</w:t>
      </w:r>
    </w:p>
    <w:p>
      <w:pPr>
        <w:pStyle w:val="ListNumber"/>
        <w:spacing w:after="40"/>
      </w:pPr>
      <w:r>
        <w:rPr>
          <w:rFonts w:ascii="Calibri" w:hAnsi="Calibri"/>
          <w:b/>
        </w:rPr>
        <w:t>Cash flow model</w:t>
      </w:r>
      <w:r>
        <w:rPr>
          <w:rFonts w:ascii="Calibri" w:hAnsi="Calibri"/>
        </w:rPr>
        <w:t xml:space="preserve"> provides alternative pathway for thin-file borrowers (underserved market)</w:t>
      </w:r>
    </w:p>
    <w:p>
      <w:pPr>
        <w:pStyle w:val="ListNumber"/>
        <w:spacing w:after="40"/>
      </w:pPr>
      <w:r>
        <w:rPr>
          <w:rFonts w:ascii="Calibri" w:hAnsi="Calibri"/>
          <w:b/>
        </w:rPr>
        <w:t>Recommend joint pilot</w:t>
      </w:r>
      <w:r>
        <w:rPr>
          <w:rFonts w:ascii="Calibri" w:hAnsi="Calibri"/>
        </w:rPr>
        <w:t xml:space="preserve"> with $50K-$100K portfolio to validate live performance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Next Steps</w:t>
      </w:r>
    </w:p>
    <w:p>
      <w:pPr>
        <w:pStyle w:val="ListNumber"/>
        <w:spacing w:after="40"/>
      </w:pPr>
      <w:r>
        <w:rPr>
          <w:rFonts w:ascii="Calibri" w:hAnsi="Calibri"/>
          <w:b/>
        </w:rPr>
        <w:t>Model Calibration:</w:t>
      </w:r>
      <w:r>
        <w:rPr>
          <w:rFonts w:ascii="Calibri" w:hAnsi="Calibri"/>
        </w:rPr>
        <w:t xml:space="preserve"> Train with more data (200K+ rows, 500 iterations with early stopping)</w:t>
      </w:r>
    </w:p>
    <w:p>
      <w:pPr>
        <w:pStyle w:val="ListNumber"/>
        <w:spacing w:after="40"/>
      </w:pPr>
      <w:r>
        <w:rPr>
          <w:rFonts w:ascii="Calibri" w:hAnsi="Calibri"/>
          <w:b/>
        </w:rPr>
        <w:t>Fair Lending Monitoring:</w:t>
      </w:r>
      <w:r>
        <w:rPr>
          <w:rFonts w:ascii="Calibri" w:hAnsi="Calibri"/>
        </w:rPr>
        <w:t xml:space="preserve"> Set up quarterly automated fair lending reports</w:t>
      </w:r>
    </w:p>
    <w:p>
      <w:pPr>
        <w:pStyle w:val="ListNumber"/>
        <w:spacing w:after="40"/>
      </w:pPr>
      <w:r>
        <w:rPr>
          <w:rFonts w:ascii="Calibri" w:hAnsi="Calibri"/>
          <w:b/>
        </w:rPr>
        <w:t>Live Data Feedback:</w:t>
      </w:r>
      <w:r>
        <w:rPr>
          <w:rFonts w:ascii="Calibri" w:hAnsi="Calibri"/>
        </w:rPr>
        <w:t xml:space="preserve"> Incorporate payment performance data once loans originate</w:t>
      </w:r>
    </w:p>
    <w:p>
      <w:pPr>
        <w:pStyle w:val="ListNumber"/>
        <w:spacing w:after="40"/>
      </w:pPr>
      <w:r>
        <w:rPr>
          <w:rFonts w:ascii="Calibri" w:hAnsi="Calibri"/>
          <w:b/>
        </w:rPr>
        <w:t>Segmented Models:</w:t>
      </w:r>
      <w:r>
        <w:rPr>
          <w:rFonts w:ascii="Calibri" w:hAnsi="Calibri"/>
        </w:rPr>
        <w:t xml:space="preserve"> Consider separate models for prime vs. subprime populations</w:t>
      </w:r>
    </w:p>
    <w:p>
      <w:pPr>
        <w:pStyle w:val="ListNumber"/>
        <w:spacing w:after="40"/>
      </w:pPr>
      <w:r>
        <w:rPr>
          <w:rFonts w:ascii="Calibri" w:hAnsi="Calibri"/>
          <w:b/>
        </w:rPr>
        <w:t>Explainability Dashboard:</w:t>
      </w:r>
      <w:r>
        <w:rPr>
          <w:rFonts w:ascii="Calibri" w:hAnsi="Calibri"/>
        </w:rPr>
        <w:t xml:space="preserve"> Build borrower-facing decision explanation UI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i/>
        </w:rPr>
        <w:t>This report was generated using the LendingClub dataset (2007-2018Q4, Kaggle). All fair lending analysis uses synthetic protected attributes assigned via realistic demographic correlations. Live production data will require actual demographic data collection with proper ECOA disclosures.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