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Texas Licensing Research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— Texas Regulated Lender License Research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Overview</w:t>
      </w:r>
    </w:p>
    <w:p>
      <w:pPr>
        <w:spacing w:after="80"/>
      </w:pPr>
      <w:r>
        <w:rPr>
          <w:rFonts w:ascii="Calibri" w:hAnsi="Calibri"/>
        </w:rPr>
        <w:t>Texas OCCC (Office of Consumer Credit Commissioner) regulates non-depository</w:t>
        <w:br/>
        <w:t>lenders making loans at &gt;10% interest. Since PalmFi’s rates will be 18-29% APR,</w:t>
        <w:br/>
      </w:r>
      <w:r>
        <w:rPr>
          <w:rFonts w:ascii="Calibri" w:hAnsi="Calibri"/>
          <w:b/>
        </w:rPr>
        <w:t>a Regulated Lender License under Chapter 342, Texas Finance Code is required</w:t>
      </w:r>
      <w:r>
        <w:rPr>
          <w:rFonts w:ascii="Calibri" w:hAnsi="Calibri"/>
        </w:rPr>
        <w:t>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Application Process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Step 1: Create an ALECS Account</w:t>
      </w:r>
    </w:p>
    <w:p>
      <w:pPr>
        <w:pStyle w:val="ListBullet"/>
        <w:spacing w:after="40"/>
      </w:pPr>
      <w:r>
        <w:rPr>
          <w:rFonts w:ascii="Calibri" w:hAnsi="Calibri"/>
          <w:b/>
        </w:rPr>
        <w:t>ALECS</w:t>
      </w:r>
      <w:r>
        <w:rPr>
          <w:rFonts w:ascii="Calibri" w:hAnsi="Calibri"/>
        </w:rPr>
        <w:t xml:space="preserve"> = Automated Licensing and Electronic filing System</w:t>
      </w:r>
    </w:p>
    <w:p>
      <w:pPr>
        <w:pStyle w:val="ListBullet"/>
        <w:spacing w:after="40"/>
      </w:pPr>
      <w:r>
        <w:rPr>
          <w:rFonts w:ascii="Calibri" w:hAnsi="Calibri"/>
        </w:rPr>
        <w:t xml:space="preserve">Register at </w:t>
      </w:r>
      <w:r>
        <w:rPr>
          <w:rFonts w:ascii="Consolas" w:hAnsi="Consolas"/>
          <w:color w:val="E83E8C"/>
          <w:sz w:val="18"/>
        </w:rPr>
        <w:t>occc.texas.gov/alecs</w:t>
      </w:r>
    </w:p>
    <w:p>
      <w:pPr>
        <w:pStyle w:val="ListBullet"/>
        <w:spacing w:after="40"/>
      </w:pPr>
      <w:r>
        <w:rPr>
          <w:rFonts w:ascii="Calibri" w:hAnsi="Calibri"/>
        </w:rPr>
        <w:t>This is the portal for licensing, renewals, and annual reports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Step 2: Prepare Application Materials</w:t>
      </w:r>
    </w:p>
    <w:p>
      <w:pPr>
        <w:spacing w:after="80"/>
      </w:pPr>
      <w:r>
        <w:rPr>
          <w:rFonts w:ascii="Calibri" w:hAnsi="Calibri"/>
        </w:rPr>
        <w:t>You’ll need:</w:t>
        <w:br/>
        <w:t xml:space="preserve">1. </w:t>
      </w:r>
      <w:r>
        <w:rPr>
          <w:rFonts w:ascii="Calibri" w:hAnsi="Calibri"/>
          <w:b/>
        </w:rPr>
        <w:t>Business Information</w:t>
      </w:r>
      <w:r>
        <w:rPr>
          <w:rFonts w:ascii="Calibri" w:hAnsi="Calibri"/>
        </w:rPr>
        <w:t xml:space="preserve"> — LLC name, EIN, physical address, registered agent</w:t>
        <w:br/>
        <w:t xml:space="preserve">2. </w:t>
      </w:r>
      <w:r>
        <w:rPr>
          <w:rFonts w:ascii="Calibri" w:hAnsi="Calibri"/>
          <w:b/>
        </w:rPr>
        <w:t>Principal/Owner Information</w:t>
      </w:r>
      <w:r>
        <w:rPr>
          <w:rFonts w:ascii="Calibri" w:hAnsi="Calibri"/>
        </w:rPr>
        <w:t xml:space="preserve"> — Background check + credit report for each owner</w:t>
        <w:br/>
        <w:t xml:space="preserve">3. </w:t>
      </w:r>
      <w:r>
        <w:rPr>
          <w:rFonts w:ascii="Calibri" w:hAnsi="Calibri"/>
          <w:b/>
        </w:rPr>
        <w:t>Business Plan</w:t>
      </w:r>
      <w:r>
        <w:rPr>
          <w:rFonts w:ascii="Calibri" w:hAnsi="Calibri"/>
        </w:rPr>
        <w:t xml:space="preserve"> — Your lending model, target market, underwriting methodology</w:t>
        <w:br/>
        <w:t xml:space="preserve">4. </w:t>
      </w:r>
      <w:r>
        <w:rPr>
          <w:rFonts w:ascii="Calibri" w:hAnsi="Calibri"/>
          <w:b/>
        </w:rPr>
        <w:t>Financial Statements</w:t>
      </w:r>
      <w:r>
        <w:rPr>
          <w:rFonts w:ascii="Calibri" w:hAnsi="Calibri"/>
        </w:rPr>
        <w:t xml:space="preserve"> — Balance sheet, operating budget, capital plan</w:t>
        <w:br/>
        <w:t xml:space="preserve">5. </w:t>
      </w:r>
      <w:r>
        <w:rPr>
          <w:rFonts w:ascii="Calibri" w:hAnsi="Calibri"/>
          <w:b/>
        </w:rPr>
        <w:t>Surety Bond</w:t>
      </w:r>
      <w:r>
        <w:rPr>
          <w:rFonts w:ascii="Calibri" w:hAnsi="Calibri"/>
        </w:rPr>
        <w:t xml:space="preserve"> — $25,000-$100,000 (TBD by OCCC based on loan volume)</w:t>
        <w:br/>
        <w:t xml:space="preserve">6. </w:t>
      </w:r>
      <w:r>
        <w:rPr>
          <w:rFonts w:ascii="Calibri" w:hAnsi="Calibri"/>
          <w:b/>
        </w:rPr>
        <w:t>Proposed Loan Contracts</w:t>
      </w:r>
      <w:r>
        <w:rPr>
          <w:rFonts w:ascii="Calibri" w:hAnsi="Calibri"/>
        </w:rPr>
        <w:t xml:space="preserve"> — Must comply with TFC Chapter 342 plain language rules</w:t>
        <w:br/>
        <w:t xml:space="preserve">7. </w:t>
      </w:r>
      <w:r>
        <w:rPr>
          <w:rFonts w:ascii="Calibri" w:hAnsi="Calibri"/>
          <w:b/>
        </w:rPr>
        <w:t>Compliance Plan</w:t>
      </w:r>
      <w:r>
        <w:rPr>
          <w:rFonts w:ascii="Calibri" w:hAnsi="Calibri"/>
        </w:rPr>
        <w:t xml:space="preserve"> — How you’ll handle: consumer complaints, data privacy, collections</w:t>
        <w:br/>
        <w:t xml:space="preserve">8. </w:t>
      </w:r>
      <w:r>
        <w:rPr>
          <w:rFonts w:ascii="Calibri" w:hAnsi="Calibri"/>
          <w:b/>
        </w:rPr>
        <w:t>Software Review</w:t>
      </w:r>
      <w:r>
        <w:rPr>
          <w:rFonts w:ascii="Calibri" w:hAnsi="Calibri"/>
        </w:rPr>
        <w:t xml:space="preserve"> — OCCC reviews your lending software for compliance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Step 3: Fees</w:t>
      </w:r>
    </w:p>
    <w:p>
      <w:pPr>
        <w:pStyle w:val="ListBullet"/>
        <w:spacing w:after="40"/>
      </w:pPr>
      <w:r>
        <w:rPr>
          <w:rFonts w:ascii="Calibri" w:hAnsi="Calibri"/>
          <w:b/>
        </w:rPr>
        <w:t>Application Fee:</w:t>
      </w:r>
      <w:r>
        <w:rPr>
          <w:rFonts w:ascii="Calibri" w:hAnsi="Calibri"/>
        </w:rPr>
        <w:t xml:space="preserve"> ~$1,000 (one-time)</w:t>
      </w:r>
    </w:p>
    <w:p>
      <w:pPr>
        <w:pStyle w:val="ListBullet"/>
        <w:spacing w:after="40"/>
      </w:pPr>
      <w:r>
        <w:rPr>
          <w:rFonts w:ascii="Calibri" w:hAnsi="Calibri"/>
          <w:b/>
        </w:rPr>
        <w:t>Surety Bond:</w:t>
      </w:r>
      <w:r>
        <w:rPr>
          <w:rFonts w:ascii="Calibri" w:hAnsi="Calibri"/>
        </w:rPr>
        <w:t xml:space="preserve"> $500-$2,000/yr (varies by bond amount and your credit)</w:t>
      </w:r>
    </w:p>
    <w:p>
      <w:pPr>
        <w:pStyle w:val="ListBullet"/>
        <w:spacing w:after="40"/>
      </w:pPr>
      <w:r>
        <w:rPr>
          <w:rFonts w:ascii="Calibri" w:hAnsi="Calibri"/>
          <w:b/>
        </w:rPr>
        <w:t>Annual Renewal:</w:t>
      </w:r>
      <w:r>
        <w:rPr>
          <w:rFonts w:ascii="Calibri" w:hAnsi="Calibri"/>
        </w:rPr>
        <w:t xml:space="preserve"> ~$300-500 (due Nov 1 - Dec 31)</w:t>
      </w:r>
    </w:p>
    <w:p>
      <w:pPr>
        <w:pStyle w:val="ListBullet"/>
        <w:spacing w:after="40"/>
      </w:pPr>
      <w:r>
        <w:rPr>
          <w:rFonts w:ascii="Calibri" w:hAnsi="Calibri"/>
          <w:b/>
        </w:rPr>
        <w:t>Annual Report:</w:t>
      </w:r>
      <w:r>
        <w:rPr>
          <w:rFonts w:ascii="Calibri" w:hAnsi="Calibri"/>
        </w:rPr>
        <w:t xml:space="preserve"> Due May 1 each year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Cost Estimate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Application fee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Surety bond (first year)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$1,500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Legal/consulting to prepare application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$2,000-5,000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Background check + credit reports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Software review preparation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$500-1,000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Total (first year)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$5,200-8,700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Timeline</w:t>
      </w:r>
    </w:p>
    <w:p>
      <w:pPr>
        <w:pStyle w:val="ListBullet"/>
        <w:spacing w:after="40"/>
      </w:pPr>
      <w:r>
        <w:rPr>
          <w:rFonts w:ascii="Calibri" w:hAnsi="Calibri"/>
        </w:rPr>
        <w:t>ALECS account setup: 1 day</w:t>
      </w:r>
    </w:p>
    <w:p>
      <w:pPr>
        <w:pStyle w:val="ListBullet"/>
        <w:spacing w:after="40"/>
      </w:pPr>
      <w:r>
        <w:rPr>
          <w:rFonts w:ascii="Calibri" w:hAnsi="Calibri"/>
        </w:rPr>
        <w:t>Application preparation: 1-2 weeks</w:t>
      </w:r>
    </w:p>
    <w:p>
      <w:pPr>
        <w:pStyle w:val="ListBullet"/>
        <w:spacing w:after="40"/>
      </w:pPr>
      <w:r>
        <w:rPr>
          <w:rFonts w:ascii="Calibri" w:hAnsi="Calibri"/>
        </w:rPr>
        <w:t>OCCC review: 4-6 weeks (can be expedited)</w:t>
      </w:r>
    </w:p>
    <w:p>
      <w:pPr>
        <w:pStyle w:val="ListBullet"/>
        <w:spacing w:after="40"/>
      </w:pPr>
      <w:r>
        <w:rPr>
          <w:rFonts w:ascii="Calibri" w:hAnsi="Calibri"/>
          <w:b/>
        </w:rPr>
        <w:t>Total: ~6-8 weeks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Alternative: Partner with Existing Licensee</w:t>
      </w:r>
    </w:p>
    <w:p>
      <w:pPr>
        <w:spacing w:after="80"/>
      </w:pPr>
      <w:r>
        <w:rPr>
          <w:rFonts w:ascii="Calibri" w:hAnsi="Calibri"/>
        </w:rPr>
        <w:t>Instead of getting your own license (faster, cheaper):</w:t>
        <w:br/>
        <w:t>1. Find a Texas-regulated lender willing to white-label your platform</w:t>
        <w:br/>
        <w:t>2. PalmFi operates as their “service provider” under their license</w:t>
        <w:br/>
        <w:t>3. They take 10-30% of loan revenue as license fee</w:t>
        <w:br/>
        <w:t>4. You handle origination, underwriting, servicing</w:t>
      </w:r>
    </w:p>
    <w:p>
      <w:pPr>
        <w:spacing w:after="80"/>
      </w:pPr>
      <w:r>
        <w:rPr>
          <w:rFonts w:ascii="Calibri" w:hAnsi="Calibri"/>
          <w:b/>
        </w:rPr>
        <w:t>Where to find partners:</w:t>
      </w:r>
      <w:r>
        <w:rPr>
          <w:rFonts w:ascii="Calibri" w:hAnsi="Calibri"/>
        </w:rPr>
        <w:br/>
        <w:t>- Fintech networking events (LendIt Fintech, Fintech Nexus)</w:t>
        <w:br/>
        <w:t>- Online lender marketplaces</w:t>
        <w:br/>
        <w:t>- Direct outreach to small/medium Texas lenders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Key Compliance Requirements (Post-License)</w:t>
      </w:r>
    </w:p>
    <w:p>
      <w:pPr>
        <w:spacing w:after="80"/>
      </w:pPr>
      <w:r>
        <w:rPr>
          <w:rFonts w:ascii="Calibri" w:hAnsi="Calibri"/>
        </w:rPr>
        <w:t>Once licensed:</w:t>
        <w:br/>
        <w:t xml:space="preserve">- Contracts must be in </w:t>
      </w:r>
      <w:r>
        <w:rPr>
          <w:rFonts w:ascii="Calibri" w:hAnsi="Calibri"/>
          <w:b/>
        </w:rPr>
        <w:t>plain language</w:t>
      </w:r>
      <w:r>
        <w:rPr>
          <w:rFonts w:ascii="Calibri" w:hAnsi="Calibri"/>
        </w:rPr>
        <w:t xml:space="preserve"> (TAC Chapter 90)</w:t>
        <w:br/>
        <w:t>- Maximum interest rates defined by TFC Chapter 342</w:t>
        <w:br/>
        <w:t xml:space="preserve">- Must provide </w:t>
      </w:r>
      <w:r>
        <w:rPr>
          <w:rFonts w:ascii="Calibri" w:hAnsi="Calibri"/>
          <w:b/>
        </w:rPr>
        <w:t>TILA disclosures</w:t>
      </w:r>
      <w:r>
        <w:rPr>
          <w:rFonts w:ascii="Calibri" w:hAnsi="Calibri"/>
        </w:rPr>
        <w:t xml:space="preserve"> (Federal Regulation Z)</w:t>
        <w:br/>
        <w:t xml:space="preserve">- </w:t>
      </w:r>
      <w:r>
        <w:rPr>
          <w:rFonts w:ascii="Calibri" w:hAnsi="Calibri"/>
          <w:b/>
        </w:rPr>
        <w:t>Annual report</w:t>
      </w:r>
      <w:r>
        <w:rPr>
          <w:rFonts w:ascii="Calibri" w:hAnsi="Calibri"/>
        </w:rPr>
        <w:t xml:space="preserve"> due May 1 through ALECS</w:t>
        <w:br/>
        <w:t xml:space="preserve">- </w:t>
      </w:r>
      <w:r>
        <w:rPr>
          <w:rFonts w:ascii="Calibri" w:hAnsi="Calibri"/>
          <w:b/>
        </w:rPr>
        <w:t>Record keeping</w:t>
      </w:r>
      <w:r>
        <w:rPr>
          <w:rFonts w:ascii="Calibri" w:hAnsi="Calibri"/>
        </w:rPr>
        <w:t>: 2+ years of all loan records</w:t>
        <w:br/>
        <w:t xml:space="preserve">- </w:t>
      </w:r>
      <w:r>
        <w:rPr>
          <w:rFonts w:ascii="Calibri" w:hAnsi="Calibri"/>
          <w:b/>
        </w:rPr>
        <w:t>Collection practices</w:t>
      </w:r>
      <w:r>
        <w:rPr>
          <w:rFonts w:ascii="Calibri" w:hAnsi="Calibri"/>
        </w:rPr>
        <w:t xml:space="preserve"> must comply with Texas Debt Collection Act</w:t>
        <w:br/>
        <w:t xml:space="preserve">- </w:t>
      </w:r>
      <w:r>
        <w:rPr>
          <w:rFonts w:ascii="Calibri" w:hAnsi="Calibri"/>
          <w:b/>
        </w:rPr>
        <w:t>Privacy</w:t>
      </w:r>
      <w:r>
        <w:rPr>
          <w:rFonts w:ascii="Calibri" w:hAnsi="Calibri"/>
        </w:rPr>
        <w:t xml:space="preserve"> must comply with GLBA (Gramm-Leach-Bliley Act)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Recommended Action Plan</w:t>
      </w:r>
    </w:p>
    <w:p>
      <w:pPr>
        <w:pStyle w:val="ListNumber"/>
        <w:spacing w:after="40"/>
      </w:pPr>
      <w:r>
        <w:rPr>
          <w:rFonts w:ascii="Calibri" w:hAnsi="Calibri"/>
        </w:rPr>
        <w:t>[ ] Create ALECS account</w:t>
      </w:r>
    </w:p>
    <w:p>
      <w:pPr>
        <w:pStyle w:val="ListNumber"/>
        <w:spacing w:after="40"/>
      </w:pPr>
      <w:r>
        <w:rPr>
          <w:rFonts w:ascii="Calibri" w:hAnsi="Calibri"/>
        </w:rPr>
        <w:t>[ ] Engage a fintech attorney (recs: McGlinchey Stafford, Hudson Cook, or similar)</w:t>
      </w:r>
    </w:p>
    <w:p>
      <w:pPr>
        <w:pStyle w:val="ListNumber"/>
        <w:spacing w:after="40"/>
      </w:pPr>
      <w:r>
        <w:rPr>
          <w:rFonts w:ascii="Calibri" w:hAnsi="Calibri"/>
        </w:rPr>
        <w:t>[ ] Prepare business plan + financial projections</w:t>
      </w:r>
    </w:p>
    <w:p>
      <w:pPr>
        <w:pStyle w:val="ListNumber"/>
        <w:spacing w:after="40"/>
      </w:pPr>
      <w:r>
        <w:rPr>
          <w:rFonts w:ascii="Calibri" w:hAnsi="Calibri"/>
        </w:rPr>
        <w:t>[ ] Get surety bond quote</w:t>
      </w:r>
    </w:p>
    <w:p>
      <w:pPr>
        <w:pStyle w:val="ListNumber"/>
        <w:spacing w:after="40"/>
      </w:pPr>
      <w:r>
        <w:rPr>
          <w:rFonts w:ascii="Calibri" w:hAnsi="Calibri"/>
        </w:rPr>
        <w:t>[ ] Prepare proposed loan contract (use OCCC template as starting point)</w:t>
      </w:r>
    </w:p>
    <w:p>
      <w:pPr>
        <w:pStyle w:val="ListNumber"/>
        <w:spacing w:after="40"/>
      </w:pPr>
      <w:r>
        <w:rPr>
          <w:rFonts w:ascii="Calibri" w:hAnsi="Calibri"/>
        </w:rPr>
        <w:t>[ ] Submit application through ALECS</w:t>
      </w:r>
    </w:p>
    <w:p>
      <w:pPr>
        <w:pStyle w:val="ListNumber"/>
        <w:spacing w:after="40"/>
      </w:pPr>
      <w:r>
        <w:rPr>
          <w:rFonts w:ascii="Calibri" w:hAnsi="Calibri"/>
        </w:rPr>
        <w:t>[ ] Also approach 3-5 licensed lenders about partnership (parallel track)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