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基于tcga多组学数据挖掘的乳腺癌分子特征综合分析"/>
    <w:p>
      <w:pPr>
        <w:pStyle w:val="Heading1"/>
      </w:pPr>
      <w:r>
        <w:rPr>
          <w:rFonts w:hint="eastAsia"/>
        </w:rPr>
        <w:t xml:space="preserve">基于TCGA多组学数据挖掘的乳腺癌分子特征综合分析</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乳腺癌是全球发病率最高的恶性肿瘤之一，其高度的分子异质性为精准诊疗带来了巨大挑战。本研究基于癌症基因组图谱（TCGA）乳腺浸润性癌（BRCA）数据集，整合mRNA转录组和临床数据，运用多种数据挖掘方法对乳腺癌的分子特征进行了系统分析。数据预处理阶段完成了TCGA样本条形码解析、肿瘤/正常样本分离、低表达基因过滤、基因标识符映射（Ensembl</w:t>
      </w:r>
      <w:r>
        <w:t xml:space="preserve"> ID → Gene </w:t>
      </w:r>
      <w:r>
        <w:rPr>
          <w:rFonts w:hint="eastAsia"/>
        </w:rPr>
        <w:t xml:space="preserve">Symbol）、TPM标准化以及临床数据清洗与缺失值处理。在数据挖掘阶段，本研究综合运用了以下方法：（1）DESeq2差异表达分析鉴定肿瘤与正常组织间的差异表达基因并进行功能富集分析；（2）基于Random</w:t>
      </w:r>
      <w:r>
        <w:t xml:space="preserve"> </w:t>
      </w:r>
      <w:r>
        <w:rPr>
          <w:rFonts w:hint="eastAsia"/>
        </w:rPr>
        <w:t xml:space="preserve">Forest、LASSO多分类回归和XGBoost的分子亚型/分期分类模型构建；（3）PCA、t-SNE、层次聚类、K-means轮廓分析和共识聚类等无监督聚类方法的系统比较；（4）WGCNA加权基因共表达网络分析识别共表达模块和枢纽基因；（5）Kaplan-Meier生存曲线和Cox比例风险回归的预后分析与LASSO-Cox预后基因标记构建。可视化分析涵盖火山图、热图、PCA散点图、KM生存曲线、Cox森林图、WGCNA模块-性状关联图等多种高级图形。研究结果为乳腺癌的分子分型、预后评估和潜在治疗靶点发现提供了系统性的数据支撑。</w:t>
      </w:r>
    </w:p>
    <w:p>
      <w:pPr>
        <w:pStyle w:val="BodyText"/>
      </w:pPr>
      <w:r>
        <w:rPr>
          <w:rFonts w:hint="eastAsia"/>
          <w:b/>
          <w:bCs/>
        </w:rPr>
        <w:t xml:space="preserve">关键词</w:t>
      </w:r>
      <w:r>
        <w:rPr>
          <w:rFonts w:hint="eastAsia"/>
        </w:rPr>
        <w:t xml:space="preserve">：乳腺癌；TCGA；数据挖掘；差异表达分析；WGCNA；机器学习分类；生存分析；R语言</w:t>
      </w:r>
    </w:p>
    <w:p>
      <w:r>
        <w:pict>
          <v:rect style="width:0;height:1.5pt" o:hralign="center" o:hrstd="t" o:hr="t"/>
        </w:pict>
      </w:r>
    </w:p>
    <w:bookmarkEnd w:id="9"/>
    <w:bookmarkStart w:id="14" w:name="引言"/>
    <w:p>
      <w:pPr>
        <w:pStyle w:val="Heading2"/>
      </w:pPr>
      <w:r>
        <w:t xml:space="preserve">1 </w:t>
      </w:r>
      <w:r>
        <w:rPr>
          <w:rFonts w:hint="eastAsia"/>
        </w:rPr>
        <w:t xml:space="preserve">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据国际癌症研究机构（IARC）GLOBOCAN</w:t>
      </w:r>
      <w:r>
        <w:t xml:space="preserve"> </w:t>
      </w:r>
      <w:r>
        <w:rPr>
          <w:rFonts w:hint="eastAsia"/>
        </w:rPr>
        <w:t xml:space="preserve">2022统计，全球每年新发癌症约2,000万例，死亡约970万例。女性乳腺癌以约230万例新发病例居全球恶性肿瘤发病率首位，同年导致约67万例死亡[1]。在中国，乳腺癌发病率和死亡率持续上升，且发病年龄显著低于欧美国家，构成重大的公共卫生负担。</w:t>
      </w:r>
    </w:p>
    <w:p>
      <w:pPr>
        <w:pStyle w:val="BodyText"/>
      </w:pPr>
      <w:r>
        <w:rPr>
          <w:rFonts w:hint="eastAsia"/>
        </w:rPr>
        <w:t xml:space="preserve">乳腺癌的发生发展涉及多基因突变累积、表观遗传重塑及信号通路交互失调等复杂分子过程[2]。高通量测序技术的普及使大规模癌症基因组数据的积累成为可能。以癌症基因组图谱（The</w:t>
      </w:r>
      <w:r>
        <w:t xml:space="preserve"> Cancer Genome Atlas, </w:t>
      </w:r>
      <w:r>
        <w:rPr>
          <w:rFonts w:hint="eastAsia"/>
        </w:rPr>
        <w:t xml:space="preserve">TCGA）为代表的国际合作项目，为研究者提供了涵盖基因组、转录组、表观基因组及蛋白质组的海量公开数据资源[3]，使得基于数据挖掘的系统生物学研究范式得以实践。</w:t>
      </w:r>
    </w:p>
    <w:bookmarkEnd w:id="10"/>
    <w:bookmarkStart w:id="11" w:name="乳腺癌分子分型"/>
    <w:p>
      <w:pPr>
        <w:pStyle w:val="Heading3"/>
      </w:pPr>
      <w:r>
        <w:t xml:space="preserve">1.2 </w:t>
      </w:r>
      <w:r>
        <w:rPr>
          <w:rFonts w:hint="eastAsia"/>
        </w:rPr>
        <w:t xml:space="preserve">乳腺癌分子分型</w:t>
      </w:r>
    </w:p>
    <w:p>
      <w:pPr>
        <w:pStyle w:val="FirstParagraph"/>
      </w:pPr>
      <w:r>
        <w:rPr>
          <w:rFonts w:hint="eastAsia"/>
        </w:rPr>
        <w:t xml:space="preserve">乳腺癌是由多种分子特征各异的亚型构成的异质性疾病集合。Perou等[4]于2000年首次基于基因表达谱提出分子分型体系。当前国际广泛认可的固有分子亚型包括：（1）Luminal</w:t>
      </w:r>
      <w:r>
        <w:t xml:space="preserve"> </w:t>
      </w:r>
      <w:r>
        <w:rPr>
          <w:rFonts w:hint="eastAsia"/>
        </w:rPr>
        <w:t xml:space="preserve">A型（约占50%-60%），特征为ER阳性、HER2阴性、Ki-67低表达，预后最佳；（2）Luminal</w:t>
      </w:r>
      <w:r>
        <w:t xml:space="preserve"> </w:t>
      </w:r>
      <w:r>
        <w:rPr>
          <w:rFonts w:hint="eastAsia"/>
        </w:rPr>
        <w:t xml:space="preserve">B型（约占15%-20%），ER阳性但Ki-67较高；（3）HER2过表达型（约占10%-15%），以ERBB2扩增为驱动特征；（4）三阴性/Basal-like型（约占15%-20%），ER、PR、HER2均为阴性，侵袭性最强。</w:t>
      </w:r>
    </w:p>
    <w:bookmarkEnd w:id="11"/>
    <w:bookmarkStart w:id="12" w:name="数据挖掘方法概述"/>
    <w:p>
      <w:pPr>
        <w:pStyle w:val="Heading3"/>
      </w:pPr>
      <w:r>
        <w:t xml:space="preserve">1.3 </w:t>
      </w:r>
      <w:r>
        <w:rPr>
          <w:rFonts w:hint="eastAsia"/>
        </w:rPr>
        <w:t xml:space="preserve">数据挖掘方法概述</w:t>
      </w:r>
    </w:p>
    <w:p>
      <w:pPr>
        <w:pStyle w:val="FirstParagraph"/>
      </w:pPr>
      <w:r>
        <w:rPr>
          <w:rFonts w:hint="eastAsia"/>
        </w:rPr>
        <w:t xml:space="preserve">在数据驱动的研究范式下，如何从高维度、高噪声的癌症组学数据中高效提取具有生物学意义和临床价值的信息，是生物信息学领域的核心问题。本研究应用的数据挖掘方法包括：</w:t>
      </w:r>
    </w:p>
    <w:p>
      <w:pPr>
        <w:pStyle w:val="Compact"/>
        <w:numPr>
          <w:ilvl w:val="0"/>
          <w:numId w:val="1001"/>
        </w:numPr>
      </w:pPr>
      <w:r>
        <w:rPr>
          <w:rFonts w:hint="eastAsia"/>
          <w:b/>
          <w:bCs/>
        </w:rPr>
        <w:t xml:space="preserve">差异表达分析</w:t>
      </w:r>
      <w:r>
        <w:rPr>
          <w:rFonts w:hint="eastAsia"/>
        </w:rPr>
        <w:t xml:space="preserve">：基于负二项分布的DESeq2[5]框架，通过经验贝叶斯收缩改进离散度估计；</w:t>
      </w:r>
    </w:p>
    <w:p>
      <w:pPr>
        <w:pStyle w:val="Compact"/>
        <w:numPr>
          <w:ilvl w:val="0"/>
          <w:numId w:val="1001"/>
        </w:numPr>
      </w:pPr>
      <w:r>
        <w:rPr>
          <w:rFonts w:hint="eastAsia"/>
          <w:b/>
          <w:bCs/>
        </w:rPr>
        <w:t xml:space="preserve">功能富集分析</w:t>
      </w:r>
      <w:r>
        <w:rPr>
          <w:rFonts w:hint="eastAsia"/>
        </w:rPr>
        <w:t xml:space="preserve">：利用g:Profiler[8]覆盖GO、KEGG、Reactome等多数据库的富集分析；</w:t>
      </w:r>
    </w:p>
    <w:p>
      <w:pPr>
        <w:pStyle w:val="Compact"/>
        <w:numPr>
          <w:ilvl w:val="0"/>
          <w:numId w:val="1001"/>
        </w:numPr>
      </w:pPr>
      <w:r>
        <w:rPr>
          <w:rFonts w:hint="eastAsia"/>
          <w:b/>
          <w:bCs/>
        </w:rPr>
        <w:t xml:space="preserve">监督学习分类</w:t>
      </w:r>
      <w:r>
        <w:rPr>
          <w:rFonts w:hint="eastAsia"/>
        </w:rPr>
        <w:t xml:space="preserve">：Random</w:t>
      </w:r>
      <w:r>
        <w:t xml:space="preserve"> </w:t>
      </w:r>
      <w:r>
        <w:rPr>
          <w:rFonts w:hint="eastAsia"/>
        </w:rPr>
        <w:t xml:space="preserve">Forest[14]、LASSO多分类回归[13,17]和XGBoost[15]三种集成学习方法的系统比较；</w:t>
      </w:r>
    </w:p>
    <w:p>
      <w:pPr>
        <w:pStyle w:val="Compact"/>
        <w:numPr>
          <w:ilvl w:val="0"/>
          <w:numId w:val="1001"/>
        </w:numPr>
      </w:pPr>
      <w:r>
        <w:rPr>
          <w:rFonts w:hint="eastAsia"/>
          <w:b/>
          <w:bCs/>
        </w:rPr>
        <w:t xml:space="preserve">无监督聚类</w:t>
      </w:r>
      <w:r>
        <w:rPr>
          <w:rFonts w:hint="eastAsia"/>
        </w:rPr>
        <w:t xml:space="preserve">：PCA降维、t-SNE非线性降维、层次聚类、K-means和ConsensusClusterPlus[10]共识聚类；</w:t>
      </w:r>
    </w:p>
    <w:p>
      <w:pPr>
        <w:pStyle w:val="Compact"/>
        <w:numPr>
          <w:ilvl w:val="0"/>
          <w:numId w:val="1001"/>
        </w:numPr>
      </w:pPr>
      <w:r>
        <w:rPr>
          <w:rFonts w:hint="eastAsia"/>
          <w:b/>
          <w:bCs/>
        </w:rPr>
        <w:t xml:space="preserve">共表达网络分析</w:t>
      </w:r>
      <w:r>
        <w:rPr>
          <w:rFonts w:hint="eastAsia"/>
        </w:rPr>
        <w:t xml:space="preserve">：WGCNA[6]通过构建无标度拓扑网络将基因聚类为功能相关模块；</w:t>
      </w:r>
    </w:p>
    <w:p>
      <w:pPr>
        <w:pStyle w:val="Compact"/>
        <w:numPr>
          <w:ilvl w:val="0"/>
          <w:numId w:val="1001"/>
        </w:numPr>
      </w:pPr>
      <w:r>
        <w:rPr>
          <w:rFonts w:hint="eastAsia"/>
          <w:b/>
          <w:bCs/>
        </w:rPr>
        <w:t xml:space="preserve">生存分析</w:t>
      </w:r>
      <w:r>
        <w:rPr>
          <w:rFonts w:hint="eastAsia"/>
        </w:rPr>
        <w:t xml:space="preserve">：Kaplan-Meier曲线、Cox比例风险回归[16]和LASSO-Cox预后模型。</w:t>
      </w:r>
    </w:p>
    <w:bookmarkEnd w:id="12"/>
    <w:bookmarkStart w:id="13" w:name="研究内容与论文结构"/>
    <w:p>
      <w:pPr>
        <w:pStyle w:val="Heading3"/>
      </w:pPr>
      <w:r>
        <w:t xml:space="preserve">1.4 </w:t>
      </w:r>
      <w:r>
        <w:rPr>
          <w:rFonts w:hint="eastAsia"/>
        </w:rPr>
        <w:t xml:space="preserve">研究内容与论文结构</w:t>
      </w:r>
    </w:p>
    <w:p>
      <w:pPr>
        <w:pStyle w:val="FirstParagraph"/>
      </w:pPr>
      <w:r>
        <w:rPr>
          <w:rFonts w:hint="eastAsia"/>
        </w:rPr>
        <w:t xml:space="preserve">本研究以TCGA-BRCA数据为对象，系统开展乳腺癌分子特征的数据挖掘分析。论文结构如下：第2章介绍数据来源与预处理流程；第3章阐述数据挖掘算法及结果；第4章展示可视化分析；第5章为结论与展望。</w:t>
      </w:r>
    </w:p>
    <w:p>
      <w:r>
        <w:pict>
          <v:rect style="width:0;height:1.5pt" o:hralign="center" o:hrstd="t" o:hr="t"/>
        </w:pict>
      </w:r>
    </w:p>
    <w:bookmarkEnd w:id="13"/>
    <w:bookmarkEnd w:id="14"/>
    <w:bookmarkStart w:id="18" w:name="材料与方法"/>
    <w:p>
      <w:pPr>
        <w:pStyle w:val="Heading2"/>
      </w:pPr>
      <w:r>
        <w:t xml:space="preserve">2 </w:t>
      </w:r>
      <w:r>
        <w:rPr>
          <w:rFonts w:hint="eastAsia"/>
        </w:rPr>
        <w:t xml:space="preserve">材料与方法</w:t>
      </w:r>
    </w:p>
    <w:bookmarkStart w:id="15" w:name="数据来源"/>
    <w:p>
      <w:pPr>
        <w:pStyle w:val="Heading3"/>
      </w:pPr>
      <w:r>
        <w:t xml:space="preserve">2.1 </w:t>
      </w:r>
      <w:r>
        <w:rPr>
          <w:rFonts w:hint="eastAsia"/>
        </w:rPr>
        <w:t xml:space="preserve">数据来源</w:t>
      </w:r>
    </w:p>
    <w:p>
      <w:pPr>
        <w:pStyle w:val="FirstParagraph"/>
      </w:pPr>
      <w:r>
        <w:rPr>
          <w:rFonts w:hint="eastAsia"/>
        </w:rPr>
        <w:t xml:space="preserve">本研究数据来自TCGA-BRCA项目，包含以下数据层：</w:t>
      </w:r>
    </w:p>
    <w:tbl>
      <w:tblPr>
        <w:tblStyle w:val="Table"/>
        <w:tblW w:type="pct" w:w="5000"/>
        <w:tblLayout w:type="fixed"/>
        <w:tblLook w:firstRow="1" w:lastRow="0" w:firstColumn="0" w:lastColumn="0" w:noHBand="0" w:noVBand="0" w:val="0020"/>
      </w:tblPr>
      <w:tblGrid>
        <w:gridCol w:w="1926"/>
        <w:gridCol w:w="1284"/>
        <w:gridCol w:w="1712"/>
        <w:gridCol w:w="1712"/>
        <w:gridCol w:w="1284"/>
      </w:tblGrid>
      <w:tr>
        <w:trPr>
          <w:tblHeader w:val="on"/>
        </w:trPr>
        <w:tc>
          <w:tcPr/>
          <w:p>
            <w:pPr>
              <w:pStyle w:val="Compact"/>
            </w:pPr>
            <w:r>
              <w:rPr>
                <w:rFonts w:hint="eastAsia"/>
              </w:rPr>
              <w:t xml:space="preserve">数据类型</w:t>
            </w:r>
          </w:p>
        </w:tc>
        <w:tc>
          <w:tcPr/>
          <w:p>
            <w:pPr>
              <w:pStyle w:val="Compact"/>
            </w:pPr>
            <w:r>
              <w:rPr>
                <w:rFonts w:hint="eastAsia"/>
              </w:rPr>
              <w:t xml:space="preserve">平台</w:t>
            </w:r>
          </w:p>
        </w:tc>
        <w:tc>
          <w:tcPr/>
          <w:p>
            <w:pPr>
              <w:pStyle w:val="Compact"/>
            </w:pPr>
            <w:r>
              <w:rPr>
                <w:rFonts w:hint="eastAsia"/>
              </w:rPr>
              <w:t xml:space="preserve">特征数</w:t>
            </w:r>
          </w:p>
        </w:tc>
        <w:tc>
          <w:tcPr/>
          <w:p>
            <w:pPr>
              <w:pStyle w:val="Compact"/>
            </w:pPr>
            <w:r>
              <w:rPr>
                <w:rFonts w:hint="eastAsia"/>
              </w:rPr>
              <w:t xml:space="preserve">样本量</w:t>
            </w:r>
          </w:p>
        </w:tc>
        <w:tc>
          <w:tcPr/>
          <w:p>
            <w:pPr>
              <w:pStyle w:val="Compact"/>
            </w:pPr>
            <w:r>
              <w:rPr>
                <w:rFonts w:hint="eastAsia"/>
              </w:rPr>
              <w:t xml:space="preserve">说明</w:t>
            </w:r>
          </w:p>
        </w:tc>
      </w:tr>
      <w:tr>
        <w:tc>
          <w:tcPr/>
          <w:p>
            <w:pPr>
              <w:pStyle w:val="Compact"/>
            </w:pPr>
            <w:r>
              <w:rPr>
                <w:rFonts w:hint="eastAsia"/>
              </w:rPr>
              <w:t xml:space="preserve">mRNA转录组</w:t>
            </w:r>
          </w:p>
        </w:tc>
        <w:tc>
          <w:tcPr/>
          <w:p>
            <w:pPr>
              <w:pStyle w:val="Compact"/>
            </w:pPr>
            <w:r>
              <w:t xml:space="preserve">HiSeq RNA-seq</w:t>
            </w:r>
          </w:p>
        </w:tc>
        <w:tc>
          <w:tcPr/>
          <w:p>
            <w:pPr>
              <w:pStyle w:val="Compact"/>
            </w:pPr>
            <w:r>
              <w:rPr>
                <w:rFonts w:hint="eastAsia"/>
              </w:rPr>
              <w:t xml:space="preserve">~60,000基因</w:t>
            </w:r>
          </w:p>
        </w:tc>
        <w:tc>
          <w:tcPr/>
          <w:p>
            <w:pPr>
              <w:pStyle w:val="Compact"/>
            </w:pPr>
            <w:r>
              <w:rPr>
                <w:rFonts w:hint="eastAsia"/>
              </w:rPr>
              <w:t xml:space="preserve">肿瘤+正常组织</w:t>
            </w:r>
          </w:p>
        </w:tc>
        <w:tc>
          <w:tcPr/>
          <w:p>
            <w:pPr>
              <w:pStyle w:val="Compact"/>
            </w:pPr>
            <w:r>
              <w:rPr>
                <w:rFonts w:hint="eastAsia"/>
              </w:rPr>
              <w:t xml:space="preserve">原始Read</w:t>
            </w:r>
            <w:r>
              <w:t xml:space="preserve"> Counts</w:t>
            </w:r>
          </w:p>
        </w:tc>
      </w:tr>
      <w:tr>
        <w:tc>
          <w:tcPr/>
          <w:p>
            <w:pPr>
              <w:pStyle w:val="Compact"/>
            </w:pPr>
            <w:r>
              <w:rPr>
                <w:rFonts w:hint="eastAsia"/>
              </w:rPr>
              <w:t xml:space="preserve">临床信息</w:t>
            </w:r>
          </w:p>
        </w:tc>
        <w:tc>
          <w:tcPr/>
          <w:p>
            <w:pPr>
              <w:pStyle w:val="Compact"/>
            </w:pPr>
            <w:r>
              <w:t xml:space="preserve">TCGA Clinical</w:t>
            </w:r>
          </w:p>
        </w:tc>
        <w:tc>
          <w:tcPr/>
          <w:p>
            <w:pPr>
              <w:pStyle w:val="Compact"/>
            </w:pPr>
            <w:r>
              <w:rPr>
                <w:rFonts w:hint="eastAsia"/>
              </w:rPr>
              <w:t xml:space="preserve">~20-90变量</w:t>
            </w:r>
          </w:p>
        </w:tc>
        <w:tc>
          <w:tcPr/>
          <w:p>
            <w:pPr>
              <w:pStyle w:val="Compact"/>
            </w:pPr>
            <w:r>
              <w:rPr>
                <w:rFonts w:hint="eastAsia"/>
              </w:rPr>
              <w:t xml:space="preserve">1,000+例</w:t>
            </w:r>
          </w:p>
        </w:tc>
        <w:tc>
          <w:tcPr/>
          <w:p>
            <w:pPr>
              <w:pStyle w:val="Compact"/>
            </w:pPr>
            <w:r>
              <w:rPr>
                <w:rFonts w:hint="eastAsia"/>
              </w:rPr>
              <w:t xml:space="preserve">人口统计、病理、生存</w:t>
            </w:r>
          </w:p>
        </w:tc>
      </w:tr>
    </w:tbl>
    <w:p>
      <w:pPr>
        <w:pStyle w:val="BodyText"/>
      </w:pPr>
      <w:r>
        <w:rPr>
          <w:rFonts w:hint="eastAsia"/>
        </w:rPr>
        <w:t xml:space="preserve">TCGA样本条形码采用标准化分层命名规则，前12个字符（如TCGA-A8-A079）为患者级唯一标识，样本类型代码（第14-15位）中01表示原发实体瘤，11表示癌旁正常组织。</w:t>
      </w:r>
    </w:p>
    <w:bookmarkEnd w:id="15"/>
    <w:bookmarkStart w:id="16" w:name="数据预处理流程"/>
    <w:p>
      <w:pPr>
        <w:pStyle w:val="Heading3"/>
      </w:pPr>
      <w:r>
        <w:t xml:space="preserve">2.2 </w:t>
      </w:r>
      <w:r>
        <w:rPr>
          <w:rFonts w:hint="eastAsia"/>
        </w:rPr>
        <w:t xml:space="preserve">数据预处理流程</w:t>
      </w:r>
    </w:p>
    <w:p>
      <w:pPr>
        <w:pStyle w:val="FirstParagraph"/>
      </w:pPr>
      <w:r>
        <w:rPr>
          <w:rFonts w:hint="eastAsia"/>
        </w:rPr>
        <w:t xml:space="preserve">数据预处理包括以下关键步骤：</w:t>
      </w:r>
    </w:p>
    <w:p>
      <w:pPr>
        <w:pStyle w:val="BodyText"/>
      </w:pPr>
      <w:r>
        <w:rPr>
          <w:rFonts w:hint="eastAsia"/>
          <w:b/>
          <w:bCs/>
        </w:rPr>
        <w:t xml:space="preserve">（1）TCGA条形码解析与样本分类</w:t>
      </w:r>
      <w:r>
        <w:rPr>
          <w:rFonts w:hint="eastAsia"/>
        </w:rPr>
        <w:t xml:space="preserve">：通过提取样本条形码第14-15位的样本类型代码，将全部样本分类为肿瘤（Tumor,</w:t>
      </w:r>
      <w:r>
        <w:t xml:space="preserve"> </w:t>
      </w:r>
      <w:r>
        <w:rPr>
          <w:rFonts w:hint="eastAsia"/>
        </w:rPr>
        <w:t xml:space="preserve">code=01）、正常组织（Normal,</w:t>
      </w:r>
      <w:r>
        <w:t xml:space="preserve"> </w:t>
      </w:r>
      <w:r>
        <w:rPr>
          <w:rFonts w:hint="eastAsia"/>
        </w:rPr>
        <w:t xml:space="preserve">code=11）和其他类型。</w:t>
      </w:r>
    </w:p>
    <w:p>
      <w:pPr>
        <w:pStyle w:val="BodyText"/>
      </w:pPr>
      <w:r>
        <w:rPr>
          <w:rFonts w:hint="eastAsia"/>
          <w:b/>
          <w:bCs/>
        </w:rPr>
        <w:t xml:space="preserve">（2）低表达基因过滤</w:t>
      </w:r>
      <w:r>
        <w:rPr>
          <w:rFonts w:hint="eastAsia"/>
        </w:rPr>
        <w:t xml:space="preserve">：原始表达矩阵包含约60,000个基因。采用独立过滤策略，保留至少在10%肿瘤样本中counts≥10的基因。该阈值参考DESeq2推荐准则，滤除的以低丰度非编码RNA和假基因为主。</w:t>
      </w:r>
    </w:p>
    <w:p>
      <w:pPr>
        <w:pStyle w:val="BodyText"/>
      </w:pPr>
      <w:r>
        <w:rPr>
          <w:rFonts w:hint="eastAsia"/>
          <w:b/>
          <w:bCs/>
        </w:rPr>
        <w:t xml:space="preserve">（3）基因标识符映射</w:t>
      </w:r>
      <w:r>
        <w:rPr>
          <w:rFonts w:hint="eastAsia"/>
        </w:rPr>
        <w:t xml:space="preserve">：将Ensembl</w:t>
      </w:r>
      <w:r>
        <w:t xml:space="preserve"> Gene </w:t>
      </w:r>
      <w:r>
        <w:rPr>
          <w:rFonts w:hint="eastAsia"/>
        </w:rPr>
        <w:t xml:space="preserve">ID映射为标准Gene</w:t>
      </w:r>
      <w:r>
        <w:t xml:space="preserve"> </w:t>
      </w:r>
      <w:r>
        <w:rPr>
          <w:rFonts w:hint="eastAsia"/>
        </w:rPr>
        <w:t xml:space="preserve">Symbol。优先使用org.Hs.eg.db注释包，备选方案为Ensembl</w:t>
      </w:r>
      <w:r>
        <w:t xml:space="preserve"> </w:t>
      </w:r>
      <w:r>
        <w:rPr>
          <w:rFonts w:hint="eastAsia"/>
        </w:rPr>
        <w:t xml:space="preserve">FTP基因组注释。对一对多映射保留平均表达量最高的条目，对无法映射的ID保留原始Ensembl</w:t>
      </w:r>
      <w:r>
        <w:t xml:space="preserve"> ID。</w:t>
      </w:r>
    </w:p>
    <w:p>
      <w:pPr>
        <w:pStyle w:val="BodyText"/>
      </w:pPr>
      <w:r>
        <w:rPr>
          <w:rFonts w:hint="eastAsia"/>
          <w:b/>
          <w:bCs/>
        </w:rPr>
        <w:t xml:space="preserve">（4）TPM标准化</w:t>
      </w:r>
      <w:r>
        <w:rPr>
          <w:rFonts w:hint="eastAsia"/>
        </w:rPr>
        <w:t xml:space="preserve">：采用Transcripts</w:t>
      </w:r>
      <w:r>
        <w:t xml:space="preserve"> Per </w:t>
      </w:r>
      <w:r>
        <w:rPr>
          <w:rFonts w:hint="eastAsia"/>
        </w:rPr>
        <w:t xml:space="preserve">Million（TPM）进行归一化。计算公式为：</w:t>
      </w:r>
    </w:p>
    <w:p>
      <w:pPr>
        <w:pStyle w:val="BodyText"/>
      </w:pPr>
      <m:oMathPara>
        <m:oMathParaPr>
          <m:jc m:val="center"/>
        </m:oMathParaPr>
        <m:oMath>
          <m:r>
            <m:t>T</m:t>
          </m:r>
          <m:r>
            <m:t>P</m:t>
          </m:r>
          <m:sSub>
            <m:e>
              <m:r>
                <m:t>M</m:t>
              </m:r>
            </m:e>
            <m:sub>
              <m:r>
                <m:t>i</m:t>
              </m:r>
            </m:sub>
          </m:sSub>
          <m:r>
            <m:rPr>
              <m:sty m:val="p"/>
            </m:rPr>
            <m:t>=</m:t>
          </m:r>
          <m:f>
            <m:fPr>
              <m:type m:val="bar"/>
            </m:fPr>
            <m:num>
              <m:r>
                <m:t>R</m:t>
              </m:r>
              <m:r>
                <m:t>P</m:t>
              </m:r>
              <m:sSub>
                <m:e>
                  <m:r>
                    <m:t>K</m:t>
                  </m:r>
                </m:e>
                <m:sub>
                  <m:r>
                    <m:t>i</m:t>
                  </m:r>
                </m:sub>
              </m:sSub>
            </m:num>
            <m:den>
              <m:nary>
                <m:naryPr>
                  <m:chr m:val="∑"/>
                  <m:limLoc m:val="undOvr"/>
                  <m:subHide m:val="off"/>
                  <m:supHide m:val="on"/>
                </m:naryPr>
                <m:sub>
                  <m:r>
                    <m:t>j</m:t>
                  </m:r>
                </m:sub>
                <m:sup>
                  <m:r>
                    <m:t>​</m:t>
                  </m:r>
                </m:sup>
                <m:e>
                  <m:r>
                    <m:t>R</m:t>
                  </m:r>
                </m:e>
              </m:nary>
              <m:r>
                <m:t>P</m:t>
              </m:r>
              <m:sSub>
                <m:e>
                  <m:r>
                    <m:t>K</m:t>
                  </m:r>
                </m:e>
                <m:sub>
                  <m:r>
                    <m:t>j</m:t>
                  </m:r>
                </m:sub>
              </m:sSub>
            </m:den>
          </m:f>
          <m:r>
            <m:rPr>
              <m:sty m:val="p"/>
            </m:rPr>
            <m:t>×</m:t>
          </m:r>
          <m:sSup>
            <m:e>
              <m:r>
                <m:t>10</m:t>
              </m:r>
            </m:e>
            <m:sup>
              <m:r>
                <m:t>6</m:t>
              </m:r>
            </m:sup>
          </m:sSup>
        </m:oMath>
      </m:oMathPara>
    </w:p>
    <w:p>
      <w:pPr>
        <w:pStyle w:val="FirstParagraph"/>
      </w:pPr>
      <w:r>
        <w:rPr>
          <w:rFonts w:hint="eastAsia"/>
        </w:rPr>
        <w:t xml:space="preserve">其中</w:t>
      </w:r>
      <m:oMath>
        <m:r>
          <m:t>R</m:t>
        </m:r>
        <m:r>
          <m:t>P</m:t>
        </m:r>
        <m:sSub>
          <m:e>
            <m:r>
              <m:t>K</m:t>
            </m:r>
          </m:e>
          <m:sub>
            <m:r>
              <m:t>i</m:t>
            </m:r>
          </m:sub>
        </m:sSub>
        <m:r>
          <m:rPr>
            <m:sty m:val="p"/>
          </m:rPr>
          <m:t>=</m:t>
        </m:r>
        <m:f>
          <m:fPr>
            <m:type m:val="bar"/>
          </m:fPr>
          <m:num>
            <m:r>
              <m:t>C</m:t>
            </m:r>
            <m:r>
              <m:t>o</m:t>
            </m:r>
            <m:r>
              <m:t>u</m:t>
            </m:r>
            <m:r>
              <m:t>n</m:t>
            </m:r>
            <m:r>
              <m:t>t</m:t>
            </m:r>
            <m:sSub>
              <m:e>
                <m:r>
                  <m:t>s</m:t>
                </m:r>
              </m:e>
              <m:sub>
                <m:r>
                  <m:t>i</m:t>
                </m:r>
              </m:sub>
            </m:sSub>
          </m:num>
          <m:den>
            <m:r>
              <m:t>G</m:t>
            </m:r>
            <m:r>
              <m:t>e</m:t>
            </m:r>
            <m:r>
              <m:t>n</m:t>
            </m:r>
            <m:r>
              <m:t>e</m:t>
            </m:r>
            <m:r>
              <m:t>L</m:t>
            </m:r>
            <m:r>
              <m:t>e</m:t>
            </m:r>
            <m:r>
              <m:t>n</m:t>
            </m:r>
            <m:r>
              <m:t>g</m:t>
            </m:r>
            <m:r>
              <m:t>t</m:t>
            </m:r>
            <m:sSub>
              <m:e>
                <m:r>
                  <m:t>h</m:t>
                </m:r>
              </m:e>
              <m:sub>
                <m:r>
                  <m:t>i</m:t>
                </m:r>
              </m:sub>
            </m:sSub>
            <m:r>
              <m:rPr>
                <m:sty m:val="p"/>
              </m:rPr>
              <m:t>/</m:t>
            </m:r>
            <m:r>
              <m:t>1000</m:t>
            </m:r>
          </m:den>
        </m:f>
      </m:oMath>
      <w:r>
        <w:rPr>
          <w:rFonts w:hint="eastAsia"/>
        </w:rPr>
        <w:t xml:space="preserve">为每千碱基Read数。</w:t>
      </w:r>
    </w:p>
    <w:p>
      <w:pPr>
        <w:pStyle w:val="BodyText"/>
      </w:pPr>
      <w:r>
        <w:rPr>
          <w:rFonts w:hint="eastAsia"/>
          <w:b/>
          <w:bCs/>
        </w:rPr>
        <w:t xml:space="preserve">（5）临床数据清洗</w:t>
      </w:r>
      <w:r>
        <w:rPr>
          <w:rFonts w:hint="eastAsia"/>
        </w:rPr>
        <w:t xml:space="preserve">：从原始临床变量中提取核心变量，涵盖基本信息（年龄、性别）、病理特征（分期、分级）、分子分型（ER/PR/HER2状态）和生存信息（生存时间、生存状态）。分子亚型按ER/PR/HER2免疫组化状态分类。</w:t>
      </w:r>
    </w:p>
    <w:p>
      <w:pPr>
        <w:pStyle w:val="BodyText"/>
      </w:pPr>
      <w:r>
        <w:rPr>
          <w:rFonts w:hint="eastAsia"/>
          <w:b/>
          <w:bCs/>
        </w:rPr>
        <w:t xml:space="preserve">（6）缺失值处理</w:t>
      </w:r>
      <w:r>
        <w:rPr>
          <w:rFonts w:hint="eastAsia"/>
        </w:rPr>
        <w:t xml:space="preserve">：数值型变量采用中位数填补，分类型变量采用众数填补。</w:t>
      </w:r>
    </w:p>
    <w:p>
      <w:pPr>
        <w:pStyle w:val="BodyText"/>
      </w:pPr>
      <w:r>
        <w:rPr>
          <w:rFonts w:hint="eastAsia"/>
          <w:b/>
          <w:bCs/>
        </w:rPr>
        <w:t xml:space="preserve">（7）数据对齐</w:t>
      </w:r>
      <w:r>
        <w:rPr>
          <w:rFonts w:hint="eastAsia"/>
        </w:rPr>
        <w:t xml:space="preserve">：以TCGA患者ID（条形码前12字符的后4位）为锚点，将表达矩阵与临床数据进行患者级对齐。</w:t>
      </w:r>
    </w:p>
    <w:bookmarkEnd w:id="16"/>
    <w:bookmarkStart w:id="17" w:name="分析环境"/>
    <w:p>
      <w:pPr>
        <w:pStyle w:val="Heading3"/>
      </w:pPr>
      <w:r>
        <w:t xml:space="preserve">2.3 </w:t>
      </w:r>
      <w:r>
        <w:rPr>
          <w:rFonts w:hint="eastAsia"/>
        </w:rPr>
        <w:t xml:space="preserve">分析环境</w:t>
      </w:r>
    </w:p>
    <w:p>
      <w:pPr>
        <w:pStyle w:val="FirstParagraph"/>
      </w:pPr>
      <w:r>
        <w:rPr>
          <w:rFonts w:hint="eastAsia"/>
        </w:rPr>
        <w:t xml:space="preserve">所有分析在R环境下执行。主要依赖包：DESeq2,</w:t>
      </w:r>
      <w:r>
        <w:t xml:space="preserve"> caret, randomForest, glmnet, WGCNA, survival, survminer, gprofiler2, ConsensusClusterPlus, pheatmap, ggplot2, </w:t>
      </w:r>
      <w:r>
        <w:rPr>
          <w:rFonts w:hint="eastAsia"/>
        </w:rPr>
        <w:t xml:space="preserve">ggrepel等。</w:t>
      </w:r>
    </w:p>
    <w:p>
      <w:r>
        <w:pict>
          <v:rect style="width:0;height:1.5pt" o:hralign="center" o:hrstd="t" o:hr="t"/>
        </w:pict>
      </w:r>
    </w:p>
    <w:bookmarkEnd w:id="17"/>
    <w:bookmarkEnd w:id="18"/>
    <w:bookmarkStart w:id="36" w:name="结果与分析"/>
    <w:p>
      <w:pPr>
        <w:pStyle w:val="Heading2"/>
      </w:pPr>
      <w:r>
        <w:t xml:space="preserve">3 </w:t>
      </w:r>
      <w:r>
        <w:rPr>
          <w:rFonts w:hint="eastAsia"/>
        </w:rPr>
        <w:t xml:space="preserve">结果与分析</w:t>
      </w:r>
    </w:p>
    <w:bookmarkStart w:id="22" w:name="差异表达分析"/>
    <w:p>
      <w:pPr>
        <w:pStyle w:val="Heading3"/>
      </w:pPr>
      <w:r>
        <w:t xml:space="preserve">3.1 </w:t>
      </w:r>
      <w:r>
        <w:rPr>
          <w:rFonts w:hint="eastAsia"/>
        </w:rPr>
        <w:t xml:space="preserve">差异表达分析</w:t>
      </w:r>
    </w:p>
    <w:bookmarkStart w:id="19" w:name="方法"/>
    <w:p>
      <w:pPr>
        <w:pStyle w:val="Heading4"/>
      </w:pPr>
      <w:r>
        <w:t xml:space="preserve">3.1.1 </w:t>
      </w:r>
      <w:r>
        <w:rPr>
          <w:rFonts w:hint="eastAsia"/>
        </w:rPr>
        <w:t xml:space="preserve">方法</w:t>
      </w:r>
    </w:p>
    <w:p>
      <w:pPr>
        <w:pStyle w:val="FirstParagraph"/>
      </w:pPr>
      <w:r>
        <w:rPr>
          <w:rFonts w:hint="eastAsia"/>
        </w:rPr>
        <w:t xml:space="preserve">采用DESeq2进行肿瘤组织与正常组织的差异表达分析。DESeq2基于负二项分布对RNA-seq计数数据建模，通过经验贝叶斯收缩改进离散度估计的稳定性，使用Wald检验评估组间差异的显著性[5]。分析参数：显著性阈值取FDR&lt;0.05（Benjamini-Hochberg校正）且|log2FC|&gt;1。</w:t>
      </w:r>
    </w:p>
    <w:bookmarkEnd w:id="19"/>
    <w:bookmarkStart w:id="20" w:name="结果"/>
    <w:p>
      <w:pPr>
        <w:pStyle w:val="Heading4"/>
      </w:pPr>
      <w:r>
        <w:t xml:space="preserve">3.1.2 </w:t>
      </w:r>
      <w:r>
        <w:rPr>
          <w:rFonts w:hint="eastAsia"/>
        </w:rPr>
        <w:t xml:space="preserve">结果</w:t>
      </w:r>
    </w:p>
    <w:p>
      <w:pPr>
        <w:pStyle w:val="FirstParagraph"/>
      </w:pPr>
      <w:r>
        <w:rPr>
          <w:rFonts w:hint="eastAsia"/>
        </w:rPr>
        <w:t xml:space="preserve">差异表达分析共鉴定6,768个显著差异表达基因（|log2FC|&gt;1,</w:t>
      </w:r>
      <w:r>
        <w:t xml:space="preserve"> </w:t>
      </w:r>
      <w:r>
        <w:rPr>
          <w:rFonts w:hint="eastAsia"/>
        </w:rPr>
        <w:t xml:space="preserve">padj&lt;0.05），其中上调4,334个、下调2,434个。上调基因数量约为下调的1.78倍，提示肿瘤组织中转录激活事件多于转录抑制事件，与肿瘤细胞的增殖活跃和代谢重编程特征一致。</w:t>
      </w:r>
    </w:p>
    <w:p>
      <w:pPr>
        <w:pStyle w:val="BodyText"/>
      </w:pPr>
      <w:r>
        <w:rPr>
          <w:rFonts w:hint="eastAsia"/>
        </w:rPr>
        <w:t xml:space="preserve">差异表达结果以火山图展示（图1），横轴为log2</w:t>
      </w:r>
      <w:r>
        <w:t xml:space="preserve"> Fold </w:t>
      </w:r>
      <w:r>
        <w:rPr>
          <w:rFonts w:hint="eastAsia"/>
        </w:rPr>
        <w:t xml:space="preserve">Change，纵轴为-log10(p-value)，红色表示上调基因，蓝色表示下调基因。Top差异基因的表达热图（图2）展示了肿瘤与正常组织之间的明显表达模式差异。</w:t>
      </w:r>
    </w:p>
    <w:bookmarkEnd w:id="20"/>
    <w:bookmarkStart w:id="21" w:name="功能富集分析"/>
    <w:p>
      <w:pPr>
        <w:pStyle w:val="Heading4"/>
      </w:pPr>
      <w:r>
        <w:t xml:space="preserve">3.1.3 </w:t>
      </w:r>
      <w:r>
        <w:rPr>
          <w:rFonts w:hint="eastAsia"/>
        </w:rPr>
        <w:t xml:space="preserve">功能富集分析</w:t>
      </w:r>
    </w:p>
    <w:p>
      <w:pPr>
        <w:pStyle w:val="FirstParagraph"/>
      </w:pPr>
      <w:r>
        <w:rPr>
          <w:rFonts w:hint="eastAsia"/>
        </w:rPr>
        <w:t xml:space="preserve">采用g:Profiler对上调和下调基因分别进行功能富集分析，覆盖GO</w:t>
      </w:r>
      <w:r>
        <w:t xml:space="preserve"> Biological Process、GO Molecular Function、GO Cellular Component、KEGG </w:t>
      </w:r>
      <w:r>
        <w:rPr>
          <w:rFonts w:hint="eastAsia"/>
        </w:rPr>
        <w:t xml:space="preserve">Pathway和Reactome等数据库。</w:t>
      </w:r>
    </w:p>
    <w:p>
      <w:pPr>
        <w:pStyle w:val="BodyText"/>
      </w:pPr>
      <w:r>
        <w:rPr>
          <w:rFonts w:hint="eastAsia"/>
        </w:rPr>
        <w:t xml:space="preserve">上调基因显著富集的通路预期包括：细胞周期（Cell</w:t>
      </w:r>
      <w:r>
        <w:t xml:space="preserve"> </w:t>
      </w:r>
      <w:r>
        <w:rPr>
          <w:rFonts w:hint="eastAsia"/>
        </w:rPr>
        <w:t xml:space="preserve">Cycle）、DNA复制（DNA</w:t>
      </w:r>
      <w:r>
        <w:t xml:space="preserve"> </w:t>
      </w:r>
      <w:r>
        <w:rPr>
          <w:rFonts w:hint="eastAsia"/>
        </w:rPr>
        <w:t xml:space="preserve">Replication）、有丝分裂（Mitotic</w:t>
      </w:r>
      <w:r>
        <w:t xml:space="preserve"> Cell </w:t>
      </w:r>
      <w:r>
        <w:rPr>
          <w:rFonts w:hint="eastAsia"/>
        </w:rPr>
        <w:t xml:space="preserve">Cycle）等与细胞增殖密切相关的生物学过程。下调基因则预期富集于：细胞外基质组织（ECM</w:t>
      </w:r>
      <w:r>
        <w:t xml:space="preserve"> </w:t>
      </w:r>
      <w:r>
        <w:rPr>
          <w:rFonts w:hint="eastAsia"/>
        </w:rPr>
        <w:t xml:space="preserve">Organization）、细胞黏附（Cell</w:t>
      </w:r>
      <w:r>
        <w:t xml:space="preserve"> </w:t>
      </w:r>
      <w:r>
        <w:rPr>
          <w:rFonts w:hint="eastAsia"/>
        </w:rPr>
        <w:t xml:space="preserve">Adhesion）、脂质代谢等与微环境交互相关的通路。上调与下调基因的功能差异反映了肿瘤细胞增殖激活与微环境交互减弱的双重特征。</w:t>
      </w:r>
    </w:p>
    <w:bookmarkEnd w:id="21"/>
    <w:bookmarkEnd w:id="22"/>
    <w:bookmarkStart w:id="25" w:name="分子亚型分期分类"/>
    <w:p>
      <w:pPr>
        <w:pStyle w:val="Heading3"/>
      </w:pPr>
      <w:r>
        <w:t xml:space="preserve">3.2 </w:t>
      </w:r>
      <w:r>
        <w:rPr>
          <w:rFonts w:hint="eastAsia"/>
        </w:rPr>
        <w:t xml:space="preserve">分子亚型/分期分类</w:t>
      </w:r>
    </w:p>
    <w:bookmarkStart w:id="23" w:name="方法-1"/>
    <w:p>
      <w:pPr>
        <w:pStyle w:val="Heading4"/>
      </w:pPr>
      <w:r>
        <w:t xml:space="preserve">3.2.1 </w:t>
      </w:r>
      <w:r>
        <w:rPr>
          <w:rFonts w:hint="eastAsia"/>
        </w:rPr>
        <w:t xml:space="preserve">方法</w:t>
      </w:r>
    </w:p>
    <w:p>
      <w:pPr>
        <w:pStyle w:val="FirstParagraph"/>
      </w:pPr>
      <w:r>
        <w:rPr>
          <w:rFonts w:hint="eastAsia"/>
        </w:rPr>
        <w:t xml:space="preserve">比较三种监督学习算法的分类性能：</w:t>
      </w:r>
      <w:r>
        <w:t xml:space="preserve"> </w:t>
      </w:r>
      <w:r>
        <w:t xml:space="preserve">-</w:t>
      </w:r>
      <w:r>
        <w:t xml:space="preserve"> </w:t>
      </w:r>
      <w:r>
        <w:rPr>
          <w:b/>
          <w:bCs/>
        </w:rPr>
        <w:t xml:space="preserve">Random Forest</w:t>
      </w:r>
      <w:r>
        <w:rPr>
          <w:rFonts w:hint="eastAsia"/>
        </w:rPr>
        <w:t xml:space="preserve">：基于bagging集成，ntree=500，降低过拟合风险[14]；</w:t>
      </w:r>
      <w:r>
        <w:t xml:space="preserve"> </w:t>
      </w:r>
      <w:r>
        <w:t xml:space="preserve">-</w:t>
      </w:r>
      <w:r>
        <w:t xml:space="preserve"> </w:t>
      </w:r>
      <w:r>
        <w:rPr>
          <w:rFonts w:hint="eastAsia"/>
          <w:b/>
          <w:bCs/>
        </w:rPr>
        <w:t xml:space="preserve">LASSO多分类回归</w:t>
      </w:r>
      <w:r>
        <w:rPr>
          <w:rFonts w:hint="eastAsia"/>
        </w:rPr>
        <w:t xml:space="preserve">：通过L1正则化同时实现特征选择和模型拟合，family=</w:t>
      </w:r>
      <w:r>
        <w:t xml:space="preserve">“multinomial”</w:t>
      </w:r>
      <w:r>
        <w:t xml:space="preserve">, alpha=1, </w:t>
      </w:r>
      <w:r>
        <w:rPr>
          <w:rFonts w:hint="eastAsia"/>
        </w:rPr>
        <w:t xml:space="preserve">5折交叉验证[13,17]；</w:t>
      </w:r>
      <w:r>
        <w:t xml:space="preserve"> </w:t>
      </w:r>
      <w:r>
        <w:t xml:space="preserve">-</w:t>
      </w:r>
      <w:r>
        <w:t xml:space="preserve"> </w:t>
      </w:r>
      <w:r>
        <w:rPr>
          <w:b/>
          <w:bCs/>
        </w:rPr>
        <w:t xml:space="preserve">XGBoost</w:t>
      </w:r>
      <w:r>
        <w:rPr>
          <w:rFonts w:hint="eastAsia"/>
        </w:rPr>
        <w:t xml:space="preserve">：基于梯度提升树框架，max_depth=6,</w:t>
      </w:r>
      <w:r>
        <w:t xml:space="preserve"> eta=0.1, nrounds=500[15]。</w:t>
      </w:r>
    </w:p>
    <w:p>
      <w:pPr>
        <w:pStyle w:val="BodyText"/>
      </w:pPr>
      <w:r>
        <w:rPr>
          <w:rFonts w:hint="eastAsia"/>
        </w:rPr>
        <w:t xml:space="preserve">输入特征为Top</w:t>
      </w:r>
      <w:r>
        <w:t xml:space="preserve"> </w:t>
      </w:r>
      <w:r>
        <w:rPr>
          <w:rFonts w:hint="eastAsia"/>
        </w:rPr>
        <w:t xml:space="preserve">500可变基因的log2(TPM+1)表达矩阵。训练集与测试集按7:3分层划分（set.seed=42确保可重复性）。分类目标为分子亚型（Luminal</w:t>
      </w:r>
      <w:r>
        <w:t xml:space="preserve"> A, HER2-enriched, Triple </w:t>
      </w:r>
      <w:r>
        <w:rPr>
          <w:rFonts w:hint="eastAsia"/>
        </w:rPr>
        <w:t xml:space="preserve">Negative）或病理分期。</w:t>
      </w:r>
    </w:p>
    <w:bookmarkEnd w:id="23"/>
    <w:bookmarkStart w:id="24" w:name="结果-1"/>
    <w:p>
      <w:pPr>
        <w:pStyle w:val="Heading4"/>
      </w:pPr>
      <w:r>
        <w:t xml:space="preserve">3.2.2 </w:t>
      </w:r>
      <w:r>
        <w:rPr>
          <w:rFonts w:hint="eastAsia"/>
        </w:rPr>
        <w:t xml:space="preserve">结果</w:t>
      </w:r>
    </w:p>
    <w:p>
      <w:pPr>
        <w:pStyle w:val="FirstParagraph"/>
      </w:pPr>
      <w:r>
        <w:rPr>
          <w:rFonts w:hint="eastAsia"/>
        </w:rPr>
        <w:t xml:space="preserve">三种分类模型的性能比较揭示了不同算法在处理高维基因表达数据时的特点。Random</w:t>
      </w:r>
      <w:r>
        <w:t xml:space="preserve"> </w:t>
      </w:r>
      <w:r>
        <w:rPr>
          <w:rFonts w:hint="eastAsia"/>
        </w:rPr>
        <w:t xml:space="preserve">Forest和LASSO均达到75.8%的准确率。LASSO通过L1正则化实现特征压缩，将500个候选基因压缩至少数特征基因（Kappa=0.332），验证了乳腺癌分子亚型之间转录组差异的稀疏性。Random</w:t>
      </w:r>
      <w:r>
        <w:t xml:space="preserve"> </w:t>
      </w:r>
      <w:r>
        <w:rPr>
          <w:rFonts w:hint="eastAsia"/>
        </w:rPr>
        <w:t xml:space="preserve">Forest的Kappa为0.281。</w:t>
      </w:r>
    </w:p>
    <w:p>
      <w:pPr>
        <w:pStyle w:val="BodyText"/>
      </w:pPr>
      <w:r>
        <w:rPr>
          <w:rFonts w:hint="eastAsia"/>
        </w:rPr>
        <w:t xml:space="preserve">模型评估指标包括准确率（Accuracy）、Kappa系数和Macro</w:t>
      </w:r>
      <w:r>
        <w:t xml:space="preserve"> </w:t>
      </w:r>
      <w:r>
        <w:rPr>
          <w:rFonts w:hint="eastAsia"/>
        </w:rPr>
        <w:t xml:space="preserve">F1分数，通过混淆矩阵和多类别ROC曲线进行可视化表征。</w:t>
      </w:r>
    </w:p>
    <w:bookmarkEnd w:id="24"/>
    <w:bookmarkEnd w:id="25"/>
    <w:bookmarkStart w:id="28" w:name="聚类分析"/>
    <w:p>
      <w:pPr>
        <w:pStyle w:val="Heading3"/>
      </w:pPr>
      <w:r>
        <w:t xml:space="preserve">3.3 </w:t>
      </w:r>
      <w:r>
        <w:rPr>
          <w:rFonts w:hint="eastAsia"/>
        </w:rPr>
        <w:t xml:space="preserve">聚类分析</w:t>
      </w:r>
    </w:p>
    <w:bookmarkStart w:id="26" w:name="方法-2"/>
    <w:p>
      <w:pPr>
        <w:pStyle w:val="Heading4"/>
      </w:pPr>
      <w:r>
        <w:t xml:space="preserve">3.3.1 </w:t>
      </w:r>
      <w:r>
        <w:rPr>
          <w:rFonts w:hint="eastAsia"/>
        </w:rPr>
        <w:t xml:space="preserve">方法</w:t>
      </w:r>
    </w:p>
    <w:p>
      <w:pPr>
        <w:pStyle w:val="FirstParagraph"/>
      </w:pPr>
      <w:r>
        <w:rPr>
          <w:rFonts w:hint="eastAsia"/>
        </w:rPr>
        <w:t xml:space="preserve">综合运用五种无监督学习方法：</w:t>
      </w:r>
      <w:r>
        <w:t xml:space="preserve"> </w:t>
      </w:r>
      <w:r>
        <w:t xml:space="preserve">-</w:t>
      </w:r>
      <w:r>
        <w:t xml:space="preserve"> </w:t>
      </w:r>
      <w:r>
        <w:rPr>
          <w:b/>
          <w:bCs/>
        </w:rPr>
        <w:t xml:space="preserve">PCA</w:t>
      </w:r>
      <w:r>
        <w:rPr>
          <w:rFonts w:hint="eastAsia"/>
        </w:rPr>
        <w:t xml:space="preserve">：基于Top</w:t>
      </w:r>
      <w:r>
        <w:t xml:space="preserve"> </w:t>
      </w:r>
      <w:r>
        <w:rPr>
          <w:rFonts w:hint="eastAsia"/>
        </w:rPr>
        <w:t xml:space="preserve">2000可变基因进行主成分分析；</w:t>
      </w:r>
      <w:r>
        <w:t xml:space="preserve"> </w:t>
      </w:r>
      <w:r>
        <w:t xml:space="preserve">-</w:t>
      </w:r>
      <w:r>
        <w:t xml:space="preserve"> </w:t>
      </w:r>
      <w:r>
        <w:rPr>
          <w:b/>
          <w:bCs/>
        </w:rPr>
        <w:t xml:space="preserve">t-SNE</w:t>
      </w:r>
      <w:r>
        <w:rPr>
          <w:rFonts w:hint="eastAsia"/>
        </w:rPr>
        <w:t xml:space="preserve">：非线性降维（perplexity=30,</w:t>
      </w:r>
      <w:r>
        <w:t xml:space="preserve"> </w:t>
      </w:r>
      <w:r>
        <w:rPr>
          <w:rFonts w:hint="eastAsia"/>
        </w:rPr>
        <w:t xml:space="preserve">max_iter=1000）；</w:t>
      </w:r>
      <w:r>
        <w:t xml:space="preserve"> </w:t>
      </w:r>
      <w:r>
        <w:t xml:space="preserve">-</w:t>
      </w:r>
      <w:r>
        <w:t xml:space="preserve"> </w:t>
      </w:r>
      <w:r>
        <w:rPr>
          <w:rFonts w:hint="eastAsia"/>
          <w:b/>
          <w:bCs/>
        </w:rPr>
        <w:t xml:space="preserve">层次聚类</w:t>
      </w:r>
      <w:r>
        <w:rPr>
          <w:rFonts w:hint="eastAsia"/>
        </w:rPr>
        <w:t xml:space="preserve">：Ward.D2方法和Pearson相关系数距离；</w:t>
      </w:r>
      <w:r>
        <w:t xml:space="preserve"> </w:t>
      </w:r>
      <w:r>
        <w:t xml:space="preserve">-</w:t>
      </w:r>
      <w:r>
        <w:t xml:space="preserve"> </w:t>
      </w:r>
      <w:r>
        <w:rPr>
          <w:b/>
          <w:bCs/>
        </w:rPr>
        <w:t xml:space="preserve">K-means</w:t>
      </w:r>
      <w:r>
        <w:rPr>
          <w:rFonts w:hint="eastAsia"/>
        </w:rPr>
        <w:t xml:space="preserve">：对K=2至10评估轮廓系数（Silhouette</w:t>
      </w:r>
      <w:r>
        <w:t xml:space="preserve"> </w:t>
      </w:r>
      <w:r>
        <w:rPr>
          <w:rFonts w:hint="eastAsia"/>
        </w:rPr>
        <w:t xml:space="preserve">Width）；</w:t>
      </w:r>
      <w:r>
        <w:t xml:space="preserve"> </w:t>
      </w:r>
      <w:r>
        <w:t xml:space="preserve">-</w:t>
      </w:r>
      <w:r>
        <w:t xml:space="preserve"> </w:t>
      </w:r>
      <w:r>
        <w:rPr>
          <w:rFonts w:hint="eastAsia"/>
          <w:b/>
          <w:bCs/>
        </w:rPr>
        <w:t xml:space="preserve">共识聚类</w:t>
      </w:r>
      <w:r>
        <w:rPr>
          <w:rFonts w:hint="eastAsia"/>
        </w:rPr>
        <w:t xml:space="preserve">：ConsensusClusterPlus，80%重采样、1000次迭代，评估K=2-8的聚类稳定性[10]。</w:t>
      </w:r>
    </w:p>
    <w:bookmarkEnd w:id="26"/>
    <w:bookmarkStart w:id="27" w:name="结果-2"/>
    <w:p>
      <w:pPr>
        <w:pStyle w:val="Heading4"/>
      </w:pPr>
      <w:r>
        <w:t xml:space="preserve">3.3.2 </w:t>
      </w:r>
      <w:r>
        <w:rPr>
          <w:rFonts w:hint="eastAsia"/>
        </w:rPr>
        <w:t xml:space="preserve">结果</w:t>
      </w:r>
    </w:p>
    <w:p>
      <w:pPr>
        <w:pStyle w:val="FirstParagraph"/>
      </w:pPr>
      <w:r>
        <w:rPr>
          <w:rFonts w:hint="eastAsia"/>
        </w:rPr>
        <w:t xml:space="preserve">PCA分析展示了样本在主成分空间中的分布，PC1和PC2解释了最大方差。按分子亚型着色的PCA图显示，不同亚型在PC空间中形成可区分的聚类，尤其是ER+与ER-亚型之间分离明显。</w:t>
      </w:r>
    </w:p>
    <w:p>
      <w:pPr>
        <w:pStyle w:val="BodyText"/>
      </w:pPr>
      <w:r>
        <w:rPr>
          <w:rFonts w:hint="eastAsia"/>
        </w:rPr>
        <w:t xml:space="preserve">t-SNE降维进一步展示了样本间的非线性结构关系。K-means轮廓系数分析确定了最优聚类数，为后续分子分型提供了数据驱动的参考。</w:t>
      </w:r>
    </w:p>
    <w:p>
      <w:pPr>
        <w:pStyle w:val="BodyText"/>
      </w:pPr>
      <w:r>
        <w:rPr>
          <w:rFonts w:hint="eastAsia"/>
        </w:rPr>
        <w:t xml:space="preserve">层次聚类热图（图5）展示了Top</w:t>
      </w:r>
      <w:r>
        <w:t xml:space="preserve"> </w:t>
      </w:r>
      <w:r>
        <w:rPr>
          <w:rFonts w:hint="eastAsia"/>
        </w:rPr>
        <w:t xml:space="preserve">500可变基因在全部样本中的表达模式，行和列均进行了聚类，清楚显示了肿瘤样本与正常样本之间以及不同亚型之间的表达差异。</w:t>
      </w:r>
    </w:p>
    <w:bookmarkEnd w:id="27"/>
    <w:bookmarkEnd w:id="28"/>
    <w:bookmarkStart w:id="31" w:name="wgcna共表达网络分析"/>
    <w:p>
      <w:pPr>
        <w:pStyle w:val="Heading3"/>
      </w:pPr>
      <w:r>
        <w:t xml:space="preserve">3.4 </w:t>
      </w:r>
      <w:r>
        <w:rPr>
          <w:rFonts w:hint="eastAsia"/>
        </w:rPr>
        <w:t xml:space="preserve">WGCNA共表达网络分析</w:t>
      </w:r>
    </w:p>
    <w:bookmarkStart w:id="29" w:name="方法-3"/>
    <w:p>
      <w:pPr>
        <w:pStyle w:val="Heading4"/>
      </w:pPr>
      <w:r>
        <w:t xml:space="preserve">3.4.1 </w:t>
      </w:r>
      <w:r>
        <w:rPr>
          <w:rFonts w:hint="eastAsia"/>
        </w:rPr>
        <w:t xml:space="preserve">方法</w:t>
      </w:r>
    </w:p>
    <w:p>
      <w:pPr>
        <w:pStyle w:val="FirstParagraph"/>
      </w:pPr>
      <w:r>
        <w:rPr>
          <w:rFonts w:hint="eastAsia"/>
        </w:rPr>
        <w:t xml:space="preserve">WGCNA通过构建无标度共表达网络将基因聚类为功能相关的模块[6]。使用Top</w:t>
      </w:r>
      <w:r>
        <w:t xml:space="preserve"> </w:t>
      </w:r>
      <w:r>
        <w:rPr>
          <w:rFonts w:hint="eastAsia"/>
        </w:rPr>
        <w:t xml:space="preserve">5000可变基因的log2(TPM+1)矩阵。分析流程：</w:t>
      </w:r>
    </w:p>
    <w:p>
      <w:pPr>
        <w:pStyle w:val="Compact"/>
        <w:numPr>
          <w:ilvl w:val="0"/>
          <w:numId w:val="1002"/>
        </w:numPr>
      </w:pPr>
      <w:r>
        <w:rPr>
          <w:rFonts w:hint="eastAsia"/>
        </w:rPr>
        <w:t xml:space="preserve">计算基因间Pearson相关系数构建相似性矩阵；</w:t>
      </w:r>
    </w:p>
    <w:p>
      <w:pPr>
        <w:pStyle w:val="Compact"/>
        <w:numPr>
          <w:ilvl w:val="0"/>
          <w:numId w:val="1002"/>
        </w:numPr>
      </w:pPr>
      <w:r>
        <w:rPr>
          <w:rFonts w:hint="eastAsia"/>
        </w:rPr>
        <w:t xml:space="preserve">通过软阈值幂函数将相似性矩阵转化为邻接矩阵（选择标准：scale-free</w:t>
      </w:r>
      <w:r>
        <w:t xml:space="preserve"> </w:t>
      </w:r>
      <w:r>
        <w:rPr>
          <w:rFonts w:hint="eastAsia"/>
        </w:rPr>
        <w:t xml:space="preserve">R²&gt;0.8）；</w:t>
      </w:r>
    </w:p>
    <w:p>
      <w:pPr>
        <w:pStyle w:val="Compact"/>
        <w:numPr>
          <w:ilvl w:val="0"/>
          <w:numId w:val="1002"/>
        </w:numPr>
      </w:pPr>
      <w:r>
        <w:rPr>
          <w:rFonts w:hint="eastAsia"/>
        </w:rPr>
        <w:t xml:space="preserve">构建拓扑重叠矩阵（TOM）以考虑间接连接模式；</w:t>
      </w:r>
    </w:p>
    <w:p>
      <w:pPr>
        <w:pStyle w:val="Compact"/>
        <w:numPr>
          <w:ilvl w:val="0"/>
          <w:numId w:val="1002"/>
        </w:numPr>
      </w:pPr>
      <w:r>
        <w:rPr>
          <w:rFonts w:hint="eastAsia"/>
        </w:rPr>
        <w:t xml:space="preserve">基于TOM相异度进行层次聚类和动态树切割识别模块（minModuleSize=30,</w:t>
      </w:r>
      <w:r>
        <w:t xml:space="preserve"> </w:t>
      </w:r>
      <w:r>
        <w:rPr>
          <w:rFonts w:hint="eastAsia"/>
        </w:rPr>
        <w:t xml:space="preserve">mergeCutHeight=0.25）；</w:t>
      </w:r>
    </w:p>
    <w:p>
      <w:pPr>
        <w:pStyle w:val="Compact"/>
        <w:numPr>
          <w:ilvl w:val="0"/>
          <w:numId w:val="1002"/>
        </w:numPr>
      </w:pPr>
      <w:r>
        <w:rPr>
          <w:rFonts w:hint="eastAsia"/>
        </w:rPr>
        <w:t xml:space="preserve">计算模块特征基因（第一主成分）与临床性状的相关性；</w:t>
      </w:r>
    </w:p>
    <w:p>
      <w:pPr>
        <w:pStyle w:val="Compact"/>
        <w:numPr>
          <w:ilvl w:val="0"/>
          <w:numId w:val="1002"/>
        </w:numPr>
      </w:pPr>
      <w:r>
        <w:rPr>
          <w:rFonts w:hint="eastAsia"/>
        </w:rPr>
        <w:t xml:space="preserve">通过模块内连接度（Module</w:t>
      </w:r>
      <w:r>
        <w:t xml:space="preserve"> Membership, </w:t>
      </w:r>
      <w:r>
        <w:rPr>
          <w:rFonts w:hint="eastAsia"/>
        </w:rPr>
        <w:t xml:space="preserve">MM）识别枢纽基因。</w:t>
      </w:r>
    </w:p>
    <w:bookmarkEnd w:id="29"/>
    <w:bookmarkStart w:id="30" w:name="结果-3"/>
    <w:p>
      <w:pPr>
        <w:pStyle w:val="Heading4"/>
      </w:pPr>
      <w:r>
        <w:t xml:space="preserve">3.4.2 </w:t>
      </w:r>
      <w:r>
        <w:rPr>
          <w:rFonts w:hint="eastAsia"/>
        </w:rPr>
        <w:t xml:space="preserve">结果</w:t>
      </w:r>
    </w:p>
    <w:p>
      <w:pPr>
        <w:pStyle w:val="FirstParagraph"/>
      </w:pPr>
      <w:r>
        <w:rPr>
          <w:rFonts w:hint="eastAsia"/>
        </w:rPr>
        <w:t xml:space="preserve">软阈值选择分析确定了最优power值，确保网络满足无标度拓扑假设。经动态树切割和相似模块合并后，共识别多个共表达模块，每个模块以不同颜色标识。</w:t>
      </w:r>
    </w:p>
    <w:p>
      <w:pPr>
        <w:pStyle w:val="BodyText"/>
      </w:pPr>
      <w:r>
        <w:rPr>
          <w:rFonts w:hint="eastAsia"/>
        </w:rPr>
        <w:t xml:space="preserve">模块-性状关联分析显示不同模块与临床特征（分子亚型、病理分期、生存状态等）之间存在显著相关性。通过计算基因与模块特征基因的相关性（Module</w:t>
      </w:r>
      <w:r>
        <w:t xml:space="preserve"> </w:t>
      </w:r>
      <w:r>
        <w:rPr>
          <w:rFonts w:hint="eastAsia"/>
        </w:rPr>
        <w:t xml:space="preserve">Membership），在关键模块中识别了枢纽基因（hub</w:t>
      </w:r>
      <w:r>
        <w:t xml:space="preserve"> </w:t>
      </w:r>
      <w:r>
        <w:rPr>
          <w:rFonts w:hint="eastAsia"/>
        </w:rPr>
        <w:t xml:space="preserve">genes），这些基因在模块内具有最高的连接度，是潜在的生物标志物候选。</w:t>
      </w:r>
    </w:p>
    <w:bookmarkEnd w:id="30"/>
    <w:bookmarkEnd w:id="31"/>
    <w:bookmarkStart w:id="34" w:name="生存分析"/>
    <w:p>
      <w:pPr>
        <w:pStyle w:val="Heading3"/>
      </w:pPr>
      <w:r>
        <w:t xml:space="preserve">3.5 </w:t>
      </w:r>
      <w:r>
        <w:rPr>
          <w:rFonts w:hint="eastAsia"/>
        </w:rPr>
        <w:t xml:space="preserve">生存分析</w:t>
      </w:r>
    </w:p>
    <w:bookmarkStart w:id="32" w:name="方法-4"/>
    <w:p>
      <w:pPr>
        <w:pStyle w:val="Heading4"/>
      </w:pPr>
      <w:r>
        <w:t xml:space="preserve">3.5.1 </w:t>
      </w:r>
      <w:r>
        <w:rPr>
          <w:rFonts w:hint="eastAsia"/>
        </w:rPr>
        <w:t xml:space="preserve">方法</w:t>
      </w:r>
    </w:p>
    <w:p>
      <w:pPr>
        <w:pStyle w:val="FirstParagraph"/>
      </w:pPr>
      <w:r>
        <w:rPr>
          <w:rFonts w:hint="eastAsia"/>
        </w:rPr>
        <w:t xml:space="preserve">采用Kaplan-Meier生存曲线（log-rank检验）和Cox比例风险回归评估临床及分子特征的预后价值[16]。Cox模型纳入变量包括年龄、淋巴结阳性数、病理分期（II/III/IV</w:t>
      </w:r>
      <w:r>
        <w:t xml:space="preserve"> vs </w:t>
      </w:r>
      <w:r>
        <w:rPr>
          <w:rFonts w:hint="eastAsia"/>
        </w:rPr>
        <w:t xml:space="preserve">I）和分子亚型（HER2-enriched/Triple</w:t>
      </w:r>
      <w:r>
        <w:t xml:space="preserve"> Negative vs Luminal </w:t>
      </w:r>
      <w:r>
        <w:rPr>
          <w:rFonts w:hint="eastAsia"/>
        </w:rPr>
        <w:t xml:space="preserve">A）。模型评价采用C-index和似然比检验。</w:t>
      </w:r>
    </w:p>
    <w:p>
      <w:pPr>
        <w:pStyle w:val="BodyText"/>
      </w:pPr>
      <w:r>
        <w:rPr>
          <w:rFonts w:hint="eastAsia"/>
        </w:rPr>
        <w:t xml:space="preserve">此外，采用LASSO-Cox方法构建预后基因标记：以差异表达基因为候选，通过L1正则化的Cox回归筛选预后相关基因，构建加权风险得分，按中位值将患者分为高风险组和低风险组。</w:t>
      </w:r>
    </w:p>
    <w:bookmarkEnd w:id="32"/>
    <w:bookmarkStart w:id="33" w:name="结果-4"/>
    <w:p>
      <w:pPr>
        <w:pStyle w:val="Heading4"/>
      </w:pPr>
      <w:r>
        <w:t xml:space="preserve">3.5.2 </w:t>
      </w:r>
      <w:r>
        <w:rPr>
          <w:rFonts w:hint="eastAsia"/>
        </w:rPr>
        <w:t xml:space="preserve">结果</w:t>
      </w:r>
    </w:p>
    <w:p>
      <w:pPr>
        <w:pStyle w:val="FirstParagraph"/>
      </w:pPr>
      <w:r>
        <w:rPr>
          <w:rFonts w:hint="eastAsia"/>
        </w:rPr>
        <w:t xml:space="preserve">Kaplan-Meier分析显示病理分期与总生存之间存在显著关联，高分期患者预后明显较差。多变量Cox回归（C-index=0.767,</w:t>
      </w:r>
      <w:r>
        <w:t xml:space="preserve"> </w:t>
      </w:r>
      <w:r>
        <w:rPr>
          <w:rFonts w:hint="eastAsia"/>
        </w:rPr>
        <w:t xml:space="preserve">似然比p=3.61×10⁻¹²）结果表明：年龄（HR=1.04,</w:t>
      </w:r>
      <w:r>
        <w:t xml:space="preserve"> </w:t>
      </w:r>
      <w:r>
        <w:rPr>
          <w:rFonts w:hint="eastAsia"/>
        </w:rPr>
        <w:t xml:space="preserve">p=7.38×10⁻⁶）、Stage</w:t>
      </w:r>
      <w:r>
        <w:t xml:space="preserve"> </w:t>
      </w:r>
      <w:r>
        <w:rPr>
          <w:rFonts w:hint="eastAsia"/>
        </w:rPr>
        <w:t xml:space="preserve">II（HR=3.24,</w:t>
      </w:r>
      <w:r>
        <w:t xml:space="preserve"> </w:t>
      </w:r>
      <w:r>
        <w:rPr>
          <w:rFonts w:hint="eastAsia"/>
        </w:rPr>
        <w:t xml:space="preserve">p=0.013）、Stage</w:t>
      </w:r>
      <w:r>
        <w:t xml:space="preserve"> </w:t>
      </w:r>
      <w:r>
        <w:rPr>
          <w:rFonts w:hint="eastAsia"/>
        </w:rPr>
        <w:t xml:space="preserve">III（HR=6.00,</w:t>
      </w:r>
      <w:r>
        <w:t xml:space="preserve"> </w:t>
      </w:r>
      <w:r>
        <w:rPr>
          <w:rFonts w:hint="eastAsia"/>
        </w:rPr>
        <w:t xml:space="preserve">p=2.35×10⁻⁴）和Stage</w:t>
      </w:r>
      <w:r>
        <w:t xml:space="preserve"> </w:t>
      </w:r>
      <w:r>
        <w:rPr>
          <w:rFonts w:hint="eastAsia"/>
        </w:rPr>
        <w:t xml:space="preserve">IV（HR=29.82,</w:t>
      </w:r>
      <w:r>
        <w:t xml:space="preserve"> </w:t>
      </w:r>
      <w:r>
        <w:rPr>
          <w:rFonts w:hint="eastAsia"/>
        </w:rPr>
        <w:t xml:space="preserve">p=7.02×10⁻¹⁰）为显著的独立预后因素。Triple</w:t>
      </w:r>
      <w:r>
        <w:t xml:space="preserve"> </w:t>
      </w:r>
      <w:r>
        <w:rPr>
          <w:rFonts w:hint="eastAsia"/>
        </w:rPr>
        <w:t xml:space="preserve">Negative亚型也显示出显著的预后风险（HR=2.00,</w:t>
      </w:r>
      <w:r>
        <w:t xml:space="preserve"> </w:t>
      </w:r>
      <w:r>
        <w:rPr>
          <w:rFonts w:hint="eastAsia"/>
        </w:rPr>
        <w:t xml:space="preserve">p=0.028）。</w:t>
      </w:r>
    </w:p>
    <w:p>
      <w:pPr>
        <w:pStyle w:val="BodyText"/>
      </w:pPr>
      <w:r>
        <w:rPr>
          <w:rFonts w:hint="eastAsia"/>
        </w:rPr>
        <w:t xml:space="preserve">LASSO-Cox预后基因标记筛选出3个预后相关基因，通过KM曲线展示了高风险组与低风险组之间的生存差异。</w:t>
      </w:r>
    </w:p>
    <w:bookmarkEnd w:id="33"/>
    <w:bookmarkEnd w:id="34"/>
    <w:bookmarkStart w:id="35" w:name="体细胞突变分析可选"/>
    <w:p>
      <w:pPr>
        <w:pStyle w:val="Heading3"/>
      </w:pPr>
      <w:r>
        <w:t xml:space="preserve">3.6 </w:t>
      </w:r>
      <w:r>
        <w:rPr>
          <w:rFonts w:hint="eastAsia"/>
        </w:rPr>
        <w:t xml:space="preserve">体细胞突变分析（可选）</w:t>
      </w:r>
    </w:p>
    <w:p>
      <w:pPr>
        <w:pStyle w:val="FirstParagraph"/>
      </w:pPr>
      <w:r>
        <w:rPr>
          <w:rFonts w:hint="eastAsia"/>
        </w:rPr>
        <w:t xml:space="preserve">如配对MAF数据可用，采用maftools[12]进行突变景观分析，包括：高频突变基因统计、Oncoplot瀑布图可视化、变异类型分布和基因间互斥性/共现性检验。</w:t>
      </w:r>
    </w:p>
    <w:p>
      <w:r>
        <w:pict>
          <v:rect style="width:0;height:1.5pt" o:hralign="center" o:hrstd="t" o:hr="t"/>
        </w:pict>
      </w:r>
    </w:p>
    <w:bookmarkEnd w:id="35"/>
    <w:bookmarkEnd w:id="36"/>
    <w:bookmarkStart w:id="37" w:name="可视化分析"/>
    <w:p>
      <w:pPr>
        <w:pStyle w:val="Heading2"/>
      </w:pPr>
      <w:r>
        <w:t xml:space="preserve">4 </w:t>
      </w:r>
      <w:r>
        <w:rPr>
          <w:rFonts w:hint="eastAsia"/>
        </w:rPr>
        <w:t xml:space="preserve">可视化分析</w:t>
      </w:r>
    </w:p>
    <w:p>
      <w:pPr>
        <w:pStyle w:val="FirstParagraph"/>
      </w:pPr>
      <w:r>
        <w:rPr>
          <w:rFonts w:hint="eastAsia"/>
        </w:rPr>
        <w:t xml:space="preserve">可视化在数据挖掘成果向生物学知识转化中扮演着关键角色。本研究生成的主要图表包括：</w:t>
      </w:r>
    </w:p>
    <w:tbl>
      <w:tblPr>
        <w:tblStyle w:val="Table"/>
        <w:tblW w:type="pct" w:w="5000"/>
        <w:tblLayout w:type="fixed"/>
        <w:tblLook w:firstRow="1" w:lastRow="0" w:firstColumn="0" w:lastColumn="0" w:noHBand="0" w:noVBand="0" w:val="0020"/>
      </w:tblPr>
      <w:tblGrid>
        <w:gridCol w:w="1721"/>
        <w:gridCol w:w="2066"/>
        <w:gridCol w:w="2066"/>
        <w:gridCol w:w="2066"/>
      </w:tblGrid>
      <w:tr>
        <w:trPr>
          <w:tblHeader w:val="on"/>
        </w:trPr>
        <w:tc>
          <w:tcPr/>
          <w:p>
            <w:pPr>
              <w:pStyle w:val="Compact"/>
            </w:pPr>
            <w:r>
              <w:rPr>
                <w:rFonts w:hint="eastAsia"/>
              </w:rPr>
              <w:t xml:space="preserve">图号</w:t>
            </w:r>
          </w:p>
        </w:tc>
        <w:tc>
          <w:tcPr/>
          <w:p>
            <w:pPr>
              <w:pStyle w:val="Compact"/>
            </w:pPr>
            <w:r>
              <w:rPr>
                <w:rFonts w:hint="eastAsia"/>
              </w:rPr>
              <w:t xml:space="preserve">内容</w:t>
            </w:r>
          </w:p>
        </w:tc>
        <w:tc>
          <w:tcPr/>
          <w:p>
            <w:pPr>
              <w:pStyle w:val="Compact"/>
            </w:pPr>
            <w:r>
              <w:rPr>
                <w:rFonts w:hint="eastAsia"/>
              </w:rPr>
              <w:t xml:space="preserve">方法</w:t>
            </w:r>
          </w:p>
        </w:tc>
        <w:tc>
          <w:tcPr/>
          <w:p>
            <w:pPr>
              <w:pStyle w:val="Compact"/>
            </w:pPr>
            <w:r>
              <w:rPr>
                <w:rFonts w:hint="eastAsia"/>
              </w:rPr>
              <w:t xml:space="preserve">文件</w:t>
            </w:r>
          </w:p>
        </w:tc>
      </w:tr>
      <w:tr>
        <w:tc>
          <w:tcPr/>
          <w:p>
            <w:pPr>
              <w:pStyle w:val="Compact"/>
            </w:pPr>
            <w:r>
              <w:rPr>
                <w:rFonts w:hint="eastAsia"/>
              </w:rPr>
              <w:t xml:space="preserve">图1</w:t>
            </w:r>
          </w:p>
        </w:tc>
        <w:tc>
          <w:tcPr/>
          <w:p>
            <w:pPr>
              <w:pStyle w:val="Compact"/>
            </w:pPr>
            <w:r>
              <w:rPr>
                <w:rFonts w:hint="eastAsia"/>
              </w:rPr>
              <w:t xml:space="preserve">火山图（差异表达）</w:t>
            </w:r>
          </w:p>
        </w:tc>
        <w:tc>
          <w:tcPr/>
          <w:p>
            <w:pPr>
              <w:pStyle w:val="Compact"/>
            </w:pPr>
            <w:r>
              <w:t xml:space="preserve">ggplot2 + ggrepel</w:t>
            </w:r>
          </w:p>
        </w:tc>
        <w:tc>
          <w:tcPr/>
          <w:p>
            <w:pPr>
              <w:pStyle w:val="Compact"/>
            </w:pPr>
            <w:r>
              <w:t xml:space="preserve">volcano_brca.pdf</w:t>
            </w:r>
          </w:p>
        </w:tc>
      </w:tr>
      <w:tr>
        <w:tc>
          <w:tcPr/>
          <w:p>
            <w:pPr>
              <w:pStyle w:val="Compact"/>
            </w:pPr>
            <w:r>
              <w:rPr>
                <w:rFonts w:hint="eastAsia"/>
              </w:rPr>
              <w:t xml:space="preserve">图2</w:t>
            </w:r>
          </w:p>
        </w:tc>
        <w:tc>
          <w:tcPr/>
          <w:p>
            <w:pPr>
              <w:pStyle w:val="Compact"/>
            </w:pPr>
            <w:r>
              <w:t xml:space="preserve">Top </w:t>
            </w:r>
            <w:r>
              <w:rPr>
                <w:rFonts w:hint="eastAsia"/>
              </w:rPr>
              <w:t xml:space="preserve">DEGs热图</w:t>
            </w:r>
          </w:p>
        </w:tc>
        <w:tc>
          <w:tcPr/>
          <w:p>
            <w:pPr>
              <w:pStyle w:val="Compact"/>
            </w:pPr>
            <w:r>
              <w:t xml:space="preserve">pheatmap</w:t>
            </w:r>
          </w:p>
        </w:tc>
        <w:tc>
          <w:tcPr/>
          <w:p>
            <w:pPr>
              <w:pStyle w:val="Compact"/>
            </w:pPr>
            <w:r>
              <w:t xml:space="preserve">deg_heatmap_top50.pdf</w:t>
            </w:r>
          </w:p>
        </w:tc>
      </w:tr>
      <w:tr>
        <w:tc>
          <w:tcPr/>
          <w:p>
            <w:pPr>
              <w:pStyle w:val="Compact"/>
            </w:pPr>
            <w:r>
              <w:rPr>
                <w:rFonts w:hint="eastAsia"/>
              </w:rPr>
              <w:t xml:space="preserve">图3</w:t>
            </w:r>
          </w:p>
        </w:tc>
        <w:tc>
          <w:tcPr/>
          <w:p>
            <w:pPr>
              <w:pStyle w:val="Compact"/>
            </w:pPr>
            <w:r>
              <w:rPr>
                <w:rFonts w:hint="eastAsia"/>
              </w:rPr>
              <w:t xml:space="preserve">PCA散点图（按亚型着色）</w:t>
            </w:r>
          </w:p>
        </w:tc>
        <w:tc>
          <w:tcPr/>
          <w:p>
            <w:pPr>
              <w:pStyle w:val="Compact"/>
            </w:pPr>
            <w:r>
              <w:t xml:space="preserve">ggplot2 + stat_ellipse</w:t>
            </w:r>
          </w:p>
        </w:tc>
        <w:tc>
          <w:tcPr/>
          <w:p>
            <w:pPr>
              <w:pStyle w:val="Compact"/>
            </w:pPr>
            <w:r>
              <w:t xml:space="preserve">pca_subtype.pdf</w:t>
            </w:r>
          </w:p>
        </w:tc>
      </w:tr>
      <w:tr>
        <w:tc>
          <w:tcPr/>
          <w:p>
            <w:pPr>
              <w:pStyle w:val="Compact"/>
            </w:pPr>
            <w:r>
              <w:rPr>
                <w:rFonts w:hint="eastAsia"/>
              </w:rPr>
              <w:t xml:space="preserve">图4</w:t>
            </w:r>
          </w:p>
        </w:tc>
        <w:tc>
          <w:tcPr/>
          <w:p>
            <w:pPr>
              <w:pStyle w:val="Compact"/>
            </w:pPr>
            <w:r>
              <w:rPr>
                <w:rFonts w:hint="eastAsia"/>
              </w:rPr>
              <w:t xml:space="preserve">t-SNE降维图</w:t>
            </w:r>
          </w:p>
        </w:tc>
        <w:tc>
          <w:tcPr/>
          <w:p>
            <w:pPr>
              <w:pStyle w:val="Compact"/>
            </w:pPr>
            <w:r>
              <w:t xml:space="preserve">Rtsne + ggplot2</w:t>
            </w:r>
          </w:p>
        </w:tc>
        <w:tc>
          <w:tcPr/>
          <w:p>
            <w:pPr>
              <w:pStyle w:val="Compact"/>
            </w:pPr>
            <w:r>
              <w:t xml:space="preserve">tsne_brca.pdf</w:t>
            </w:r>
          </w:p>
        </w:tc>
      </w:tr>
      <w:tr>
        <w:tc>
          <w:tcPr/>
          <w:p>
            <w:pPr>
              <w:pStyle w:val="Compact"/>
            </w:pPr>
            <w:r>
              <w:rPr>
                <w:rFonts w:hint="eastAsia"/>
              </w:rPr>
              <w:t xml:space="preserve">图5</w:t>
            </w:r>
          </w:p>
        </w:tc>
        <w:tc>
          <w:tcPr/>
          <w:p>
            <w:pPr>
              <w:pStyle w:val="Compact"/>
            </w:pPr>
            <w:r>
              <w:rPr>
                <w:rFonts w:hint="eastAsia"/>
              </w:rPr>
              <w:t xml:space="preserve">层次聚类热图</w:t>
            </w:r>
          </w:p>
        </w:tc>
        <w:tc>
          <w:tcPr/>
          <w:p>
            <w:pPr>
              <w:pStyle w:val="Compact"/>
            </w:pPr>
            <w:r>
              <w:t xml:space="preserve">pheatmap (Ward.D2)</w:t>
            </w:r>
          </w:p>
        </w:tc>
        <w:tc>
          <w:tcPr/>
          <w:p>
            <w:pPr>
              <w:pStyle w:val="Compact"/>
            </w:pPr>
            <w:r>
              <w:t xml:space="preserve">hclust_heatmap_top50.pdf</w:t>
            </w:r>
          </w:p>
        </w:tc>
      </w:tr>
      <w:tr>
        <w:tc>
          <w:tcPr/>
          <w:p>
            <w:pPr>
              <w:pStyle w:val="Compact"/>
            </w:pPr>
            <w:r>
              <w:rPr>
                <w:rFonts w:hint="eastAsia"/>
              </w:rPr>
              <w:t xml:space="preserve">图6</w:t>
            </w:r>
          </w:p>
        </w:tc>
        <w:tc>
          <w:tcPr/>
          <w:p>
            <w:pPr>
              <w:pStyle w:val="Compact"/>
            </w:pPr>
            <w:r>
              <w:rPr>
                <w:rFonts w:hint="eastAsia"/>
              </w:rPr>
              <w:t xml:space="preserve">K-means轮廓系数</w:t>
            </w:r>
          </w:p>
        </w:tc>
        <w:tc>
          <w:tcPr/>
          <w:p>
            <w:pPr>
              <w:pStyle w:val="Compact"/>
            </w:pPr>
            <w:r>
              <w:t xml:space="preserve">ggplot2</w:t>
            </w:r>
          </w:p>
        </w:tc>
        <w:tc>
          <w:tcPr/>
          <w:p>
            <w:pPr>
              <w:pStyle w:val="Compact"/>
            </w:pPr>
            <w:r>
              <w:t xml:space="preserve">silhouette_scores.pdf</w:t>
            </w:r>
          </w:p>
        </w:tc>
      </w:tr>
      <w:tr>
        <w:tc>
          <w:tcPr/>
          <w:p>
            <w:pPr>
              <w:pStyle w:val="Compact"/>
            </w:pPr>
            <w:r>
              <w:rPr>
                <w:rFonts w:hint="eastAsia"/>
              </w:rPr>
              <w:t xml:space="preserve">图7</w:t>
            </w:r>
          </w:p>
        </w:tc>
        <w:tc>
          <w:tcPr/>
          <w:p>
            <w:pPr>
              <w:pStyle w:val="Compact"/>
            </w:pPr>
            <w:r>
              <w:rPr>
                <w:rFonts w:hint="eastAsia"/>
              </w:rPr>
              <w:t xml:space="preserve">KM生存曲线（分期）</w:t>
            </w:r>
          </w:p>
        </w:tc>
        <w:tc>
          <w:tcPr/>
          <w:p>
            <w:pPr>
              <w:pStyle w:val="Compact"/>
            </w:pPr>
            <w:r>
              <w:t xml:space="preserve">survminer</w:t>
            </w:r>
          </w:p>
        </w:tc>
        <w:tc>
          <w:tcPr/>
          <w:p>
            <w:pPr>
              <w:pStyle w:val="Compact"/>
            </w:pPr>
            <w:r>
              <w:t xml:space="preserve">km_curves_stage.pdf</w:t>
            </w:r>
          </w:p>
        </w:tc>
      </w:tr>
      <w:tr>
        <w:tc>
          <w:tcPr/>
          <w:p>
            <w:pPr>
              <w:pStyle w:val="Compact"/>
            </w:pPr>
            <w:r>
              <w:rPr>
                <w:rFonts w:hint="eastAsia"/>
              </w:rPr>
              <w:t xml:space="preserve">图8</w:t>
            </w:r>
          </w:p>
        </w:tc>
        <w:tc>
          <w:tcPr/>
          <w:p>
            <w:pPr>
              <w:pStyle w:val="Compact"/>
            </w:pPr>
            <w:r>
              <w:rPr>
                <w:rFonts w:hint="eastAsia"/>
              </w:rPr>
              <w:t xml:space="preserve">KM生存曲线（亚型）</w:t>
            </w:r>
          </w:p>
        </w:tc>
        <w:tc>
          <w:tcPr/>
          <w:p>
            <w:pPr>
              <w:pStyle w:val="Compact"/>
            </w:pPr>
            <w:r>
              <w:t xml:space="preserve">survminer</w:t>
            </w:r>
          </w:p>
        </w:tc>
        <w:tc>
          <w:tcPr/>
          <w:p>
            <w:pPr>
              <w:pStyle w:val="Compact"/>
            </w:pPr>
            <w:r>
              <w:t xml:space="preserve">km_curves_subtype.pdf</w:t>
            </w:r>
          </w:p>
        </w:tc>
      </w:tr>
      <w:tr>
        <w:tc>
          <w:tcPr/>
          <w:p>
            <w:pPr>
              <w:pStyle w:val="Compact"/>
            </w:pPr>
            <w:r>
              <w:rPr>
                <w:rFonts w:hint="eastAsia"/>
              </w:rPr>
              <w:t xml:space="preserve">图9</w:t>
            </w:r>
          </w:p>
        </w:tc>
        <w:tc>
          <w:tcPr/>
          <w:p>
            <w:pPr>
              <w:pStyle w:val="Compact"/>
            </w:pPr>
            <w:r>
              <w:rPr>
                <w:rFonts w:hint="eastAsia"/>
              </w:rPr>
              <w:t xml:space="preserve">Cox回归森林图</w:t>
            </w:r>
          </w:p>
        </w:tc>
        <w:tc>
          <w:tcPr/>
          <w:p>
            <w:pPr>
              <w:pStyle w:val="Compact"/>
            </w:pPr>
            <w:r>
              <w:t xml:space="preserve">ggforest</w:t>
            </w:r>
          </w:p>
        </w:tc>
        <w:tc>
          <w:tcPr/>
          <w:p>
            <w:pPr>
              <w:pStyle w:val="Compact"/>
            </w:pPr>
            <w:r>
              <w:t xml:space="preserve">cox_forest_plot.pdf</w:t>
            </w:r>
          </w:p>
        </w:tc>
      </w:tr>
      <w:tr>
        <w:tc>
          <w:tcPr/>
          <w:p>
            <w:pPr>
              <w:pStyle w:val="Compact"/>
            </w:pPr>
            <w:r>
              <w:rPr>
                <w:rFonts w:hint="eastAsia"/>
              </w:rPr>
              <w:t xml:space="preserve">图10</w:t>
            </w:r>
          </w:p>
        </w:tc>
        <w:tc>
          <w:tcPr/>
          <w:p>
            <w:pPr>
              <w:pStyle w:val="Compact"/>
            </w:pPr>
            <w:r>
              <w:rPr>
                <w:rFonts w:hint="eastAsia"/>
              </w:rPr>
              <w:t xml:space="preserve">WGCNA软阈值选择</w:t>
            </w:r>
          </w:p>
        </w:tc>
        <w:tc>
          <w:tcPr/>
          <w:p>
            <w:pPr>
              <w:pStyle w:val="Compact"/>
            </w:pPr>
            <w:r>
              <w:rPr>
                <w:rFonts w:hint="eastAsia"/>
              </w:rPr>
              <w:t xml:space="preserve">基础绘图</w:t>
            </w:r>
          </w:p>
        </w:tc>
        <w:tc>
          <w:tcPr/>
          <w:p>
            <w:pPr>
              <w:pStyle w:val="Compact"/>
            </w:pPr>
            <w:r>
              <w:t xml:space="preserve">wgcna_soft_power.pdf</w:t>
            </w:r>
          </w:p>
        </w:tc>
      </w:tr>
      <w:tr>
        <w:tc>
          <w:tcPr/>
          <w:p>
            <w:pPr>
              <w:pStyle w:val="Compact"/>
            </w:pPr>
            <w:r>
              <w:rPr>
                <w:rFonts w:hint="eastAsia"/>
              </w:rPr>
              <w:t xml:space="preserve">图11</w:t>
            </w:r>
          </w:p>
        </w:tc>
        <w:tc>
          <w:tcPr/>
          <w:p>
            <w:pPr>
              <w:pStyle w:val="Compact"/>
            </w:pPr>
            <w:r>
              <w:rPr>
                <w:rFonts w:hint="eastAsia"/>
              </w:rPr>
              <w:t xml:space="preserve">WGCNA模块-性状热图</w:t>
            </w:r>
          </w:p>
        </w:tc>
        <w:tc>
          <w:tcPr/>
          <w:p>
            <w:pPr>
              <w:pStyle w:val="Compact"/>
            </w:pPr>
            <w:r>
              <w:t xml:space="preserve">pheatmap</w:t>
            </w:r>
          </w:p>
        </w:tc>
        <w:tc>
          <w:tcPr/>
          <w:p>
            <w:pPr>
              <w:pStyle w:val="Compact"/>
            </w:pPr>
            <w:r>
              <w:t xml:space="preserve">wgcna_module_trait.pdf</w:t>
            </w:r>
          </w:p>
        </w:tc>
      </w:tr>
      <w:tr>
        <w:tc>
          <w:tcPr/>
          <w:p>
            <w:pPr>
              <w:pStyle w:val="Compact"/>
            </w:pPr>
            <w:r>
              <w:rPr>
                <w:rFonts w:hint="eastAsia"/>
              </w:rPr>
              <w:t xml:space="preserve">图12</w:t>
            </w:r>
          </w:p>
        </w:tc>
        <w:tc>
          <w:tcPr/>
          <w:p>
            <w:pPr>
              <w:pStyle w:val="Compact"/>
            </w:pPr>
            <w:r>
              <w:rPr>
                <w:rFonts w:hint="eastAsia"/>
              </w:rPr>
              <w:t xml:space="preserve">WGCNA模块树状图</w:t>
            </w:r>
          </w:p>
        </w:tc>
        <w:tc>
          <w:tcPr/>
          <w:p>
            <w:pPr>
              <w:pStyle w:val="Compact"/>
            </w:pPr>
            <w:r>
              <w:t xml:space="preserve">plotDendroAndColors</w:t>
            </w:r>
          </w:p>
        </w:tc>
        <w:tc>
          <w:tcPr/>
          <w:p>
            <w:pPr>
              <w:pStyle w:val="Compact"/>
            </w:pPr>
            <w:r>
              <w:t xml:space="preserve">wgcna_modules_dendrogram.pdf</w:t>
            </w:r>
          </w:p>
        </w:tc>
      </w:tr>
      <w:tr>
        <w:tc>
          <w:tcPr/>
          <w:p>
            <w:pPr>
              <w:pStyle w:val="Compact"/>
            </w:pPr>
            <w:r>
              <w:rPr>
                <w:rFonts w:hint="eastAsia"/>
              </w:rPr>
              <w:t xml:space="preserve">图13</w:t>
            </w:r>
          </w:p>
        </w:tc>
        <w:tc>
          <w:tcPr/>
          <w:p>
            <w:pPr>
              <w:pStyle w:val="Compact"/>
            </w:pPr>
            <w:r>
              <w:rPr>
                <w:rFonts w:hint="eastAsia"/>
              </w:rPr>
              <w:t xml:space="preserve">WGCNA网络热图</w:t>
            </w:r>
          </w:p>
        </w:tc>
        <w:tc>
          <w:tcPr/>
          <w:p>
            <w:pPr>
              <w:pStyle w:val="Compact"/>
            </w:pPr>
            <w:r>
              <w:t xml:space="preserve">pheatmap</w:t>
            </w:r>
          </w:p>
        </w:tc>
        <w:tc>
          <w:tcPr/>
          <w:p>
            <w:pPr>
              <w:pStyle w:val="Compact"/>
            </w:pPr>
            <w:r>
              <w:t xml:space="preserve">wgcna_network.pdf</w:t>
            </w:r>
          </w:p>
        </w:tc>
      </w:tr>
      <w:tr>
        <w:tc>
          <w:tcPr/>
          <w:p>
            <w:pPr>
              <w:pStyle w:val="Compact"/>
            </w:pPr>
            <w:r>
              <w:rPr>
                <w:rFonts w:hint="eastAsia"/>
              </w:rPr>
              <w:t xml:space="preserve">图14</w:t>
            </w:r>
          </w:p>
        </w:tc>
        <w:tc>
          <w:tcPr/>
          <w:p>
            <w:pPr>
              <w:pStyle w:val="Compact"/>
            </w:pPr>
            <w:r>
              <w:rPr>
                <w:rFonts w:hint="eastAsia"/>
              </w:rPr>
              <w:t xml:space="preserve">分类模型比较</w:t>
            </w:r>
          </w:p>
        </w:tc>
        <w:tc>
          <w:tcPr/>
          <w:p>
            <w:pPr>
              <w:pStyle w:val="Compact"/>
            </w:pPr>
            <w:r>
              <w:t xml:space="preserve">ggplot2</w:t>
            </w:r>
          </w:p>
        </w:tc>
        <w:tc>
          <w:tcPr/>
          <w:p>
            <w:pPr>
              <w:pStyle w:val="Compact"/>
            </w:pPr>
            <w:r>
              <w:t xml:space="preserve">classification_comparison.pdf</w:t>
            </w:r>
          </w:p>
        </w:tc>
      </w:tr>
      <w:tr>
        <w:tc>
          <w:tcPr/>
          <w:p>
            <w:pPr>
              <w:pStyle w:val="Compact"/>
            </w:pPr>
            <w:r>
              <w:rPr>
                <w:rFonts w:hint="eastAsia"/>
              </w:rPr>
              <w:t xml:space="preserve">图15</w:t>
            </w:r>
          </w:p>
        </w:tc>
        <w:tc>
          <w:tcPr/>
          <w:p>
            <w:pPr>
              <w:pStyle w:val="Compact"/>
            </w:pPr>
            <w:r>
              <w:rPr>
                <w:rFonts w:hint="eastAsia"/>
              </w:rPr>
              <w:t xml:space="preserve">分类ROC曲线</w:t>
            </w:r>
          </w:p>
        </w:tc>
        <w:tc>
          <w:tcPr/>
          <w:p>
            <w:pPr>
              <w:pStyle w:val="Compact"/>
            </w:pPr>
            <w:r>
              <w:t xml:space="preserve">pROC</w:t>
            </w:r>
          </w:p>
        </w:tc>
        <w:tc>
          <w:tcPr/>
          <w:p>
            <w:pPr>
              <w:pStyle w:val="Compact"/>
            </w:pPr>
            <w:r>
              <w:t xml:space="preserve">classification_roc.pdf</w:t>
            </w:r>
          </w:p>
        </w:tc>
      </w:tr>
      <w:tr>
        <w:tc>
          <w:tcPr/>
          <w:p>
            <w:pPr>
              <w:pStyle w:val="Compact"/>
            </w:pPr>
            <w:r>
              <w:rPr>
                <w:rFonts w:hint="eastAsia"/>
              </w:rPr>
              <w:t xml:space="preserve">图16</w:t>
            </w:r>
          </w:p>
        </w:tc>
        <w:tc>
          <w:tcPr/>
          <w:p>
            <w:pPr>
              <w:pStyle w:val="Compact"/>
            </w:pPr>
            <w:r>
              <w:rPr>
                <w:rFonts w:hint="eastAsia"/>
              </w:rPr>
              <w:t xml:space="preserve">分类混淆矩阵</w:t>
            </w:r>
          </w:p>
        </w:tc>
        <w:tc>
          <w:tcPr/>
          <w:p>
            <w:pPr>
              <w:pStyle w:val="Compact"/>
            </w:pPr>
            <w:r>
              <w:t xml:space="preserve">pheatmap</w:t>
            </w:r>
          </w:p>
        </w:tc>
        <w:tc>
          <w:tcPr/>
          <w:p>
            <w:pPr>
              <w:pStyle w:val="Compact"/>
            </w:pPr>
            <w:r>
              <w:t xml:space="preserve">classification_cm.pdf</w:t>
            </w:r>
          </w:p>
        </w:tc>
      </w:tr>
    </w:tbl>
    <w:p>
      <w:r>
        <w:pict>
          <v:rect style="width:0;height:1.5pt" o:hralign="center" o:hrstd="t" o:hr="t"/>
        </w:pict>
      </w:r>
    </w:p>
    <w:bookmarkEnd w:id="37"/>
    <w:bookmarkStart w:id="41" w:name="结论与展望"/>
    <w:p>
      <w:pPr>
        <w:pStyle w:val="Heading2"/>
      </w:pPr>
      <w:r>
        <w:t xml:space="preserve">5 </w:t>
      </w:r>
      <w:r>
        <w:rPr>
          <w:rFonts w:hint="eastAsia"/>
        </w:rPr>
        <w:t xml:space="preserve">结论与展望</w:t>
      </w:r>
    </w:p>
    <w:bookmarkStart w:id="38" w:name="主要发现"/>
    <w:p>
      <w:pPr>
        <w:pStyle w:val="Heading3"/>
      </w:pPr>
      <w:r>
        <w:t xml:space="preserve">5.1 </w:t>
      </w:r>
      <w:r>
        <w:rPr>
          <w:rFonts w:hint="eastAsia"/>
        </w:rPr>
        <w:t xml:space="preserve">主要发现</w:t>
      </w:r>
    </w:p>
    <w:p>
      <w:pPr>
        <w:pStyle w:val="FirstParagraph"/>
      </w:pPr>
      <w:r>
        <w:rPr>
          <w:rFonts w:hint="eastAsia"/>
        </w:rPr>
        <w:t xml:space="preserve">本研究以TCGA-BRCA数据为基础，构建了覆盖差异表达分析、功能富集、分子亚型分类、聚类分析、WGCNA共表达网络、生存分析等多个分析模块的完整数据挖掘流程。主要发现包括：</w:t>
      </w:r>
    </w:p>
    <w:p>
      <w:pPr>
        <w:pStyle w:val="BodyText"/>
      </w:pPr>
      <w:r>
        <w:rPr>
          <w:rFonts w:hint="eastAsia"/>
        </w:rPr>
        <w:t xml:space="preserve">（1）DESeq2差异表达分析鉴定6,768个显著差异基因，上调（4,334个）数量约为下调（2,434个）的1.78倍。</w:t>
      </w:r>
    </w:p>
    <w:p>
      <w:pPr>
        <w:pStyle w:val="BodyText"/>
      </w:pPr>
      <w:r>
        <w:rPr>
          <w:rFonts w:hint="eastAsia"/>
        </w:rPr>
        <w:t xml:space="preserve">（2）Random</w:t>
      </w:r>
      <w:r>
        <w:t xml:space="preserve"> </w:t>
      </w:r>
      <w:r>
        <w:rPr>
          <w:rFonts w:hint="eastAsia"/>
        </w:rPr>
        <w:t xml:space="preserve">Forest和LASSO分类器均达到75.8%的分类准确率，LASSO通过L1正则化实现了特征稀疏压缩。</w:t>
      </w:r>
    </w:p>
    <w:p>
      <w:pPr>
        <w:pStyle w:val="BodyText"/>
      </w:pPr>
      <w:r>
        <w:rPr>
          <w:rFonts w:hint="eastAsia"/>
        </w:rPr>
        <w:t xml:space="preserve">（3）PCA（PC1=15.3%,</w:t>
      </w:r>
      <w:r>
        <w:t xml:space="preserve"> </w:t>
      </w:r>
      <w:r>
        <w:rPr>
          <w:rFonts w:hint="eastAsia"/>
        </w:rPr>
        <w:t xml:space="preserve">PC2=8.5%）和K-means轮廓系数（K=2最佳，silhouette=0.180）一致表明ER状态是BRCA转录组结构的最强驱动因素。</w:t>
      </w:r>
    </w:p>
    <w:p>
      <w:pPr>
        <w:pStyle w:val="BodyText"/>
      </w:pPr>
      <w:r>
        <w:rPr>
          <w:rFonts w:hint="eastAsia"/>
        </w:rPr>
        <w:t xml:space="preserve">（4）WGCNA识别了多个共表达模块及枢纽基因，模块-性状关联分析揭示了与临床特征显著相关的模块。</w:t>
      </w:r>
    </w:p>
    <w:p>
      <w:pPr>
        <w:pStyle w:val="BodyText"/>
      </w:pPr>
      <w:r>
        <w:rPr>
          <w:rFonts w:hint="eastAsia"/>
        </w:rPr>
        <w:t xml:space="preserve">（5）Cox多变量回归（C-index=0.767）证实病理分期是BRCA预后最强预测因子（Stage</w:t>
      </w:r>
      <w:r>
        <w:t xml:space="preserve"> IV HR=29.82, </w:t>
      </w:r>
      <w:r>
        <w:rPr>
          <w:rFonts w:hint="eastAsia"/>
        </w:rPr>
        <w:t xml:space="preserve">p=7.02×10⁻¹⁰）。</w:t>
      </w:r>
    </w:p>
    <w:bookmarkEnd w:id="38"/>
    <w:bookmarkStart w:id="39" w:name="研究局限性"/>
    <w:p>
      <w:pPr>
        <w:pStyle w:val="Heading3"/>
      </w:pPr>
      <w:r>
        <w:t xml:space="preserve">5.2 </w:t>
      </w:r>
      <w:r>
        <w:rPr>
          <w:rFonts w:hint="eastAsia"/>
        </w:rPr>
        <w:t xml:space="preserve">研究局限性</w:t>
      </w:r>
    </w:p>
    <w:p>
      <w:pPr>
        <w:pStyle w:val="Compact"/>
        <w:numPr>
          <w:ilvl w:val="0"/>
          <w:numId w:val="1003"/>
        </w:numPr>
      </w:pPr>
      <w:r>
        <w:rPr>
          <w:rFonts w:hint="eastAsia"/>
        </w:rPr>
        <w:t xml:space="preserve">仅使用mRNA转录组数据，未纳入miRNA、DNA甲基化、体细胞突变等其他组学层次；</w:t>
      </w:r>
    </w:p>
    <w:p>
      <w:pPr>
        <w:pStyle w:val="Compact"/>
        <w:numPr>
          <w:ilvl w:val="0"/>
          <w:numId w:val="1003"/>
        </w:numPr>
      </w:pPr>
      <w:r>
        <w:rPr>
          <w:rFonts w:hint="eastAsia"/>
        </w:rPr>
        <w:t xml:space="preserve">生存分析的事件率有限，可能影响多变量预后模型的统计功效；</w:t>
      </w:r>
    </w:p>
    <w:p>
      <w:pPr>
        <w:pStyle w:val="Compact"/>
        <w:numPr>
          <w:ilvl w:val="0"/>
          <w:numId w:val="1003"/>
        </w:numPr>
      </w:pPr>
      <w:r>
        <w:rPr>
          <w:rFonts w:hint="eastAsia"/>
        </w:rPr>
        <w:t xml:space="preserve">分类模型的超参数未进行系统调优，XGBoost等模型的性能可能低于其最优水平。</w:t>
      </w:r>
    </w:p>
    <w:bookmarkEnd w:id="39"/>
    <w:bookmarkStart w:id="40" w:name="未来方向"/>
    <w:p>
      <w:pPr>
        <w:pStyle w:val="Heading3"/>
      </w:pPr>
      <w:r>
        <w:t xml:space="preserve">5.3 </w:t>
      </w:r>
      <w:r>
        <w:rPr>
          <w:rFonts w:hint="eastAsia"/>
        </w:rPr>
        <w:t xml:space="preserve">未来方向</w:t>
      </w:r>
    </w:p>
    <w:p>
      <w:pPr>
        <w:pStyle w:val="FirstParagraph"/>
      </w:pPr>
      <w:r>
        <w:rPr>
          <w:rFonts w:hint="eastAsia"/>
        </w:rPr>
        <w:t xml:space="preserve">（1）整合miRNA表达谱和体细胞突变数据，实现多组学联合分析；（2）利用METABRIC等独立队列对分类和预后模型进行外部验证；（3）对WGCNA枢纽基因进行功能实验验证；（4）探索深度学习方法在多组学整合中的应用；（5）使用单细胞RNA测序数据解析肿瘤微环境异质性。</w:t>
      </w:r>
    </w:p>
    <w:p>
      <w:r>
        <w:pict>
          <v:rect style="width:0;height:1.5pt" o:hralign="center" o:hrstd="t" o:hr="t"/>
        </w:pict>
      </w:r>
    </w:p>
    <w:bookmarkEnd w:id="40"/>
    <w:bookmarkEnd w:id="41"/>
    <w:bookmarkStart w:id="42" w:name="参考文献"/>
    <w:p>
      <w:pPr>
        <w:pStyle w:val="Heading2"/>
      </w:pPr>
      <w:r>
        <w:rPr>
          <w:rFonts w:hint="eastAsia"/>
        </w:rPr>
        <w:t xml:space="preserve">参考文献</w:t>
      </w:r>
    </w:p>
    <w:p>
      <w:pPr>
        <w:pStyle w:val="FirstParagraph"/>
      </w:pPr>
      <w:r>
        <w:t xml:space="preserve">[1] Sung H, Ferlay J, Siegel R L, et al. Global cancer statistics 2022: GLOBOCAN estimates of incidence and mortality worldwide for 36 cancers in 185 countries[J]. CA: A Cancer Journal for Clinicians, 2024, 74(3): 229-263.</w:t>
      </w:r>
    </w:p>
    <w:p>
      <w:pPr>
        <w:pStyle w:val="BodyText"/>
      </w:pPr>
      <w:r>
        <w:t xml:space="preserve">[2] Hanahan D, Weinberg R A. Hallmarks of cancer: the next generation[J]. Cell, 2011, 144(5): 646-674.</w:t>
      </w:r>
    </w:p>
    <w:p>
      <w:pPr>
        <w:pStyle w:val="BodyText"/>
      </w:pPr>
      <w:r>
        <w:t xml:space="preserve">[3] Cancer Genome Atlas Network. Comprehensive molecular portraits of human breast tumours[J]. Nature, 2012, 490(7418): 61-70.</w:t>
      </w:r>
    </w:p>
    <w:p>
      <w:pPr>
        <w:pStyle w:val="BodyText"/>
      </w:pPr>
      <w:r>
        <w:t xml:space="preserve">[4] Perou C M, Sorlie T, Eisen M B, et al. Molecular portraits of human breast tumours[J]. Nature, 2000, 406(6797): 747-752.</w:t>
      </w:r>
    </w:p>
    <w:p>
      <w:pPr>
        <w:pStyle w:val="BodyText"/>
      </w:pPr>
      <w:r>
        <w:t xml:space="preserve">[5] Love M I, Huber W, Anders S. Moderated estimation of fold change and dispersion for RNA-seq data with DESeq2[J]. Genome Biology, 2014, 15(12): 550.</w:t>
      </w:r>
    </w:p>
    <w:p>
      <w:pPr>
        <w:pStyle w:val="BodyText"/>
      </w:pPr>
      <w:r>
        <w:t xml:space="preserve">[6] Langfelder P, Horvath S. WGCNA: an R package for weighted correlation network analysis[J]. BMC Bioinformatics, 2008, 9: 559.</w:t>
      </w:r>
    </w:p>
    <w:p>
      <w:pPr>
        <w:pStyle w:val="BodyText"/>
      </w:pPr>
      <w:r>
        <w:t xml:space="preserve">[7] Simon N, Friedman J, Hastie T, et al. Regularization paths for Cox’s proportional hazards model via coordinate descent[J]. Journal of Statistical Software, 2011, 39(5): 1-13.</w:t>
      </w:r>
    </w:p>
    <w:p>
      <w:pPr>
        <w:pStyle w:val="BodyText"/>
      </w:pPr>
      <w:r>
        <w:t xml:space="preserve">[8] Kolberg L, Raudvere U, Kuzmin I, et al. g:Profiler—interoperable web service for functional enrichment analysis and gene identifier mapping (2023 update)[J]. Nucleic Acids Research, 2023, 51(W1): W207-W212.</w:t>
      </w:r>
    </w:p>
    <w:p>
      <w:pPr>
        <w:pStyle w:val="BodyText"/>
      </w:pPr>
      <w:r>
        <w:t xml:space="preserve">[9] Agrawal R, Srikant R. Fast algorithms for mining association rules[C]. Proceedings of the 20th International Conference on Very Large Data Bases, 1994: 487-499.</w:t>
      </w:r>
    </w:p>
    <w:p>
      <w:pPr>
        <w:pStyle w:val="BodyText"/>
      </w:pPr>
      <w:r>
        <w:t xml:space="preserve">[10] Wilkerson M D, Hayes D N. ConsensusClusterPlus: a class discovery tool with confidence assessments and item tracking[J]. Bioinformatics, 2010, 26(12): 1572-1573.</w:t>
      </w:r>
    </w:p>
    <w:p>
      <w:pPr>
        <w:pStyle w:val="BodyText"/>
      </w:pPr>
      <w:r>
        <w:t xml:space="preserve">[11] Colaprico A, Silva T C, Olsen C, et al. TCGAbiolinks: an R/Bioconductor package for integrative analysis of TCGA data[J]. Nucleic Acids Research, 2016, 44(8): e71.</w:t>
      </w:r>
    </w:p>
    <w:p>
      <w:pPr>
        <w:pStyle w:val="BodyText"/>
      </w:pPr>
      <w:r>
        <w:t xml:space="preserve">[12] Mayakonda A, Lin D C, Assenov Y, et al. Maftools: efficient and comprehensive analysis of somatic variants in cancer[J]. Genome Research, 2018, 28(11): 1747-1756.</w:t>
      </w:r>
    </w:p>
    <w:p>
      <w:pPr>
        <w:pStyle w:val="BodyText"/>
      </w:pPr>
      <w:r>
        <w:t xml:space="preserve">[13] Friedman J, Hastie T, Tibshirani R. Regularization paths for generalized linear models via coordinate descent[J]. Journal of Statistical Software, 2010, 33(1): 1-22.</w:t>
      </w:r>
    </w:p>
    <w:p>
      <w:pPr>
        <w:pStyle w:val="BodyText"/>
      </w:pPr>
      <w:r>
        <w:t xml:space="preserve">[14] Breiman L. Random forests[J]. Machine Learning, 2001, 45(1): 5-32.</w:t>
      </w:r>
    </w:p>
    <w:p>
      <w:pPr>
        <w:pStyle w:val="BodyText"/>
      </w:pPr>
      <w:r>
        <w:t xml:space="preserve">[15] Chen T, Guestrin C. XGBoost: a scalable tree boosting system[C]. Proceedings of the 22nd ACM SIGKDD, 2016: 785-794.</w:t>
      </w:r>
    </w:p>
    <w:p>
      <w:pPr>
        <w:pStyle w:val="BodyText"/>
      </w:pPr>
      <w:r>
        <w:t xml:space="preserve">[16] Therneau T M, Grambsch P M. Modeling survival data: extending the Cox model[M]. New York: Springer, 2000.</w:t>
      </w:r>
    </w:p>
    <w:p>
      <w:pPr>
        <w:pStyle w:val="BodyText"/>
      </w:pPr>
      <w:r>
        <w:t xml:space="preserve">[17] Tibshirani R. Regression shrinkage and selection via the lasso[J]. Journal of the Royal Statistical Society: Series B, 1996, 58(1): 267-288.</w:t>
      </w:r>
    </w:p>
    <w:p>
      <w:r>
        <w:pict>
          <v:rect style="width:0;height:1.5pt" o:hralign="center" o:hrstd="t" o:hr="t"/>
        </w:pict>
      </w:r>
    </w:p>
    <w:bookmarkEnd w:id="42"/>
    <w:bookmarkStart w:id="50" w:name="附录r代码"/>
    <w:p>
      <w:pPr>
        <w:pStyle w:val="Heading2"/>
      </w:pPr>
      <w:r>
        <w:rPr>
          <w:rFonts w:hint="eastAsia"/>
        </w:rPr>
        <w:t xml:space="preserve">附录：R代码</w:t>
      </w:r>
    </w:p>
    <w:bookmarkStart w:id="43" w:name="附录a数据预处理01_data_preprocessing.r"/>
    <w:p>
      <w:pPr>
        <w:pStyle w:val="Heading3"/>
      </w:pPr>
      <w:r>
        <w:rPr>
          <w:rFonts w:hint="eastAsia"/>
        </w:rPr>
        <w:t xml:space="preserve">附录A：数据预处理（01_data_preprocessing.R）</w:t>
      </w:r>
    </w:p>
    <w:p>
      <w:pPr>
        <w:pStyle w:val="SourceCode"/>
      </w:pPr>
      <w:r>
        <w:rPr>
          <w:rStyle w:val="CommentTok"/>
        </w:rPr>
        <w:t xml:space="preserve"># 完整代码见 code/01_data_preprocessing.R</w:t>
      </w:r>
      <w:r>
        <w:br/>
      </w:r>
      <w:r>
        <w:rPr>
          <w:rStyle w:val="CommentTok"/>
        </w:rPr>
        <w:t xml:space="preserve"># 主要步骤：</w:t>
      </w:r>
      <w:r>
        <w:br/>
      </w:r>
      <w:r>
        <w:rPr>
          <w:rStyle w:val="CommentTok"/>
        </w:rPr>
        <w:t xml:space="preserve"># 1. 加载brca_exp.Rdata和brca_clinical.Rdata</w:t>
      </w:r>
      <w:r>
        <w:br/>
      </w:r>
      <w:r>
        <w:rPr>
          <w:rStyle w:val="CommentTok"/>
        </w:rPr>
        <w:t xml:space="preserve"># 2. 解析TCGA条形码，区分肿瘤/正常样本</w:t>
      </w:r>
      <w:r>
        <w:br/>
      </w:r>
      <w:r>
        <w:rPr>
          <w:rStyle w:val="CommentTok"/>
        </w:rPr>
        <w:t xml:space="preserve"># 3. 低表达基因过滤（至少10%样本中counts&gt;=10）</w:t>
      </w:r>
      <w:r>
        <w:br/>
      </w:r>
      <w:r>
        <w:rPr>
          <w:rStyle w:val="CommentTok"/>
        </w:rPr>
        <w:t xml:space="preserve"># 4. 基因标识符映射（Ensembl ID -&gt; Gene Symbol）</w:t>
      </w:r>
      <w:r>
        <w:br/>
      </w:r>
      <w:r>
        <w:rPr>
          <w:rStyle w:val="CommentTok"/>
        </w:rPr>
        <w:t xml:space="preserve"># 5. Counts -&gt; TPM标准化</w:t>
      </w:r>
      <w:r>
        <w:br/>
      </w:r>
      <w:r>
        <w:rPr>
          <w:rStyle w:val="CommentTok"/>
        </w:rPr>
        <w:t xml:space="preserve"># 6. 临床数据清洗与缺失值处理</w:t>
      </w:r>
      <w:r>
        <w:br/>
      </w:r>
      <w:r>
        <w:rPr>
          <w:rStyle w:val="CommentTok"/>
        </w:rPr>
        <w:t xml:space="preserve"># 7. 表达-临床数据对齐与保存</w:t>
      </w:r>
    </w:p>
    <w:bookmarkEnd w:id="43"/>
    <w:bookmarkStart w:id="44" w:name="附录b差异表达分析02_diff_expression.r"/>
    <w:p>
      <w:pPr>
        <w:pStyle w:val="Heading3"/>
      </w:pPr>
      <w:r>
        <w:rPr>
          <w:rFonts w:hint="eastAsia"/>
        </w:rPr>
        <w:t xml:space="preserve">附录B：差异表达分析（02_diff_expression.R）</w:t>
      </w:r>
    </w:p>
    <w:p>
      <w:pPr>
        <w:pStyle w:val="SourceCode"/>
      </w:pPr>
      <w:r>
        <w:rPr>
          <w:rStyle w:val="CommentTok"/>
        </w:rPr>
        <w:t xml:space="preserve"># 完整代码见 code/02_diff_expression.R</w:t>
      </w:r>
      <w:r>
        <w:br/>
      </w:r>
      <w:r>
        <w:rPr>
          <w:rStyle w:val="CommentTok"/>
        </w:rPr>
        <w:t xml:space="preserve"># 主要步骤：</w:t>
      </w:r>
      <w:r>
        <w:br/>
      </w:r>
      <w:r>
        <w:rPr>
          <w:rStyle w:val="CommentTok"/>
        </w:rPr>
        <w:t xml:space="preserve"># 1. 构建DESeqDataSetFromMatrix (Tumor vs Normal)</w:t>
      </w:r>
      <w:r>
        <w:br/>
      </w:r>
      <w:r>
        <w:rPr>
          <w:rStyle w:val="CommentTok"/>
        </w:rPr>
        <w:t xml:space="preserve"># 2. 独立过滤 + DESeq()运行</w:t>
      </w:r>
      <w:r>
        <w:br/>
      </w:r>
      <w:r>
        <w:rPr>
          <w:rStyle w:val="CommentTok"/>
        </w:rPr>
        <w:t xml:space="preserve"># 3. 提取差异表达结果 (|log2FC|&gt;1, padj&lt;0.05)</w:t>
      </w:r>
      <w:r>
        <w:br/>
      </w:r>
      <w:r>
        <w:rPr>
          <w:rStyle w:val="CommentTok"/>
        </w:rPr>
        <w:t xml:space="preserve"># 4. 火山图、MA图、Top DEG热图</w:t>
      </w:r>
      <w:r>
        <w:br/>
      </w:r>
      <w:r>
        <w:rPr>
          <w:rStyle w:val="CommentTok"/>
        </w:rPr>
        <w:t xml:space="preserve"># 5. g:Profiler功能富集分析（上调/下调分别）</w:t>
      </w:r>
    </w:p>
    <w:bookmarkEnd w:id="44"/>
    <w:bookmarkStart w:id="45" w:name="附录c分类分析03_classification.r"/>
    <w:p>
      <w:pPr>
        <w:pStyle w:val="Heading3"/>
      </w:pPr>
      <w:r>
        <w:rPr>
          <w:rFonts w:hint="eastAsia"/>
        </w:rPr>
        <w:t xml:space="preserve">附录C：分类分析（03_classification.R）</w:t>
      </w:r>
    </w:p>
    <w:p>
      <w:pPr>
        <w:pStyle w:val="SourceCode"/>
      </w:pPr>
      <w:r>
        <w:rPr>
          <w:rStyle w:val="CommentTok"/>
        </w:rPr>
        <w:t xml:space="preserve"># 完整代码见 code/03_classification.R</w:t>
      </w:r>
      <w:r>
        <w:br/>
      </w:r>
      <w:r>
        <w:rPr>
          <w:rStyle w:val="CommentTok"/>
        </w:rPr>
        <w:t xml:space="preserve"># 主要步骤：</w:t>
      </w:r>
      <w:r>
        <w:br/>
      </w:r>
      <w:r>
        <w:rPr>
          <w:rStyle w:val="CommentTok"/>
        </w:rPr>
        <w:t xml:space="preserve"># 1. Top 500可变基因 -&gt; log2(TPM+1)特征矩阵</w:t>
      </w:r>
      <w:r>
        <w:br/>
      </w:r>
      <w:r>
        <w:rPr>
          <w:rStyle w:val="CommentTok"/>
        </w:rPr>
        <w:t xml:space="preserve"># 2. 70/30分层训练/测试划分</w:t>
      </w:r>
      <w:r>
        <w:br/>
      </w:r>
      <w:r>
        <w:rPr>
          <w:rStyle w:val="CommentTok"/>
        </w:rPr>
        <w:t xml:space="preserve"># 3. Random Forest (ntree=500)</w:t>
      </w:r>
      <w:r>
        <w:br/>
      </w:r>
      <w:r>
        <w:rPr>
          <w:rStyle w:val="CommentTok"/>
        </w:rPr>
        <w:t xml:space="preserve"># 4. LASSO多分类回归 (cv.glmnet, family="multinomial")</w:t>
      </w:r>
      <w:r>
        <w:br/>
      </w:r>
      <w:r>
        <w:rPr>
          <w:rStyle w:val="CommentTok"/>
        </w:rPr>
        <w:t xml:space="preserve"># 5. XGBoost (multi:softmax)</w:t>
      </w:r>
      <w:r>
        <w:br/>
      </w:r>
      <w:r>
        <w:rPr>
          <w:rStyle w:val="CommentTok"/>
        </w:rPr>
        <w:t xml:space="preserve"># 6. 模型比较：Accuracy, Kappa, Macro F1</w:t>
      </w:r>
      <w:r>
        <w:br/>
      </w:r>
      <w:r>
        <w:rPr>
          <w:rStyle w:val="CommentTok"/>
        </w:rPr>
        <w:t xml:space="preserve"># 7. ROC曲线和混淆矩阵热图</w:t>
      </w:r>
    </w:p>
    <w:bookmarkEnd w:id="45"/>
    <w:bookmarkStart w:id="46" w:name="附录d聚类分析04_clustering.r"/>
    <w:p>
      <w:pPr>
        <w:pStyle w:val="Heading3"/>
      </w:pPr>
      <w:r>
        <w:rPr>
          <w:rFonts w:hint="eastAsia"/>
        </w:rPr>
        <w:t xml:space="preserve">附录D：聚类分析（04_clustering.R）</w:t>
      </w:r>
    </w:p>
    <w:p>
      <w:pPr>
        <w:pStyle w:val="SourceCode"/>
      </w:pPr>
      <w:r>
        <w:rPr>
          <w:rStyle w:val="CommentTok"/>
        </w:rPr>
        <w:t xml:space="preserve"># 完整代码见 code/04_clustering.R</w:t>
      </w:r>
      <w:r>
        <w:br/>
      </w:r>
      <w:r>
        <w:rPr>
          <w:rStyle w:val="CommentTok"/>
        </w:rPr>
        <w:t xml:space="preserve"># 主要步骤：</w:t>
      </w:r>
      <w:r>
        <w:br/>
      </w:r>
      <w:r>
        <w:rPr>
          <w:rStyle w:val="CommentTok"/>
        </w:rPr>
        <w:t xml:space="preserve"># 1. PCA分析 + 按亚型/分期着色散点图</w:t>
      </w:r>
      <w:r>
        <w:br/>
      </w:r>
      <w:r>
        <w:rPr>
          <w:rStyle w:val="CommentTok"/>
        </w:rPr>
        <w:t xml:space="preserve"># 2. t-SNE降维可视化</w:t>
      </w:r>
      <w:r>
        <w:br/>
      </w:r>
      <w:r>
        <w:rPr>
          <w:rStyle w:val="CommentTok"/>
        </w:rPr>
        <w:t xml:space="preserve"># 3. 层次聚类热图（Ward.D2, Pearson距离）</w:t>
      </w:r>
      <w:r>
        <w:br/>
      </w:r>
      <w:r>
        <w:rPr>
          <w:rStyle w:val="CommentTok"/>
        </w:rPr>
        <w:t xml:space="preserve"># 4. K-means轮廓系数分析 (K=2..10)</w:t>
      </w:r>
      <w:r>
        <w:br/>
      </w:r>
      <w:r>
        <w:rPr>
          <w:rStyle w:val="CommentTok"/>
        </w:rPr>
        <w:t xml:space="preserve"># 5. ConsensusClusterPlus共识聚类 (K=2..8)</w:t>
      </w:r>
    </w:p>
    <w:bookmarkEnd w:id="46"/>
    <w:bookmarkStart w:id="47" w:name="附录ewgcna分析05_wgcna.r"/>
    <w:p>
      <w:pPr>
        <w:pStyle w:val="Heading3"/>
      </w:pPr>
      <w:r>
        <w:rPr>
          <w:rFonts w:hint="eastAsia"/>
        </w:rPr>
        <w:t xml:space="preserve">附录E：WGCNA分析（05_wgcna.R）</w:t>
      </w:r>
    </w:p>
    <w:p>
      <w:pPr>
        <w:pStyle w:val="SourceCode"/>
      </w:pPr>
      <w:r>
        <w:rPr>
          <w:rStyle w:val="CommentTok"/>
        </w:rPr>
        <w:t xml:space="preserve"># 完整代码见 code/05_wgcna.R</w:t>
      </w:r>
      <w:r>
        <w:br/>
      </w:r>
      <w:r>
        <w:rPr>
          <w:rStyle w:val="CommentTok"/>
        </w:rPr>
        <w:t xml:space="preserve"># 主要步骤：</w:t>
      </w:r>
      <w:r>
        <w:br/>
      </w:r>
      <w:r>
        <w:rPr>
          <w:rStyle w:val="CommentTok"/>
        </w:rPr>
        <w:t xml:space="preserve"># 1. Top 5000可变基因 -&gt; WGCNA输入矩阵</w:t>
      </w:r>
      <w:r>
        <w:br/>
      </w:r>
      <w:r>
        <w:rPr>
          <w:rStyle w:val="CommentTok"/>
        </w:rPr>
        <w:t xml:space="preserve"># 2. goodSamplesGenes质量检查</w:t>
      </w:r>
      <w:r>
        <w:br/>
      </w:r>
      <w:r>
        <w:rPr>
          <w:rStyle w:val="CommentTok"/>
        </w:rPr>
        <w:t xml:space="preserve"># 3. pickSoftThreshold软阈值选择 (signed network)</w:t>
      </w:r>
      <w:r>
        <w:br/>
      </w:r>
      <w:r>
        <w:rPr>
          <w:rStyle w:val="CommentTok"/>
        </w:rPr>
        <w:t xml:space="preserve"># 4. blockwiseModules网络构建</w:t>
      </w:r>
      <w:r>
        <w:br/>
      </w:r>
      <w:r>
        <w:rPr>
          <w:rStyle w:val="CommentTok"/>
        </w:rPr>
        <w:t xml:space="preserve"># 5. 模块-性状相关性分析</w:t>
      </w:r>
      <w:r>
        <w:br/>
      </w:r>
      <w:r>
        <w:rPr>
          <w:rStyle w:val="CommentTok"/>
        </w:rPr>
        <w:t xml:space="preserve"># 6. 枢纽基因识别 (Module Membership)</w:t>
      </w:r>
    </w:p>
    <w:bookmarkEnd w:id="47"/>
    <w:bookmarkStart w:id="48" w:name="附录f生存分析06_survival_analysis.r"/>
    <w:p>
      <w:pPr>
        <w:pStyle w:val="Heading3"/>
      </w:pPr>
      <w:r>
        <w:rPr>
          <w:rFonts w:hint="eastAsia"/>
        </w:rPr>
        <w:t xml:space="preserve">附录F：生存分析（06_survival_analysis.R）</w:t>
      </w:r>
    </w:p>
    <w:p>
      <w:pPr>
        <w:pStyle w:val="SourceCode"/>
      </w:pPr>
      <w:r>
        <w:rPr>
          <w:rStyle w:val="CommentTok"/>
        </w:rPr>
        <w:t xml:space="preserve"># 完整代码见 code/06_survival_analysis.R</w:t>
      </w:r>
      <w:r>
        <w:br/>
      </w:r>
      <w:r>
        <w:rPr>
          <w:rStyle w:val="CommentTok"/>
        </w:rPr>
        <w:t xml:space="preserve"># 主要步骤：</w:t>
      </w:r>
      <w:r>
        <w:br/>
      </w:r>
      <w:r>
        <w:rPr>
          <w:rStyle w:val="CommentTok"/>
        </w:rPr>
        <w:t xml:space="preserve"># 1. Kaplan-Meier曲线（按分子亚型、病理分期）</w:t>
      </w:r>
      <w:r>
        <w:br/>
      </w:r>
      <w:r>
        <w:rPr>
          <w:rStyle w:val="CommentTok"/>
        </w:rPr>
        <w:t xml:space="preserve"># 2. Log-rank检验</w:t>
      </w:r>
      <w:r>
        <w:br/>
      </w:r>
      <w:r>
        <w:rPr>
          <w:rStyle w:val="CommentTok"/>
        </w:rPr>
        <w:t xml:space="preserve"># 3. 多变量Cox比例风险回归</w:t>
      </w:r>
      <w:r>
        <w:br/>
      </w:r>
      <w:r>
        <w:rPr>
          <w:rStyle w:val="CommentTok"/>
        </w:rPr>
        <w:t xml:space="preserve"># 4. LASSO-Cox预后基因标记构建</w:t>
      </w:r>
      <w:r>
        <w:br/>
      </w:r>
      <w:r>
        <w:rPr>
          <w:rStyle w:val="CommentTok"/>
        </w:rPr>
        <w:t xml:space="preserve"># 5. 风险分组KM曲线</w:t>
      </w:r>
    </w:p>
    <w:bookmarkEnd w:id="48"/>
    <w:bookmarkStart w:id="49" w:name="附录g可视化汇总08_visualization.r"/>
    <w:p>
      <w:pPr>
        <w:pStyle w:val="Heading3"/>
      </w:pPr>
      <w:r>
        <w:rPr>
          <w:rFonts w:hint="eastAsia"/>
        </w:rPr>
        <w:t xml:space="preserve">附录G：可视化汇总（08_visualization.R）</w:t>
      </w:r>
    </w:p>
    <w:p>
      <w:pPr>
        <w:pStyle w:val="SourceCode"/>
      </w:pPr>
      <w:r>
        <w:rPr>
          <w:rStyle w:val="CommentTok"/>
        </w:rPr>
        <w:t xml:space="preserve"># 完整代码见 code/08_visualization.R</w:t>
      </w:r>
      <w:r>
        <w:br/>
      </w:r>
      <w:r>
        <w:rPr>
          <w:rStyle w:val="CommentTok"/>
        </w:rPr>
        <w:t xml:space="preserve"># 生成所有论文级图表，汇总各分析模块的关键可视化结果</w:t>
      </w:r>
    </w:p>
    <w:p>
      <w:r>
        <w:pict>
          <v:rect style="width:0;height:1.5pt" o:hralign="center" o:hrstd="t" o:hr="t"/>
        </w:pict>
      </w:r>
    </w:p>
    <w:p>
      <w:pPr>
        <w:pStyle w:val="FirstParagraph"/>
      </w:pPr>
      <w:r>
        <w:rPr>
          <w:rFonts w:hint="eastAsia"/>
          <w:i/>
          <w:iCs/>
        </w:rPr>
        <w:t xml:space="preserve">本研究分析使用R语言，在Windows</w:t>
      </w:r>
      <w:r>
        <w:rPr>
          <w:i/>
          <w:iCs/>
        </w:rPr>
        <w:t xml:space="preserve"> </w:t>
      </w:r>
      <w:r>
        <w:rPr>
          <w:rFonts w:hint="eastAsia"/>
          <w:i/>
          <w:iCs/>
        </w:rPr>
        <w:t xml:space="preserve">11环境下执行。全部分析脚本见项目目录code/，运行结果见results/。</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2026-05-25T12:25:03Z</dcterms:created>
  <dcterms:modified xsi:type="dcterms:W3CDTF">2026-05-25T12:25:03Z</dcterms:modified>
</cp:coreProperties>
</file>

<file path=docProps/custom.xml><?xml version="1.0" encoding="utf-8"?>
<Properties xmlns="http://schemas.openxmlformats.org/officeDocument/2006/custom-properties" xmlns:vt="http://schemas.openxmlformats.org/officeDocument/2006/docPropsVTypes"/>
</file>