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Cobertura y Pruebas</w:t>
      </w:r>
    </w:p>
    <w:p>
      <w:r>
        <w:t>Gas El Volcán | React + Vite | DSY1104 Desarrollo Fullstack II | Evaluación Parcial 2</w:t>
      </w:r>
    </w:p>
    <w:p>
      <w:r>
        <w:t>Revisión 2.1 · 12 de octubre de 2026 · Evidencia proporcionada por el equipo de desarrollo</w:t>
      </w:r>
    </w:p>
    <w:p>
      <w:pPr>
        <w:pStyle w:val="Heading1"/>
      </w:pPr>
      <w:r>
        <w:t>1. Objetivo y criterios de evidencia</w:t>
      </w:r>
    </w:p>
    <w:p>
      <w:r>
        <w:t>Documentar las pruebas Jasmine/Karma del prototipo React, sus escenarios funcionales, el uso de dobles de prueba y la cobertura obtenida. Los 27 casos declarados se corresponden con la ejecución final documentada del 12/10/2026: TOTAL: 27 SUCCESS. Las cifras de Istanbul se refieren a los archivos instrumentados, no a toda la aplicación.</w:t>
      </w:r>
    </w:p>
    <w:p>
      <w:pPr>
        <w:pStyle w:val="Heading1"/>
      </w:pPr>
      <w:r>
        <w:t>2. Herramientas y ejecución</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6F1EB"/>
          </w:tcPr>
          <w:p>
            <w:r>
              <w:rPr>
                <w:b/>
              </w:rPr>
              <w:t>Herramienta</w:t>
            </w:r>
          </w:p>
        </w:tc>
        <w:tc>
          <w:tcPr>
            <w:tcW w:type="dxa" w:w="4939"/>
            <w:vAlign w:val="center"/>
            <w:shd w:fill="E6F1EB"/>
          </w:tcPr>
          <w:p>
            <w:r>
              <w:rPr>
                <w:b/>
              </w:rPr>
              <w:t>Función</w:t>
            </w:r>
          </w:p>
        </w:tc>
      </w:tr>
      <w:tr>
        <w:tc>
          <w:tcPr>
            <w:tcW w:type="dxa" w:w="4939"/>
            <w:vAlign w:val="center"/>
          </w:tcPr>
          <w:p>
            <w:pPr>
              <w:spacing w:after="0"/>
            </w:pPr>
            <w:r>
              <w:rPr>
                <w:sz w:val="18"/>
              </w:rPr>
              <w:t>React + Vite</w:t>
            </w:r>
          </w:p>
        </w:tc>
        <w:tc>
          <w:tcPr>
            <w:tcW w:type="dxa" w:w="4939"/>
            <w:vAlign w:val="center"/>
          </w:tcPr>
          <w:p>
            <w:pPr>
              <w:spacing w:after="0"/>
            </w:pPr>
            <w:r>
              <w:rPr>
                <w:sz w:val="18"/>
              </w:rPr>
              <w:t>Interfaz y empaquetado de producción</w:t>
            </w:r>
          </w:p>
        </w:tc>
      </w:tr>
      <w:tr>
        <w:tc>
          <w:tcPr>
            <w:tcW w:type="dxa" w:w="4939"/>
            <w:vAlign w:val="center"/>
          </w:tcPr>
          <w:p>
            <w:pPr>
              <w:spacing w:after="0"/>
            </w:pPr>
            <w:r>
              <w:rPr>
                <w:sz w:val="18"/>
              </w:rPr>
              <w:t>Jasmine</w:t>
            </w:r>
          </w:p>
        </w:tc>
        <w:tc>
          <w:tcPr>
            <w:tcW w:type="dxa" w:w="4939"/>
            <w:vAlign w:val="center"/>
          </w:tcPr>
          <w:p>
            <w:pPr>
              <w:spacing w:after="0"/>
            </w:pPr>
            <w:r>
              <w:rPr>
                <w:sz w:val="18"/>
              </w:rPr>
              <w:t>Asersiones y spies</w:t>
            </w:r>
          </w:p>
        </w:tc>
      </w:tr>
      <w:tr>
        <w:tc>
          <w:tcPr>
            <w:tcW w:type="dxa" w:w="4939"/>
            <w:vAlign w:val="center"/>
          </w:tcPr>
          <w:p>
            <w:pPr>
              <w:spacing w:after="0"/>
            </w:pPr>
            <w:r>
              <w:rPr>
                <w:sz w:val="18"/>
              </w:rPr>
              <w:t>Karma + launcher Chromium</w:t>
            </w:r>
          </w:p>
        </w:tc>
        <w:tc>
          <w:tcPr>
            <w:tcW w:type="dxa" w:w="4939"/>
            <w:vAlign w:val="center"/>
          </w:tcPr>
          <w:p>
            <w:pPr>
              <w:spacing w:after="0"/>
            </w:pPr>
            <w:r>
              <w:rPr>
                <w:sz w:val="18"/>
              </w:rPr>
              <w:t>Ejecución en Edge 155 headless</w:t>
            </w:r>
          </w:p>
        </w:tc>
      </w:tr>
      <w:tr>
        <w:tc>
          <w:tcPr>
            <w:tcW w:type="dxa" w:w="4939"/>
            <w:vAlign w:val="center"/>
          </w:tcPr>
          <w:p>
            <w:pPr>
              <w:spacing w:after="0"/>
            </w:pPr>
            <w:r>
              <w:rPr>
                <w:sz w:val="18"/>
              </w:rPr>
              <w:t>Webpack + Babel</w:t>
            </w:r>
          </w:p>
        </w:tc>
        <w:tc>
          <w:tcPr>
            <w:tcW w:type="dxa" w:w="4939"/>
            <w:vAlign w:val="center"/>
          </w:tcPr>
          <w:p>
            <w:pPr>
              <w:spacing w:after="0"/>
            </w:pPr>
            <w:r>
              <w:rPr>
                <w:sz w:val="18"/>
              </w:rPr>
              <w:t>Transformación de JSX para Karma</w:t>
            </w:r>
          </w:p>
        </w:tc>
      </w:tr>
      <w:tr>
        <w:tc>
          <w:tcPr>
            <w:tcW w:type="dxa" w:w="4939"/>
            <w:vAlign w:val="center"/>
          </w:tcPr>
          <w:p>
            <w:pPr>
              <w:spacing w:after="0"/>
            </w:pPr>
            <w:r>
              <w:rPr>
                <w:sz w:val="18"/>
              </w:rPr>
              <w:t>Istanbul / karma-coverage</w:t>
            </w:r>
          </w:p>
        </w:tc>
        <w:tc>
          <w:tcPr>
            <w:tcW w:type="dxa" w:w="4939"/>
            <w:vAlign w:val="center"/>
          </w:tcPr>
          <w:p>
            <w:pPr>
              <w:spacing w:after="0"/>
            </w:pPr>
            <w:r>
              <w:rPr>
                <w:sz w:val="18"/>
              </w:rPr>
              <w:t>Resumen y detalle HTML de cobertura</w:t>
            </w:r>
          </w:p>
        </w:tc>
      </w:tr>
    </w:tbl>
    <w:p>
      <w:r>
        <w:t>PowerShell, desde gas_el_volcan_react:</w:t>
      </w:r>
    </w:p>
    <w:p>
      <w:r>
        <w:t>$env:CHROME_BIN = "C:\Program Files (x86)\Microsoft\Edge\Application\msedge.exe"</w:t>
      </w:r>
    </w:p>
    <w:p>
      <w:r>
        <w:t>npm test</w:t>
      </w:r>
    </w:p>
    <w:p>
      <w:r>
        <w:t>npm run build</w:t>
      </w:r>
    </w:p>
    <w:p>
      <w:pPr>
        <w:pStyle w:val="Heading1"/>
      </w:pPr>
      <w:r>
        <w:t>3. Inventario actual de pruebas</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6F1EB"/>
          </w:tcPr>
          <w:p>
            <w:r>
              <w:rPr>
                <w:b/>
              </w:rPr>
              <w:t>Archivo de pruebas</w:t>
            </w:r>
          </w:p>
        </w:tc>
        <w:tc>
          <w:tcPr>
            <w:tcW w:type="dxa" w:w="4939"/>
            <w:vAlign w:val="center"/>
            <w:shd w:fill="E6F1EB"/>
          </w:tcPr>
          <w:p>
            <w:r>
              <w:rPr>
                <w:b/>
              </w:rPr>
              <w:t>Casos declarados</w:t>
            </w:r>
          </w:p>
        </w:tc>
      </w:tr>
      <w:tr>
        <w:tc>
          <w:tcPr>
            <w:tcW w:type="dxa" w:w="4939"/>
            <w:vAlign w:val="center"/>
          </w:tcPr>
          <w:p>
            <w:pPr>
              <w:spacing w:after="0"/>
            </w:pPr>
            <w:r>
              <w:rPr>
                <w:sz w:val="18"/>
              </w:rPr>
              <w:t>components/Footer.spec.jsx</w:t>
            </w:r>
          </w:p>
        </w:tc>
        <w:tc>
          <w:tcPr>
            <w:tcW w:type="dxa" w:w="4939"/>
            <w:vAlign w:val="center"/>
          </w:tcPr>
          <w:p>
            <w:pPr>
              <w:spacing w:after="0"/>
            </w:pPr>
            <w:r>
              <w:rPr>
                <w:sz w:val="18"/>
              </w:rPr>
              <w:t>2</w:t>
            </w:r>
          </w:p>
        </w:tc>
      </w:tr>
      <w:tr>
        <w:tc>
          <w:tcPr>
            <w:tcW w:type="dxa" w:w="4939"/>
            <w:vAlign w:val="center"/>
          </w:tcPr>
          <w:p>
            <w:pPr>
              <w:spacing w:after="0"/>
            </w:pPr>
            <w:r>
              <w:rPr>
                <w:sz w:val="18"/>
              </w:rPr>
              <w:t>components/ProductList.spec.jsx</w:t>
            </w:r>
          </w:p>
        </w:tc>
        <w:tc>
          <w:tcPr>
            <w:tcW w:type="dxa" w:w="4939"/>
            <w:vAlign w:val="center"/>
          </w:tcPr>
          <w:p>
            <w:pPr>
              <w:spacing w:after="0"/>
            </w:pPr>
            <w:r>
              <w:rPr>
                <w:sz w:val="18"/>
              </w:rPr>
              <w:t>5</w:t>
            </w:r>
          </w:p>
        </w:tc>
      </w:tr>
      <w:tr>
        <w:tc>
          <w:tcPr>
            <w:tcW w:type="dxa" w:w="4939"/>
            <w:vAlign w:val="center"/>
          </w:tcPr>
          <w:p>
            <w:pPr>
              <w:spacing w:after="0"/>
            </w:pPr>
            <w:r>
              <w:rPr>
                <w:sz w:val="18"/>
              </w:rPr>
              <w:t>pages/Contacto.spec.jsx</w:t>
            </w:r>
          </w:p>
        </w:tc>
        <w:tc>
          <w:tcPr>
            <w:tcW w:type="dxa" w:w="4939"/>
            <w:vAlign w:val="center"/>
          </w:tcPr>
          <w:p>
            <w:pPr>
              <w:spacing w:after="0"/>
            </w:pPr>
            <w:r>
              <w:rPr>
                <w:sz w:val="18"/>
              </w:rPr>
              <w:t>3</w:t>
            </w:r>
          </w:p>
        </w:tc>
      </w:tr>
      <w:tr>
        <w:tc>
          <w:tcPr>
            <w:tcW w:type="dxa" w:w="4939"/>
            <w:vAlign w:val="center"/>
          </w:tcPr>
          <w:p>
            <w:pPr>
              <w:spacing w:after="0"/>
            </w:pPr>
            <w:r>
              <w:rPr>
                <w:sz w:val="18"/>
              </w:rPr>
              <w:t>pages/DetalleProducto.spec.jsx</w:t>
            </w:r>
          </w:p>
        </w:tc>
        <w:tc>
          <w:tcPr>
            <w:tcW w:type="dxa" w:w="4939"/>
            <w:vAlign w:val="center"/>
          </w:tcPr>
          <w:p>
            <w:pPr>
              <w:spacing w:after="0"/>
            </w:pPr>
            <w:r>
              <w:rPr>
                <w:sz w:val="18"/>
              </w:rPr>
              <w:t>4</w:t>
            </w:r>
          </w:p>
        </w:tc>
      </w:tr>
      <w:tr>
        <w:tc>
          <w:tcPr>
            <w:tcW w:type="dxa" w:w="4939"/>
            <w:vAlign w:val="center"/>
          </w:tcPr>
          <w:p>
            <w:pPr>
              <w:spacing w:after="0"/>
            </w:pPr>
            <w:r>
              <w:rPr>
                <w:sz w:val="18"/>
              </w:rPr>
              <w:t>pages/MisPedidos.spec.jsx</w:t>
            </w:r>
          </w:p>
        </w:tc>
        <w:tc>
          <w:tcPr>
            <w:tcW w:type="dxa" w:w="4939"/>
            <w:vAlign w:val="center"/>
          </w:tcPr>
          <w:p>
            <w:pPr>
              <w:spacing w:after="0"/>
            </w:pPr>
            <w:r>
              <w:rPr>
                <w:sz w:val="18"/>
              </w:rPr>
              <w:t>1</w:t>
            </w:r>
          </w:p>
        </w:tc>
      </w:tr>
      <w:tr>
        <w:tc>
          <w:tcPr>
            <w:tcW w:type="dxa" w:w="4939"/>
            <w:vAlign w:val="center"/>
          </w:tcPr>
          <w:p>
            <w:pPr>
              <w:spacing w:after="0"/>
            </w:pPr>
            <w:r>
              <w:rPr>
                <w:sz w:val="18"/>
              </w:rPr>
              <w:t>pages/PanelRepartidor.spec.jsx</w:t>
            </w:r>
          </w:p>
        </w:tc>
        <w:tc>
          <w:tcPr>
            <w:tcW w:type="dxa" w:w="4939"/>
            <w:vAlign w:val="center"/>
          </w:tcPr>
          <w:p>
            <w:pPr>
              <w:spacing w:after="0"/>
            </w:pPr>
            <w:r>
              <w:rPr>
                <w:sz w:val="18"/>
              </w:rPr>
              <w:t>1</w:t>
            </w:r>
          </w:p>
        </w:tc>
      </w:tr>
      <w:tr>
        <w:tc>
          <w:tcPr>
            <w:tcW w:type="dxa" w:w="4939"/>
            <w:vAlign w:val="center"/>
          </w:tcPr>
          <w:p>
            <w:pPr>
              <w:spacing w:after="0"/>
            </w:pPr>
            <w:r>
              <w:rPr>
                <w:sz w:val="18"/>
              </w:rPr>
              <w:t>pages/Registro.spec.jsx</w:t>
            </w:r>
          </w:p>
        </w:tc>
        <w:tc>
          <w:tcPr>
            <w:tcW w:type="dxa" w:w="4939"/>
            <w:vAlign w:val="center"/>
          </w:tcPr>
          <w:p>
            <w:pPr>
              <w:spacing w:after="0"/>
            </w:pPr>
            <w:r>
              <w:rPr>
                <w:sz w:val="18"/>
              </w:rPr>
              <w:t>3</w:t>
            </w:r>
          </w:p>
        </w:tc>
      </w:tr>
      <w:tr>
        <w:tc>
          <w:tcPr>
            <w:tcW w:type="dxa" w:w="4939"/>
            <w:vAlign w:val="center"/>
          </w:tcPr>
          <w:p>
            <w:pPr>
              <w:spacing w:after="0"/>
            </w:pPr>
            <w:r>
              <w:rPr>
                <w:sz w:val="18"/>
              </w:rPr>
              <w:t>pages/ShoppingCart.spec.jsx</w:t>
            </w:r>
          </w:p>
        </w:tc>
        <w:tc>
          <w:tcPr>
            <w:tcW w:type="dxa" w:w="4939"/>
            <w:vAlign w:val="center"/>
          </w:tcPr>
          <w:p>
            <w:pPr>
              <w:spacing w:after="0"/>
            </w:pPr>
            <w:r>
              <w:rPr>
                <w:sz w:val="18"/>
              </w:rPr>
              <w:t>4</w:t>
            </w:r>
          </w:p>
        </w:tc>
      </w:tr>
      <w:tr>
        <w:tc>
          <w:tcPr>
            <w:tcW w:type="dxa" w:w="4939"/>
            <w:vAlign w:val="center"/>
          </w:tcPr>
          <w:p>
            <w:pPr>
              <w:spacing w:after="0"/>
            </w:pPr>
            <w:r>
              <w:rPr>
                <w:sz w:val="18"/>
              </w:rPr>
              <w:t>sanity.spec.jsx</w:t>
            </w:r>
          </w:p>
        </w:tc>
        <w:tc>
          <w:tcPr>
            <w:tcW w:type="dxa" w:w="4939"/>
            <w:vAlign w:val="center"/>
          </w:tcPr>
          <w:p>
            <w:pPr>
              <w:spacing w:after="0"/>
            </w:pPr>
            <w:r>
              <w:rPr>
                <w:sz w:val="18"/>
              </w:rPr>
              <w:t>1</w:t>
            </w:r>
          </w:p>
        </w:tc>
      </w:tr>
      <w:tr>
        <w:tc>
          <w:tcPr>
            <w:tcW w:type="dxa" w:w="4939"/>
            <w:vAlign w:val="center"/>
          </w:tcPr>
          <w:p>
            <w:pPr>
              <w:spacing w:after="0"/>
            </w:pPr>
            <w:r>
              <w:rPr>
                <w:sz w:val="18"/>
              </w:rPr>
              <w:t>utils/direccionDespacho.spec.jsx</w:t>
            </w:r>
          </w:p>
        </w:tc>
        <w:tc>
          <w:tcPr>
            <w:tcW w:type="dxa" w:w="4939"/>
            <w:vAlign w:val="center"/>
          </w:tcPr>
          <w:p>
            <w:pPr>
              <w:spacing w:after="0"/>
            </w:pPr>
            <w:r>
              <w:rPr>
                <w:sz w:val="18"/>
              </w:rPr>
              <w:t>3</w:t>
            </w:r>
          </w:p>
        </w:tc>
      </w:tr>
    </w:tbl>
    <w:p>
      <w:r>
        <w:t>Total por análisis de los archivos JSX: 27 pruebas (26 funcionales + una prueba de configuración sanity). La prueba añadida tras la ejecución de 26 corresponde al filtro textual del catálogo.</w:t>
      </w:r>
    </w:p>
    <w:p>
      <w:pPr>
        <w:pStyle w:val="Heading1"/>
      </w:pPr>
      <w:r>
        <w:t>4. Casos y objetivos de verificación</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6F1EB"/>
          </w:tcPr>
          <w:p>
            <w:r>
              <w:rPr>
                <w:b/>
              </w:rPr>
              <w:t>Área</w:t>
            </w:r>
          </w:p>
        </w:tc>
        <w:tc>
          <w:tcPr>
            <w:tcW w:type="dxa" w:w="4939"/>
            <w:vAlign w:val="center"/>
            <w:shd w:fill="E6F1EB"/>
          </w:tcPr>
          <w:p>
            <w:r>
              <w:rPr>
                <w:b/>
              </w:rPr>
              <w:t>Comportamientos evaluados</w:t>
            </w:r>
          </w:p>
        </w:tc>
      </w:tr>
      <w:tr>
        <w:tc>
          <w:tcPr>
            <w:tcW w:type="dxa" w:w="4939"/>
            <w:vAlign w:val="center"/>
          </w:tcPr>
          <w:p>
            <w:pPr>
              <w:spacing w:after="0"/>
            </w:pPr>
            <w:r>
              <w:rPr>
                <w:sz w:val="18"/>
              </w:rPr>
              <w:t>Catálogo (ProductList)</w:t>
            </w:r>
          </w:p>
        </w:tc>
        <w:tc>
          <w:tcPr>
            <w:tcW w:type="dxa" w:w="4939"/>
            <w:vAlign w:val="center"/>
          </w:tcPr>
          <w:p>
            <w:pPr>
              <w:spacing w:after="0"/>
            </w:pPr>
            <w:r>
              <w:rPr>
                <w:sz w:val="18"/>
              </w:rPr>
              <w:t>Renderiza, filtra por categoría, busca texto, combina filtros, evita coincidencia por descripción irrelevante.</w:t>
            </w:r>
          </w:p>
        </w:tc>
      </w:tr>
      <w:tr>
        <w:tc>
          <w:tcPr>
            <w:tcW w:type="dxa" w:w="4939"/>
            <w:vAlign w:val="center"/>
          </w:tcPr>
          <w:p>
            <w:pPr>
              <w:spacing w:after="0"/>
            </w:pPr>
            <w:r>
              <w:rPr>
                <w:sz w:val="18"/>
              </w:rPr>
              <w:t>DetalleProducto</w:t>
            </w:r>
          </w:p>
        </w:tc>
        <w:tc>
          <w:tcPr>
            <w:tcW w:type="dxa" w:w="4939"/>
            <w:vAlign w:val="center"/>
          </w:tcPr>
          <w:p>
            <w:pPr>
              <w:spacing w:after="0"/>
            </w:pPr>
            <w:r>
              <w:rPr>
                <w:sz w:val="18"/>
              </w:rPr>
              <w:t>Muestra información, agrega al carrito, evita agregar sin stock y gestiona ID inexistente.</w:t>
            </w:r>
          </w:p>
        </w:tc>
      </w:tr>
      <w:tr>
        <w:tc>
          <w:tcPr>
            <w:tcW w:type="dxa" w:w="4939"/>
            <w:vAlign w:val="center"/>
          </w:tcPr>
          <w:p>
            <w:pPr>
              <w:spacing w:after="0"/>
            </w:pPr>
            <w:r>
              <w:rPr>
                <w:sz w:val="18"/>
              </w:rPr>
              <w:t>ShoppingCart</w:t>
            </w:r>
          </w:p>
        </w:tc>
        <w:tc>
          <w:tcPr>
            <w:tcW w:type="dxa" w:w="4939"/>
            <w:vAlign w:val="center"/>
          </w:tcPr>
          <w:p>
            <w:pPr>
              <w:spacing w:after="0"/>
            </w:pPr>
            <w:r>
              <w:rPr>
                <w:sz w:val="18"/>
              </w:rPr>
              <w:t>Calcula totales, cambia cantidades, valida pago/dirección y bloquea compra con datos incompletos.</w:t>
            </w:r>
          </w:p>
        </w:tc>
      </w:tr>
      <w:tr>
        <w:tc>
          <w:tcPr>
            <w:tcW w:type="dxa" w:w="4939"/>
            <w:vAlign w:val="center"/>
          </w:tcPr>
          <w:p>
            <w:pPr>
              <w:spacing w:after="0"/>
            </w:pPr>
            <w:r>
              <w:rPr>
                <w:sz w:val="18"/>
              </w:rPr>
              <w:t>Registro y dirección</w:t>
            </w:r>
          </w:p>
        </w:tc>
        <w:tc>
          <w:tcPr>
            <w:tcW w:type="dxa" w:w="4939"/>
            <w:vAlign w:val="center"/>
          </w:tcPr>
          <w:p>
            <w:pPr>
              <w:spacing w:after="0"/>
            </w:pPr>
            <w:r>
              <w:rPr>
                <w:sz w:val="18"/>
              </w:rPr>
              <w:t>Valida RUN y correo, registra cliente, comprueba dirección completa y mensajes para pedidos anteriores.</w:t>
            </w:r>
          </w:p>
        </w:tc>
      </w:tr>
      <w:tr>
        <w:tc>
          <w:tcPr>
            <w:tcW w:type="dxa" w:w="4939"/>
            <w:vAlign w:val="center"/>
          </w:tcPr>
          <w:p>
            <w:pPr>
              <w:spacing w:after="0"/>
            </w:pPr>
            <w:r>
              <w:rPr>
                <w:sz w:val="18"/>
              </w:rPr>
              <w:t>Contacto</w:t>
            </w:r>
          </w:p>
        </w:tc>
        <w:tc>
          <w:tcPr>
            <w:tcW w:type="dxa" w:w="4939"/>
            <w:vAlign w:val="center"/>
          </w:tcPr>
          <w:p>
            <w:pPr>
              <w:spacing w:after="0"/>
            </w:pPr>
            <w:r>
              <w:rPr>
                <w:sz w:val="18"/>
              </w:rPr>
              <w:t>Rechaza dominios indebidos, valida longitudes y registra/limpia una consulta local.</w:t>
            </w:r>
          </w:p>
        </w:tc>
      </w:tr>
      <w:tr>
        <w:tc>
          <w:tcPr>
            <w:tcW w:type="dxa" w:w="4939"/>
            <w:vAlign w:val="center"/>
          </w:tcPr>
          <w:p>
            <w:pPr>
              <w:spacing w:after="0"/>
            </w:pPr>
            <w:r>
              <w:rPr>
                <w:sz w:val="18"/>
              </w:rPr>
              <w:t>Footer</w:t>
            </w:r>
          </w:p>
        </w:tc>
        <w:tc>
          <w:tcPr>
            <w:tcW w:type="dxa" w:w="4939"/>
            <w:vAlign w:val="center"/>
          </w:tcPr>
          <w:p>
            <w:pPr>
              <w:spacing w:after="0"/>
            </w:pPr>
            <w:r>
              <w:rPr>
                <w:sz w:val="18"/>
              </w:rPr>
              <w:t>Enlaces y visualización de las cinco zonas de despacho.</w:t>
            </w:r>
          </w:p>
        </w:tc>
      </w:tr>
      <w:tr>
        <w:tc>
          <w:tcPr>
            <w:tcW w:type="dxa" w:w="4939"/>
            <w:vAlign w:val="center"/>
          </w:tcPr>
          <w:p>
            <w:pPr>
              <w:spacing w:after="0"/>
            </w:pPr>
            <w:r>
              <w:rPr>
                <w:sz w:val="18"/>
              </w:rPr>
              <w:t>MisPedidos</w:t>
            </w:r>
          </w:p>
        </w:tc>
        <w:tc>
          <w:tcPr>
            <w:tcW w:type="dxa" w:w="4939"/>
            <w:vAlign w:val="center"/>
          </w:tcPr>
          <w:p>
            <w:pPr>
              <w:spacing w:after="0"/>
            </w:pPr>
            <w:r>
              <w:rPr>
                <w:sz w:val="18"/>
              </w:rPr>
              <w:t>Presenta dirección del pedido al cliente.</w:t>
            </w:r>
          </w:p>
        </w:tc>
      </w:tr>
      <w:tr>
        <w:tc>
          <w:tcPr>
            <w:tcW w:type="dxa" w:w="4939"/>
            <w:vAlign w:val="center"/>
          </w:tcPr>
          <w:p>
            <w:pPr>
              <w:spacing w:after="0"/>
            </w:pPr>
            <w:r>
              <w:rPr>
                <w:sz w:val="18"/>
              </w:rPr>
              <w:t>PanelRepartidor</w:t>
            </w:r>
          </w:p>
        </w:tc>
        <w:tc>
          <w:tcPr>
            <w:tcW w:type="dxa" w:w="4939"/>
            <w:vAlign w:val="center"/>
          </w:tcPr>
          <w:p>
            <w:pPr>
              <w:spacing w:after="0"/>
            </w:pPr>
            <w:r>
              <w:rPr>
                <w:sz w:val="18"/>
              </w:rPr>
              <w:t>Visibilidad de entregas asignadas, dirección y estados.</w:t>
            </w:r>
          </w:p>
        </w:tc>
      </w:tr>
      <w:tr>
        <w:tc>
          <w:tcPr>
            <w:tcW w:type="dxa" w:w="4939"/>
            <w:vAlign w:val="center"/>
          </w:tcPr>
          <w:p>
            <w:pPr>
              <w:spacing w:after="0"/>
            </w:pPr>
            <w:r>
              <w:rPr>
                <w:sz w:val="18"/>
              </w:rPr>
              <w:t>Sanity</w:t>
            </w:r>
          </w:p>
        </w:tc>
        <w:tc>
          <w:tcPr>
            <w:tcW w:type="dxa" w:w="4939"/>
            <w:vAlign w:val="center"/>
          </w:tcPr>
          <w:p>
            <w:pPr>
              <w:spacing w:after="0"/>
            </w:pPr>
            <w:r>
              <w:rPr>
                <w:sz w:val="18"/>
              </w:rPr>
              <w:t>Valida la disponibilidad del entorno de pruebas.</w:t>
            </w:r>
          </w:p>
        </w:tc>
      </w:tr>
    </w:tbl>
    <w:p>
      <w:pPr>
        <w:pStyle w:val="Heading1"/>
      </w:pPr>
      <w:r>
        <w:t>5. Resultados cuantitativos verificables</w:t>
      </w:r>
    </w:p>
    <w:p>
      <w:r>
        <w:t>Salida final de terminal entregada el 12/10/2026, con el ajuste de buscador de la Fase 4B: TOTAL: 27 SUCCESS (27/27). npm run build terminó correctamente (Vite 8.3.4, 363 módulos transformados y compilación en 908 ms). Entorno de pruebas: Edge 155 headless, Karma 6.4.4.</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6F1EB"/>
          </w:tcPr>
          <w:p>
            <w:r>
              <w:rPr>
                <w:b/>
              </w:rPr>
              <w:t>Métrica (Istanbul)</w:t>
            </w:r>
          </w:p>
        </w:tc>
        <w:tc>
          <w:tcPr>
            <w:tcW w:type="dxa" w:w="3293"/>
            <w:vAlign w:val="center"/>
            <w:shd w:fill="E6F1EB"/>
          </w:tcPr>
          <w:p>
            <w:r>
              <w:rPr>
                <w:b/>
              </w:rPr>
              <w:t>Porcentaje</w:t>
            </w:r>
          </w:p>
        </w:tc>
        <w:tc>
          <w:tcPr>
            <w:tcW w:type="dxa" w:w="3293"/>
            <w:vAlign w:val="center"/>
            <w:shd w:fill="E6F1EB"/>
          </w:tcPr>
          <w:p>
            <w:r>
              <w:rPr>
                <w:b/>
              </w:rPr>
              <w:t>Cobiertas / medidas</w:t>
            </w:r>
          </w:p>
        </w:tc>
      </w:tr>
      <w:tr>
        <w:tc>
          <w:tcPr>
            <w:tcW w:type="dxa" w:w="3293"/>
            <w:vAlign w:val="center"/>
          </w:tcPr>
          <w:p>
            <w:pPr>
              <w:spacing w:after="0"/>
            </w:pPr>
            <w:r>
              <w:rPr>
                <w:sz w:val="18"/>
              </w:rPr>
              <w:t>Statements / Sentencias</w:t>
            </w:r>
          </w:p>
        </w:tc>
        <w:tc>
          <w:tcPr>
            <w:tcW w:type="dxa" w:w="3293"/>
            <w:vAlign w:val="center"/>
          </w:tcPr>
          <w:p>
            <w:pPr>
              <w:spacing w:after="0"/>
            </w:pPr>
            <w:r>
              <w:rPr>
                <w:sz w:val="18"/>
              </w:rPr>
              <w:t>86,80 %</w:t>
            </w:r>
          </w:p>
        </w:tc>
        <w:tc>
          <w:tcPr>
            <w:tcW w:type="dxa" w:w="3293"/>
            <w:vAlign w:val="center"/>
          </w:tcPr>
          <w:p>
            <w:pPr>
              <w:spacing w:after="0"/>
            </w:pPr>
            <w:r>
              <w:rPr>
                <w:sz w:val="18"/>
              </w:rPr>
              <w:t>217 / 250</w:t>
            </w:r>
          </w:p>
        </w:tc>
      </w:tr>
      <w:tr>
        <w:tc>
          <w:tcPr>
            <w:tcW w:type="dxa" w:w="3293"/>
            <w:vAlign w:val="center"/>
          </w:tcPr>
          <w:p>
            <w:pPr>
              <w:spacing w:after="0"/>
            </w:pPr>
            <w:r>
              <w:rPr>
                <w:sz w:val="18"/>
              </w:rPr>
              <w:t>Branches / Ramas</w:t>
            </w:r>
          </w:p>
        </w:tc>
        <w:tc>
          <w:tcPr>
            <w:tcW w:type="dxa" w:w="3293"/>
            <w:vAlign w:val="center"/>
          </w:tcPr>
          <w:p>
            <w:pPr>
              <w:spacing w:after="0"/>
            </w:pPr>
            <w:r>
              <w:rPr>
                <w:sz w:val="18"/>
              </w:rPr>
              <w:t>78,57 %</w:t>
            </w:r>
          </w:p>
        </w:tc>
        <w:tc>
          <w:tcPr>
            <w:tcW w:type="dxa" w:w="3293"/>
            <w:vAlign w:val="center"/>
          </w:tcPr>
          <w:p>
            <w:pPr>
              <w:spacing w:after="0"/>
            </w:pPr>
            <w:r>
              <w:rPr>
                <w:sz w:val="18"/>
              </w:rPr>
              <w:t>154 / 196</w:t>
            </w:r>
          </w:p>
        </w:tc>
      </w:tr>
      <w:tr>
        <w:tc>
          <w:tcPr>
            <w:tcW w:type="dxa" w:w="3293"/>
            <w:vAlign w:val="center"/>
          </w:tcPr>
          <w:p>
            <w:pPr>
              <w:spacing w:after="0"/>
            </w:pPr>
            <w:r>
              <w:rPr>
                <w:sz w:val="18"/>
              </w:rPr>
              <w:t>Functions / Funciones</w:t>
            </w:r>
          </w:p>
        </w:tc>
        <w:tc>
          <w:tcPr>
            <w:tcW w:type="dxa" w:w="3293"/>
            <w:vAlign w:val="center"/>
          </w:tcPr>
          <w:p>
            <w:pPr>
              <w:spacing w:after="0"/>
            </w:pPr>
            <w:r>
              <w:rPr>
                <w:sz w:val="18"/>
              </w:rPr>
              <w:t>91,93 %</w:t>
            </w:r>
          </w:p>
        </w:tc>
        <w:tc>
          <w:tcPr>
            <w:tcW w:type="dxa" w:w="3293"/>
            <w:vAlign w:val="center"/>
          </w:tcPr>
          <w:p>
            <w:pPr>
              <w:spacing w:after="0"/>
            </w:pPr>
            <w:r>
              <w:rPr>
                <w:sz w:val="18"/>
              </w:rPr>
              <w:t>57 / 62</w:t>
            </w:r>
          </w:p>
        </w:tc>
      </w:tr>
      <w:tr>
        <w:tc>
          <w:tcPr>
            <w:tcW w:type="dxa" w:w="3293"/>
            <w:vAlign w:val="center"/>
          </w:tcPr>
          <w:p>
            <w:pPr>
              <w:spacing w:after="0"/>
            </w:pPr>
            <w:r>
              <w:rPr>
                <w:sz w:val="18"/>
              </w:rPr>
              <w:t>Lines / Líneas</w:t>
            </w:r>
          </w:p>
        </w:tc>
        <w:tc>
          <w:tcPr>
            <w:tcW w:type="dxa" w:w="3293"/>
            <w:vAlign w:val="center"/>
          </w:tcPr>
          <w:p>
            <w:pPr>
              <w:spacing w:after="0"/>
            </w:pPr>
            <w:r>
              <w:rPr>
                <w:sz w:val="18"/>
              </w:rPr>
              <w:t>86,77 %</w:t>
            </w:r>
          </w:p>
        </w:tc>
        <w:tc>
          <w:tcPr>
            <w:tcW w:type="dxa" w:w="3293"/>
            <w:vAlign w:val="center"/>
          </w:tcPr>
          <w:p>
            <w:pPr>
              <w:spacing w:after="0"/>
            </w:pPr>
            <w:r>
              <w:rPr>
                <w:sz w:val="18"/>
              </w:rPr>
              <w:t>210 / 242</w:t>
            </w:r>
          </w:p>
        </w:tc>
      </w:tr>
    </w:tbl>
    <w:p>
      <w:r>
        <w:t>La cobertura expresa únicamente los archivos instrumentados durante la ejecución de las 27 pruebas, no el porcentaje total de la aplicación. Los valores verificados son: sentencias 86,80 % (217/250), ramas 78,57 % (154/196), funciones 91,93 % (57/62) y líneas 86,77 % (210/242).</w:t>
      </w:r>
    </w:p>
    <w:p>
      <w:pPr>
        <w:pStyle w:val="Heading1"/>
      </w:pPr>
      <w:r>
        <w:t>6. Mocks y aislamiento</w:t>
      </w:r>
    </w:p>
    <w:p>
      <w:r>
        <w:t>Jasmine spies sustituyen callbacks de navegación, cambios del carrito, alta de clientes, compra simulada y actualización de estados. MemoryRouter permite verificar rutas sin acceder al navegador real. Los tests de Contacto utilizan localStorage de la sesión de pruebas para confirmar que el formulario no requiere ni invoca un servicio de correo. Las funciones de dirección se prueban con entradas válidas, inválidas y pedidos anteriores sin domicilio.</w:t>
      </w:r>
    </w:p>
    <w:p>
      <w:pPr>
        <w:pStyle w:val="Heading1"/>
      </w:pPr>
      <w:r>
        <w:t>7. Verificaciones manuales adicionales</w:t>
      </w:r>
    </w:p>
    <w:p>
      <w:r>
        <w:t>El responsable confirmó el formulario Contacto, la presentación del footer, el buscador ajustado y el flujo completo cliente → carrito/dirección → comprobante → administrador/asignación → repartidor/estado → cliente/historial. Estos controles corroboran el uso de la interfaz, pero no sustituyen pruebas de integración con un servidor externo.</w:t>
      </w:r>
    </w:p>
    <w:p>
      <w:pPr>
        <w:pStyle w:val="Heading1"/>
      </w:pPr>
      <w:r>
        <w:t>8. Observaciones, límites y próximos controles</w:t>
      </w:r>
    </w:p>
    <w:p>
      <w:pPr>
        <w:pStyle w:val="ListBullet"/>
      </w:pPr>
      <w:r>
        <w:t>Conservar la salida final de 27/27 SUCCESS y el resumen de Istanbul como evidencia para la entrega y la defensa del proyecto.</w:t>
      </w:r>
    </w:p>
    <w:p>
      <w:pPr>
        <w:pStyle w:val="ListBullet"/>
      </w:pPr>
      <w:r>
        <w:t>Los avisos 404 de /img/gas5.jpg, /img/gas15.jpg y /img/regulador.jpg observados en tests pertenecen a recursos de datos simulados; no invalidaron los casos, pero conviene corregirlos.</w:t>
      </w:r>
    </w:p>
    <w:p>
      <w:pPr>
        <w:pStyle w:val="ListBullet"/>
      </w:pPr>
      <w:r>
        <w:t>Ampliar la cobertura de ramas mediante escenarios de error, permisos de interfaz, ausencia de pedidos y límites del stock.</w:t>
      </w:r>
    </w:p>
    <w:p>
      <w:pPr>
        <w:pStyle w:val="ListBullet"/>
      </w:pPr>
      <w:r>
        <w:t>El prototipo no envía correos ni procesa pagos reales. El control por rol y la persistencia en navegador no representan seguridad de producción.</w:t>
      </w:r>
    </w:p>
    <w:p>
      <w:pPr>
        <w:pStyle w:val="Heading1"/>
      </w:pPr>
      <w:r>
        <w:t>9. Conclusión</w:t>
      </w:r>
    </w:p>
    <w:p>
      <w:r>
        <w:t>La suite de 27 pruebas, de las cuales 26 son funcionales y una comprueba el arranque del entorno, supera el mínimo académico de diez pruebas funcionales. La ejecución final confirmó 27/27 SUCCESS, 86,77 % de cobertura de líneas y la compilación correcta con Vite. Los requisitos restaurados se documentan en el ERS revisión 2.1.</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4634"/>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24634"/>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2463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