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Cobertura de Testing</w:t>
      </w:r>
    </w:p>
    <w:p>
      <w:r>
        <w:rPr>
          <w:color w:val="576578"/>
          <w:sz w:val="18"/>
        </w:rPr>
        <w:t>Gas El Volcán (React + Vite) · DSY1104 Desarrollo Fullstack II · Evaluación Parcial N°2</w:t>
      </w:r>
    </w:p>
    <w:p>
      <w:pPr>
        <w:pStyle w:val="Heading1"/>
      </w:pPr>
      <w:r>
        <w:t>1. Datos generales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5"/>
        <w:gridCol w:w="7589"/>
      </w:tblGrid>
      <w:tr>
        <w:trPr>
          <w:tblHeader w:val="true"/>
          <w:cantSplit/>
        </w:trPr>
        <w:tc>
          <w:tcPr>
            <w:tcW w:type="dxa" w:w="2405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Campo</w:t>
            </w:r>
          </w:p>
        </w:tc>
        <w:tc>
          <w:tcPr>
            <w:tcW w:type="dxa" w:w="758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Detalle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Proyecto</w:t>
            </w:r>
          </w:p>
        </w:tc>
        <w:tc>
          <w:tcPr>
            <w:tcW w:type="dxa" w:w="758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Gas El Volcán — migración de tienda online a React</w:t>
            </w:r>
          </w:p>
        </w:tc>
      </w:tr>
      <w:tr>
        <w:trPr>
          <w:cantSplit/>
        </w:trPr>
        <w:tc>
          <w:tcPr>
            <w:tcW w:type="dxa" w:w="240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Integrantes</w:t>
            </w:r>
          </w:p>
        </w:tc>
        <w:tc>
          <w:tcPr>
            <w:tcW w:type="dxa" w:w="758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t>Gerard Zambrano y Leonardo Bastidas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Herramientas</w:t>
            </w:r>
          </w:p>
        </w:tc>
        <w:tc>
          <w:tcPr>
            <w:tcW w:type="dxa" w:w="758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Jasmine, Karma, karma-coverage, React, Vite y Edge Headless</w:t>
            </w:r>
          </w:p>
        </w:tc>
      </w:tr>
      <w:tr>
        <w:trPr>
          <w:cantSplit/>
        </w:trPr>
        <w:tc>
          <w:tcPr>
            <w:tcW w:type="dxa" w:w="240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Repositorio</w:t>
            </w:r>
          </w:p>
        </w:tc>
        <w:tc>
          <w:tcPr>
            <w:tcW w:type="dxa" w:w="758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https://github.com/gjjzc/Gas-El-Volcan (rama migracion-react)</w:t>
            </w:r>
          </w:p>
        </w:tc>
      </w:tr>
      <w:tr>
        <w:trPr>
          <w:cantSplit/>
        </w:trPr>
        <w:tc>
          <w:tcPr>
            <w:tcW w:type="dxa" w:w="240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Fecha de evidencias</w:t>
            </w:r>
          </w:p>
        </w:tc>
        <w:tc>
          <w:tcPr>
            <w:tcW w:type="dxa" w:w="758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12 de octubre de 2026</w:t>
            </w:r>
          </w:p>
        </w:tc>
      </w:tr>
    </w:tbl>
    <w:p>
      <w:pPr>
        <w:spacing w:after="0"/>
      </w:pPr>
    </w:p>
    <w:p>
      <w:pPr>
        <w:pStyle w:val="Heading1"/>
      </w:pPr>
      <w:r>
        <w:t>2. Herramientas y configuración</w:t>
      </w:r>
    </w:p>
    <w:p>
      <w:r>
        <w:rPr>
          <w:b w:val="0"/>
        </w:rPr>
        <w:t>Se utiliza Jasmine para definir las pruebas, Karma para ejecutarlas en el navegador y karma-coverage (Istanbul) para calcular la cobertura instrumentada. El entorno probado utiliza Microsoft Edge con el lanzador ChromeHeadless.</w:t>
      </w:r>
    </w:p>
    <w:p>
      <w:r>
        <w:rPr>
          <w:b w:val="0"/>
        </w:rPr>
        <w:t>Comandos ejecutados dentro de gas_el_volcan_react: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23"/>
            <w:shd w:fill="EEF1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$env:CHROME_BIN = "C:\Program Files (x86)\Microsoft\Edge\Application\msedge.exe"</w:t>
              <w:br/>
              <w:t>npm test</w:t>
              <w:br/>
              <w:t>npm run build</w:t>
            </w:r>
          </w:p>
        </w:tc>
      </w:tr>
    </w:tbl>
    <w:p>
      <w:pPr>
        <w:spacing w:after="0"/>
      </w:pPr>
    </w:p>
    <w:p>
      <w:r>
        <w:rPr>
          <w:b w:val="0"/>
        </w:rPr>
        <w:t>La configuración del proyecto en karma.conf.cjs genera el informe HTML en coverage/ y un resumen textual en la 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08"/>
      </w:tblGrid>
      <w:tr>
        <w:tc>
          <w:tcPr>
            <w:tcW w:type="dxa" w:w="10123"/>
            <w:shd w:fill="EEF1F5"/>
          </w:tcPr>
          <w:p>
            <w:pPr>
              <w:spacing w:after="0"/>
            </w:pPr>
            <w:r>
              <w:rPr>
                <w:rFonts w:ascii="Consolas" w:hAnsi="Consolas"/>
                <w:sz w:val="15"/>
              </w:rPr>
              <w:t>reporters: ['progress', 'coverage'],</w:t>
              <w:br/>
              <w:t>coverageReporter: {</w:t>
              <w:br/>
              <w:t xml:space="preserve">  dir: 'coverage',</w:t>
              <w:br/>
              <w:t xml:space="preserve">  reporters: [{ type: 'html', subdir: '.' }, { type: 'text-summary' }]</w:t>
              <w:br/>
              <w:t>}</w:t>
            </w:r>
          </w:p>
        </w:tc>
      </w:tr>
    </w:tbl>
    <w:p>
      <w:pPr>
        <w:spacing w:after="0"/>
      </w:pPr>
    </w:p>
    <w:p>
      <w:r>
        <w:rPr>
          <w:b w:val="0"/>
        </w:rPr>
        <w:t>La evidencia presentada en las figuras siguientes proviene de capturas reales del proyecto. Algunas imágenes fueron recortadas para su legibilidad, sin alterar los resultados.</w:t>
      </w:r>
    </w:p>
    <w:p>
      <w:pPr>
        <w:pStyle w:val="Heading1"/>
      </w:pPr>
      <w:r>
        <w:t>3. Alcance</w:t>
      </w:r>
    </w:p>
    <w:p>
      <w:r>
        <w:rPr>
          <w:b w:val="0"/>
        </w:rPr>
        <w:t>Se identifican los archivos que tienen pruebas automatizadas y las pantallas cuya validación se realizó manualmente.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1210"/>
        <w:gridCol w:w="6307"/>
      </w:tblGrid>
      <w:tr>
        <w:trPr>
          <w:tblHeader w:val="true"/>
          <w:cantSplit/>
        </w:trPr>
        <w:tc>
          <w:tcPr>
            <w:tcW w:type="dxa" w:w="2477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5"/>
              </w:rPr>
              <w:t>Componente</w:t>
            </w:r>
          </w:p>
        </w:tc>
        <w:tc>
          <w:tcPr>
            <w:tcW w:type="dxa" w:w="1210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5"/>
              </w:rPr>
              <w:t>¿Se prueba?</w:t>
            </w:r>
          </w:p>
        </w:tc>
        <w:tc>
          <w:tcPr>
            <w:tcW w:type="dxa" w:w="6307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5"/>
              </w:rPr>
              <w:t>Justificación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ProductList y ProductCard</w:t>
            </w:r>
          </w:p>
        </w:tc>
        <w:tc>
          <w:tcPr>
            <w:tcW w:type="dxa" w:w="121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 / parcial</w:t>
            </w:r>
          </w:p>
        </w:tc>
        <w:tc>
          <w:tcPr>
            <w:tcW w:type="dxa" w:w="630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Filtra catálogo y permite abrir detalles; no todas las ramas internas de las tarjetas están cubiertas.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DetalleProducto</w:t>
            </w:r>
          </w:p>
        </w:tc>
        <w:tc>
          <w:tcPr>
            <w:tcW w:type="dxa" w:w="121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630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Descripción, stock, precio, carrito y producto inexistente.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ShoppingCart</w:t>
            </w:r>
          </w:p>
        </w:tc>
        <w:tc>
          <w:tcPr>
            <w:tcW w:type="dxa" w:w="121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630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Cálculos, cantidades, dirección obligatoria y método de pago.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Registro y Contacto</w:t>
            </w:r>
          </w:p>
        </w:tc>
        <w:tc>
          <w:tcPr>
            <w:tcW w:type="dxa" w:w="121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630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Validaciones y casos normales y de error.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MisPedidos y PanelRepartidor</w:t>
            </w:r>
          </w:p>
        </w:tc>
        <w:tc>
          <w:tcPr>
            <w:tcW w:type="dxa" w:w="121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630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Visualización de pedidos, asignación y estados.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Footer y BarraSuperior</w:t>
            </w:r>
          </w:p>
        </w:tc>
        <w:tc>
          <w:tcPr>
            <w:tcW w:type="dxa" w:w="121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 / parcial</w:t>
            </w:r>
          </w:p>
        </w:tc>
        <w:tc>
          <w:tcPr>
            <w:tcW w:type="dxa" w:w="630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Se comprueban contenido y enlaces; no se simulan todas las interacciones visuales.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direccionDespacho.js</w:t>
            </w:r>
          </w:p>
        </w:tc>
        <w:tc>
          <w:tcPr>
            <w:tcW w:type="dxa" w:w="121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</w:t>
            </w:r>
          </w:p>
        </w:tc>
        <w:tc>
          <w:tcPr>
            <w:tcW w:type="dxa" w:w="630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Validar, normalizar y formatear direcciones.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validaciones.js y validarContacto.js</w:t>
            </w:r>
          </w:p>
        </w:tc>
        <w:tc>
          <w:tcPr>
            <w:tcW w:type="dxa" w:w="121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Sí / parcial</w:t>
            </w:r>
          </w:p>
        </w:tc>
        <w:tc>
          <w:tcPr>
            <w:tcW w:type="dxa" w:w="630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Sus funciones son ejercitadas por los formularios; hay ramas pendientes.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AdminPedidos / AdminUsuarios</w:t>
            </w:r>
          </w:p>
        </w:tc>
        <w:tc>
          <w:tcPr>
            <w:tcW w:type="dxa" w:w="121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Manual</w:t>
            </w:r>
          </w:p>
        </w:tc>
        <w:tc>
          <w:tcPr>
            <w:tcW w:type="dxa" w:w="630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5"/>
              </w:rPr>
              <w:t>Flujo revisado manualmente; no existe suite específica .spec.jsx.</w:t>
            </w:r>
          </w:p>
        </w:tc>
      </w:tr>
    </w:tbl>
    <w:p>
      <w:pPr>
        <w:spacing w:after="0"/>
      </w:pPr>
    </w:p>
    <w:p>
      <w:pPr>
        <w:pStyle w:val="Heading1"/>
      </w:pPr>
      <w:r>
        <w:t>4. Casos de prueba (mínimo 10)</w:t>
      </w:r>
    </w:p>
    <w:p>
      <w:r>
        <w:rPr>
          <w:b w:val="0"/>
        </w:rPr>
        <w:t>Los 27 casos siguientes provienen de las pruebas Jasmine existentes en los archivos .spec.jsx del proyecto. Los escenarios incluyen rutas normales, límites y errores.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19"/>
        <w:gridCol w:w="1685"/>
        <w:gridCol w:w="5083"/>
        <w:gridCol w:w="1541"/>
        <w:gridCol w:w="1066"/>
      </w:tblGrid>
      <w:tr>
        <w:trPr>
          <w:tblHeader w:val="true"/>
          <w:cantSplit/>
        </w:trPr>
        <w:tc>
          <w:tcPr>
            <w:tcW w:type="dxa" w:w="61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ID</w:t>
            </w:r>
          </w:p>
        </w:tc>
        <w:tc>
          <w:tcPr>
            <w:tcW w:type="dxa" w:w="1685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Componente</w:t>
            </w:r>
          </w:p>
        </w:tc>
        <w:tc>
          <w:tcPr>
            <w:tcW w:type="dxa" w:w="5083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Qué se verifica</w:t>
            </w:r>
          </w:p>
        </w:tc>
        <w:tc>
          <w:tcPr>
            <w:tcW w:type="dxa" w:w="1541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Escenario</w:t>
            </w:r>
          </w:p>
        </w:tc>
        <w:tc>
          <w:tcPr>
            <w:tcW w:type="dxa" w:w="1066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Resultado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T01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Footer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Muestra los enlaces y las cinco zonas de despacho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T02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Footer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Recupera la información de cobertura del encabezado original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T03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ProductList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filtrar por texto sin importar mayúsculas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T04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ProductList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 debe incluir resultados cuya coincidencia esta solo en la descripcion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T05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ProductList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permitir abrir el detalle individual de un producto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T06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ProductList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mostrar todos los productos del catálogo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T07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ProductList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filtrar los productos según su categoría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T08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Contacto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Rechaza correos que no pertenezcan a los dominios permitidos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T09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Contacto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Valida los límites de longitud de nombre y comentario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T10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Contacto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Guarda una consulta válida y limpia los campos del formulario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T11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DetalleProducto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mostrar descripción, stock y precio del producto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T12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DetalleProducto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agregar al carrito el producto seleccionado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T13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DetalleProducto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impedir añadir un producto sin stock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T14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DetalleProducto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avisar cuando el producto no existe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T15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MisPedidos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mostrar solo los pedidos del cliente con sus estados correctos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T16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PanelRepartidor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mostrar solo sus entregas, avanzar estados y bloquear pedidos entregados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borde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T17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Registro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validar correctamente el RUN chileno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T18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Registro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rechazar un correo no permitido en el registro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T19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Registro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registrar correctamente un cliente con datos válidos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T20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ShoppingCart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calcular correctamente subtotales y total del carrito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T21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ShoppingCart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ejecutar cambiarCantidad al aumentar o disminuir productos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T22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ShoppingCart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impedir una compra cuando falta la dirección de entrega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T23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ShoppingCart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exigir método de pago y finalizar una compra correctamente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T24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sanity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realizar una suma correctamente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T25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direccionDespacho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aceptar y normalizar una dirección válida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T26</w:t>
            </w:r>
          </w:p>
        </w:tc>
        <w:tc>
          <w:tcPr>
            <w:tcW w:type="dxa" w:w="1685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direccionDespacho</w:t>
            </w:r>
          </w:p>
        </w:tc>
        <w:tc>
          <w:tcPr>
            <w:tcW w:type="dxa" w:w="5083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rechazar direcciones sin número o con comuna incorrecta</w:t>
            </w:r>
          </w:p>
        </w:tc>
        <w:tc>
          <w:tcPr>
            <w:tcW w:type="dxa" w:w="154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  <w:tr>
        <w:trPr>
          <w:cantSplit/>
        </w:trPr>
        <w:tc>
          <w:tcPr>
            <w:tcW w:type="dxa" w:w="61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T27</w:t>
            </w:r>
          </w:p>
        </w:tc>
        <w:tc>
          <w:tcPr>
            <w:tcW w:type="dxa" w:w="1685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direccionDespacho</w:t>
            </w:r>
          </w:p>
        </w:tc>
        <w:tc>
          <w:tcPr>
            <w:tcW w:type="dxa" w:w="5083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Debe formatear la dirección del pedido y admitir pedidos antiguos</w:t>
            </w:r>
          </w:p>
        </w:tc>
        <w:tc>
          <w:tcPr>
            <w:tcW w:type="dxa" w:w="154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Normal / error</w:t>
            </w:r>
          </w:p>
        </w:tc>
        <w:tc>
          <w:tcPr>
            <w:tcW w:type="dxa" w:w="106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OK</w:t>
            </w:r>
          </w:p>
        </w:tc>
      </w:tr>
    </w:tbl>
    <w:p>
      <w:pPr>
        <w:spacing w:after="0"/>
      </w:pPr>
    </w:p>
    <w:p>
      <w:r>
        <w:rPr>
          <w:b w:val="0"/>
        </w:rPr>
        <w:t>Resultado de ejecución: TOTAL: 27 SUCCESS. Este resultado no significa que todas las líneas o alternativas estén cubiertas; se analiza por separado en las secciones 5 a 7.</w:t>
      </w:r>
    </w:p>
    <w:p>
      <w:pPr>
        <w:pStyle w:val="Heading1"/>
      </w:pPr>
      <w:r>
        <w:t>5. Resultados de cobertura</w:t>
      </w:r>
    </w:p>
    <w:p>
      <w:r>
        <w:rPr>
          <w:b w:val="0"/>
        </w:rPr>
        <w:t>La siguiente información se extrajo de las capturas reales de Karma y de coverage/index.html, tomadas el 12 de octubre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7"/>
        <w:gridCol w:w="1886"/>
        <w:gridCol w:w="1886"/>
        <w:gridCol w:w="1858"/>
        <w:gridCol w:w="1886"/>
      </w:tblGrid>
      <w:tr>
        <w:trPr>
          <w:tblHeader w:val="true"/>
          <w:cantSplit/>
        </w:trPr>
        <w:tc>
          <w:tcPr>
            <w:tcW w:type="dxa" w:w="2477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Archivo / grupo</w:t>
            </w:r>
          </w:p>
        </w:tc>
        <w:tc>
          <w:tcPr>
            <w:tcW w:type="dxa" w:w="1886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% Stmts</w:t>
            </w:r>
          </w:p>
        </w:tc>
        <w:tc>
          <w:tcPr>
            <w:tcW w:type="dxa" w:w="1886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% Branch</w:t>
            </w:r>
          </w:p>
        </w:tc>
        <w:tc>
          <w:tcPr>
            <w:tcW w:type="dxa" w:w="1858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% Funcs</w:t>
            </w:r>
          </w:p>
        </w:tc>
        <w:tc>
          <w:tcPr>
            <w:tcW w:type="dxa" w:w="1886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6"/>
              </w:rPr>
              <w:t>% Lines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TOTAL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86,80%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78,57%</w:t>
            </w:r>
          </w:p>
        </w:tc>
        <w:tc>
          <w:tcPr>
            <w:tcW w:type="dxa" w:w="1858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91,93%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86,77%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components/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96,29%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84,21%</w:t>
            </w:r>
          </w:p>
        </w:tc>
        <w:tc>
          <w:tcPr>
            <w:tcW w:type="dxa" w:w="1858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92,85%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96,15%</w:t>
            </w:r>
          </w:p>
        </w:tc>
      </w:tr>
      <w:tr>
        <w:trPr>
          <w:cantSplit/>
        </w:trPr>
        <w:tc>
          <w:tcPr>
            <w:tcW w:type="dxa" w:w="247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pages/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85,09%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76,23%</w:t>
            </w:r>
          </w:p>
        </w:tc>
        <w:tc>
          <w:tcPr>
            <w:tcW w:type="dxa" w:w="1858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90,24%</w:t>
            </w:r>
          </w:p>
        </w:tc>
        <w:tc>
          <w:tcPr>
            <w:tcW w:type="dxa" w:w="18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85,16%</w:t>
            </w:r>
          </w:p>
        </w:tc>
      </w:tr>
      <w:tr>
        <w:trPr>
          <w:cantSplit/>
        </w:trPr>
        <w:tc>
          <w:tcPr>
            <w:tcW w:type="dxa" w:w="247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utils/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87,09%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78,94%</w:t>
            </w:r>
          </w:p>
        </w:tc>
        <w:tc>
          <w:tcPr>
            <w:tcW w:type="dxa" w:w="1858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100%</w:t>
            </w:r>
          </w:p>
        </w:tc>
        <w:tc>
          <w:tcPr>
            <w:tcW w:type="dxa" w:w="18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6"/>
              </w:rPr>
              <w:t>86,88%</w:t>
            </w:r>
          </w:p>
        </w:tc>
      </w:tr>
    </w:tbl>
    <w:p>
      <w:pPr>
        <w:spacing w:after="0"/>
      </w:pPr>
    </w:p>
    <w:p>
      <w:r>
        <w:rPr>
          <w:b w:val="0"/>
        </w:rPr>
        <w:t>Conteos globales: 217/250 sentencias, 154/196 ramas, 57/62 funciones y 210/242 líneas.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296776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{31FD48FA-1BD9-4DE6-A184-A1F806960C9C}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6776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1. Ejecución de Karma: 27 de 27 pruebas correctas.</w:t>
      </w:r>
      <w:r>
        <w:rPr>
          <w:sz w:val="15"/>
        </w:rPr>
        <w:br/>
        <w:t>Captura original del terminal de PowerShell.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45936" cy="17195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7195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2. Resumen real de cobertura por carpeta.</w:t>
      </w:r>
      <w:r>
        <w:rPr>
          <w:sz w:val="15"/>
        </w:rPr>
        <w:br/>
        <w:t>Informe Istanbul abierto desde coverage/index.html.</w:t>
      </w:r>
    </w:p>
    <w:p>
      <w:pPr>
        <w:pStyle w:val="Heading2"/>
      </w:pPr>
      <w:r>
        <w:t>5.1. Desglose real por archivo</w:t>
      </w:r>
    </w:p>
    <w:p>
      <w:r>
        <w:rPr>
          <w:b w:val="0"/>
        </w:rPr>
        <w:t>Los valores siguientes corresponden a los archivos que aparecen en las capturas. No se asignaron porcentajes a archivos que no figuran en el HTML.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7"/>
        <w:gridCol w:w="1699"/>
        <w:gridCol w:w="1699"/>
        <w:gridCol w:w="1699"/>
        <w:gridCol w:w="1699"/>
      </w:tblGrid>
      <w:tr>
        <w:trPr>
          <w:tblHeader w:val="true"/>
          <w:cantSplit/>
        </w:trPr>
        <w:tc>
          <w:tcPr>
            <w:tcW w:type="dxa" w:w="3197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Archivo</w:t>
            </w:r>
          </w:p>
        </w:tc>
        <w:tc>
          <w:tcPr>
            <w:tcW w:type="dxa" w:w="169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% Stmts</w:t>
            </w:r>
          </w:p>
        </w:tc>
        <w:tc>
          <w:tcPr>
            <w:tcW w:type="dxa" w:w="169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% Branch</w:t>
            </w:r>
          </w:p>
        </w:tc>
        <w:tc>
          <w:tcPr>
            <w:tcW w:type="dxa" w:w="169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% Funcs</w:t>
            </w:r>
          </w:p>
        </w:tc>
        <w:tc>
          <w:tcPr>
            <w:tcW w:type="dxa" w:w="1699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% Lines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components/BarraSuperior.jsx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components/DireccionFormulario.jsx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components/Footer.jsx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components/ProductCard.jsx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83,33%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50%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50%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83,33%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components/ProductList.jsx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86,66%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pages/Contacto.jsx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93,10%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92,85%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pages/DetalleProducto.jsx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83,33%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pages/MisPedidos.jsx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72,72%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pages/PanelRepartidor.jsx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90,47%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58,82%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87,50%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95%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pages/Registro.jsx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72,22%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79,41%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71,69%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pages/ShoppingCart.jsx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86,11%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76,47%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78,57%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85,29%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utils/direccionDespacho.js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86,95%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89,28%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86,95%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utils/validaciones.js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90,47%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75%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90%</w:t>
            </w:r>
          </w:p>
        </w:tc>
      </w:tr>
      <w:tr>
        <w:trPr>
          <w:cantSplit/>
        </w:trPr>
        <w:tc>
          <w:tcPr>
            <w:tcW w:type="dxa" w:w="319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utils/validarContacto.js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82,35%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66,66%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82,35%</w:t>
            </w:r>
          </w:p>
        </w:tc>
      </w:tr>
      <w:tr>
        <w:trPr>
          <w:cantSplit/>
        </w:trPr>
        <w:tc>
          <w:tcPr>
            <w:tcW w:type="dxa" w:w="319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utils/zonasDespacho.js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  <w:tc>
          <w:tcPr>
            <w:tcW w:type="dxa" w:w="1699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100%</w:t>
            </w:r>
          </w:p>
        </w:tc>
      </w:tr>
    </w:tbl>
    <w:p>
      <w:pPr>
        <w:spacing w:after="0"/>
      </w:pP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45936" cy="1850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850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3. Cobertura de components/ por archivo.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45936" cy="19500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in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950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4. Cobertura de pages/ por archivo.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45936" cy="18839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45936" cy="188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5. Cobertura de utils/ por archivo.</w:t>
      </w:r>
    </w:p>
    <w:p>
      <w:pPr>
        <w:pStyle w:val="Heading1"/>
      </w:pPr>
      <w:r>
        <w:t>6. Interpretación de resultados</w:t>
      </w:r>
    </w:p>
    <w:p>
      <w:r>
        <w:rPr>
          <w:b w:val="0"/>
        </w:rPr>
        <w:t>• Líneas (86,77%): se ejecutaron 210 de las 242 líneas instrumentadas; faltan 32 líneas por cubrir.</w:t>
      </w:r>
    </w:p>
    <w:p>
      <w:r>
        <w:rPr>
          <w:b w:val="0"/>
        </w:rPr>
        <w:t>• Sentencias (86,80%): se ejecutaron 217 de 250 sentencias; quedan 33 pendientes.</w:t>
      </w:r>
    </w:p>
    <w:p>
      <w:r>
        <w:rPr>
          <w:b w:val="0"/>
        </w:rPr>
        <w:t>• Ramas (78,57%): es la métrica menor. Se recorrieron 154 de 196 decisiones posibles; quedan 42 alternativas por probar.</w:t>
      </w:r>
    </w:p>
    <w:p>
      <w:r>
        <w:rPr>
          <w:b w:val="0"/>
        </w:rPr>
        <w:t>• Funciones (91,93%): se ejecutaron 57 de 62 funciones instrumentadas; quedan 5 funciones pendientes.</w:t>
      </w:r>
    </w:p>
    <w:p>
      <w:r>
        <w:rPr>
          <w:b w:val="0"/>
        </w:rPr>
        <w:t>Al analizar archivos concretos, las mayores oportunidades aparecen en Registro.jsx (71,69% de líneas), ProductCard.jsx (50% de ramas) y PanelRepartidor.jsx (58,82% de ramas). Un porcentaje alto de cobertura no garantiza ausencia de errores, por lo que se debe complementar con escenarios manuales y de borde.</w:t>
      </w:r>
    </w:p>
    <w:p>
      <w:pPr>
        <w:pStyle w:val="Heading1"/>
      </w:pPr>
      <w:r>
        <w:t>7. Código no cubierto identificado</w:t>
      </w:r>
    </w:p>
    <w:p>
      <w:r>
        <w:rPr>
          <w:b w:val="0"/>
        </w:rPr>
        <w:t>El informe HTML señala decisiones parcialmente ejecutadas mediante resaltado amarillo; el rojo identifica instrucciones no ejecutadas cuando aparecen en pantalla. La captura adjunta de ProductCard.jsx muestra ramas condicionales parcialmente cubiertas, pero no permite atribuir todas las faltas a líneas específicas fuera del encuadre.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2880"/>
        <w:gridCol w:w="2491"/>
        <w:gridCol w:w="2837"/>
      </w:tblGrid>
      <w:tr>
        <w:trPr>
          <w:tblHeader w:val="true"/>
          <w:cantSplit/>
        </w:trPr>
        <w:tc>
          <w:tcPr>
            <w:tcW w:type="dxa" w:w="1786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Archivo</w:t>
            </w:r>
          </w:p>
        </w:tc>
        <w:tc>
          <w:tcPr>
            <w:tcW w:type="dxa" w:w="2880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Hallazgo comprobado</w:t>
            </w:r>
          </w:p>
        </w:tc>
        <w:tc>
          <w:tcPr>
            <w:tcW w:type="dxa" w:w="2491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Motivo probable / límite</w:t>
            </w:r>
          </w:p>
        </w:tc>
        <w:tc>
          <w:tcPr>
            <w:tcW w:type="dxa" w:w="2837"/>
            <w:shd w:fill="DFE7F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20"/>
            </w:pPr>
            <w:r>
              <w:rPr>
                <w:b/>
                <w:color w:val="22344C"/>
                <w:sz w:val="14"/>
              </w:rPr>
              <w:t>Acción propuesta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ProductCard.jsx</w:t>
            </w:r>
          </w:p>
        </w:tc>
        <w:tc>
          <w:tcPr>
            <w:tcW w:type="dxa" w:w="288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50% de ramas y 50% de funciones; condición de descuento y estilo condicional resaltados en amarillo.</w:t>
            </w:r>
          </w:p>
        </w:tc>
        <w:tc>
          <w:tcPr>
            <w:tcW w:type="dxa" w:w="249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No se ejecutaron todas las alternativas con y sin descuento y/o disponibilidad.</w:t>
            </w:r>
          </w:p>
        </w:tc>
        <w:tc>
          <w:tcPr>
            <w:tcW w:type="dxa" w:w="283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Agregar pruebas de tarjeta con descuento, sin descuento y stock agotado.</w:t>
            </w:r>
          </w:p>
        </w:tc>
      </w:tr>
      <w:tr>
        <w:trPr>
          <w:cantSplit/>
        </w:trPr>
        <w:tc>
          <w:tcPr>
            <w:tcW w:type="dxa" w:w="17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Registro.jsx</w:t>
            </w:r>
          </w:p>
        </w:tc>
        <w:tc>
          <w:tcPr>
            <w:tcW w:type="dxa" w:w="288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71,69% de líneas y 79,41% de ramas.</w:t>
            </w:r>
          </w:p>
        </w:tc>
        <w:tc>
          <w:tcPr>
            <w:tcW w:type="dxa" w:w="249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Faltan escenarios de validación; las capturas no identifican sus líneas exactas.</w:t>
            </w:r>
          </w:p>
        </w:tc>
        <w:tc>
          <w:tcPr>
            <w:tcW w:type="dxa" w:w="283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Agregar pruebas para límites de cada campo y combinaciones de datos inválidos.</w:t>
            </w:r>
          </w:p>
        </w:tc>
      </w:tr>
      <w:tr>
        <w:trPr>
          <w:cantSplit/>
        </w:trPr>
        <w:tc>
          <w:tcPr>
            <w:tcW w:type="dxa" w:w="1786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PanelRepartidor.jsx</w:t>
            </w:r>
          </w:p>
        </w:tc>
        <w:tc>
          <w:tcPr>
            <w:tcW w:type="dxa" w:w="2880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58,82% de ramas y 87,50% de funciones.</w:t>
            </w:r>
          </w:p>
        </w:tc>
        <w:tc>
          <w:tcPr>
            <w:tcW w:type="dxa" w:w="2491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Existen alternativas condicionales de reparto sin cubrir.</w:t>
            </w:r>
          </w:p>
        </w:tc>
        <w:tc>
          <w:tcPr>
            <w:tcW w:type="dxa" w:w="2837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Probar pedido no asignado, entrega completada y transiciones inválidas.</w:t>
            </w:r>
          </w:p>
        </w:tc>
      </w:tr>
      <w:tr>
        <w:trPr>
          <w:cantSplit/>
        </w:trPr>
        <w:tc>
          <w:tcPr>
            <w:tcW w:type="dxa" w:w="1786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validarContacto.js</w:t>
            </w:r>
          </w:p>
        </w:tc>
        <w:tc>
          <w:tcPr>
            <w:tcW w:type="dxa" w:w="2880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66,66% de ramas.</w:t>
            </w:r>
          </w:p>
        </w:tc>
        <w:tc>
          <w:tcPr>
            <w:tcW w:type="dxa" w:w="2491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Condiciones de validación no ejercitadas en su totalidad.</w:t>
            </w:r>
          </w:p>
        </w:tc>
        <w:tc>
          <w:tcPr>
            <w:tcW w:type="dxa" w:w="2837"/>
            <w:shd w:fill="F7F9FC"/>
            <w:vAlign w:val="center"/>
            <w:tcBorders>
              <w:top w:val="single" w:sz="4" w:color="BFC8D4"/>
              <w:left w:val="single" w:sz="4" w:color="BFC8D4"/>
              <w:bottom w:val="single" w:sz="4" w:color="BFC8D4"/>
              <w:right w:val="single" w:sz="4" w:color="BFC8D4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sz w:val="14"/>
              </w:rPr>
              <w:t>Incluir valores de borde adicionales de correo, nombre y comentario.</w:t>
            </w:r>
          </w:p>
        </w:tc>
      </w:tr>
    </w:tbl>
    <w:p>
      <w:pPr>
        <w:spacing w:after="0"/>
      </w:pP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29694" cy="3794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9694" cy="3794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/>
          <w:color w:val="4A5568"/>
          <w:sz w:val="16"/>
        </w:rPr>
        <w:t>Figura 6. ProductCard.jsx: condición marcada en amarillo y 50% de ramas cubiertas.</w:t>
      </w:r>
      <w:r>
        <w:rPr>
          <w:sz w:val="15"/>
        </w:rPr>
        <w:br/>
        <w:t>Evidencia del HTML real de Istanbul; la marca amarilla representa cobertura parcial.</w:t>
      </w:r>
    </w:p>
    <w:p>
      <w:pPr>
        <w:pStyle w:val="Heading1"/>
      </w:pPr>
      <w:r>
        <w:t>8. Mocks y dependencias externas</w:t>
      </w:r>
    </w:p>
    <w:p>
      <w:r>
        <w:rPr>
          <w:b w:val="0"/>
        </w:rPr>
        <w:t>• jasmine.createSpy() sustituye callbacks de eventos (agregar al carrito, modificar cantidades, registrar y finalizar compra) y permite verificar las llamadas recibidas.</w:t>
      </w:r>
    </w:p>
    <w:p>
      <w:r>
        <w:rPr>
          <w:b w:val="0"/>
        </w:rPr>
        <w:t>• MemoryRouter habilita comprobaciones de enlaces y rutas React en los componentes bajo prueba.</w:t>
      </w:r>
    </w:p>
    <w:p>
      <w:r>
        <w:rPr>
          <w:b w:val="0"/>
        </w:rPr>
        <w:t>• Se utilizan productos y pedidos de prueba locales; no se requiere un servicio externo ni una API real para la suite.</w:t>
      </w:r>
    </w:p>
    <w:p>
      <w:r>
        <w:rPr>
          <w:b w:val="0"/>
        </w:rPr>
        <w:t>• Los formularios de Contacto verifican la persistencia de consultas de prueba en localStorage y la limpieza de campos.</w:t>
      </w:r>
    </w:p>
    <w:p>
      <w:r>
        <w:rPr>
          <w:b w:val="0"/>
        </w:rPr>
        <w:t>• El navegador automatizado corresponde a Microsoft Edge en modo headless mediante CHROME_BIN.</w:t>
      </w:r>
    </w:p>
    <w:p>
      <w:pPr>
        <w:pStyle w:val="Heading1"/>
      </w:pPr>
      <w:r>
        <w:t>9. Conclusiones</w:t>
      </w:r>
    </w:p>
    <w:p>
      <w:r>
        <w:rPr>
          <w:b w:val="0"/>
        </w:rPr>
        <w:t>• Se ejecutaron 27 casos y todos finalizaron correctamente (27/27 SUCCESS).</w:t>
      </w:r>
    </w:p>
    <w:p>
      <w:r>
        <w:rPr>
          <w:b w:val="0"/>
        </w:rPr>
        <w:t>• La cobertura general alcanzó 86,77% de líneas, 86,80% de sentencias, 91,93% de funciones y 78,57% de ramas.</w:t>
      </w:r>
    </w:p>
    <w:p>
      <w:r>
        <w:rPr>
          <w:b w:val="0"/>
        </w:rPr>
        <w:t>• La principal oportunidad de mejora es probar rutas de decisión y errores, especialmente en ProductCard, Registro y PanelRepartidor.</w:t>
      </w:r>
    </w:p>
    <w:p>
      <w:r>
        <w:rPr>
          <w:b w:val="0"/>
        </w:rPr>
        <w:t>• El recorrido completo de compra, asignación y entrega fue validado manualmente en la aplicación React; se distingue expresamente de las pruebas Jasmine/Karma.</w:t>
      </w:r>
    </w:p>
    <w:p>
      <w:r>
        <w:rPr>
          <w:b w:val="0"/>
        </w:rPr>
        <w:t>• Se anexaron seis capturas reales de la ejecución de las pruebas y de Istanbul como evidencia de la cobertura global, por carpeta y por archivo.</w:t>
      </w:r>
    </w:p>
    <w:sectPr w:rsidR="00FC693F" w:rsidRPr="0006063C" w:rsidSect="00034616">
      <w:headerReference w:type="default" r:id="rId15"/>
      <w:footerReference w:type="default" r:id="rId16"/>
      <w:pgSz w:w="11909" w:h="16834"/>
      <w:pgMar w:top="907" w:right="893" w:bottom="835" w:left="893" w:header="475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7D90"/>
        <w:sz w:val="14"/>
      </w:rPr>
      <w:t>Documento de cobertura de testing · Evidencias reales · 12/10/2026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D90"/>
        <w:sz w:val="14"/>
      </w:rPr>
      <w:t>DSY1104 · Gas El Volcán · Evaluación Parcial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/>
      <w:color w:val="2631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224578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24578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224578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- Gas El Volcán (EP2)</dc:title>
  <dc:subject>27 pruebas Jasmine/Karma con capturas reales de evidencia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