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2" w:name="guide"/>
    <w:p>
      <w:pPr>
        <w:pStyle w:val="Heading2"/>
      </w:pPr>
      <w:r>
        <w:t xml:space="preserve">Guide</w:t>
      </w:r>
    </w:p>
    <w:bookmarkEnd w:id="22"/>
    <w:bookmarkStart w:id="24" w:name="X537866226199a9b8983060c9ab822a40356e265"/>
    <w:p>
      <w:pPr>
        <w:pStyle w:val="Heading1"/>
      </w:pPr>
      <w:r>
        <w:t xml:space="preserve">Overview of Document Accessibility: Part 1</w:t>
      </w:r>
    </w:p>
    <w:p>
      <w:pPr>
        <w:pStyle w:val="FirstParagraph"/>
      </w:pPr>
      <w:r>
        <w:t xml:space="preserve">Over the span of about fifteen years, the Internet grew from a nerdy novelty, to the fundamental communication medium of our time.</w:t>
      </w:r>
    </w:p>
    <w:p>
      <w:pPr>
        <w:pStyle w:val="BodyText"/>
      </w:pPr>
      <w:r>
        <w:t xml:space="preserve">For people with disabilities, the web provides unprecedented opportunities to engage in—</w:t>
      </w:r>
    </w:p>
    <w:p>
      <w:pPr>
        <w:pStyle w:val="Compact"/>
        <w:numPr>
          <w:ilvl w:val="0"/>
          <w:numId w:val="1001"/>
        </w:numPr>
      </w:pPr>
      <w:r>
        <w:t xml:space="preserve">Education</w:t>
      </w:r>
    </w:p>
    <w:p>
      <w:pPr>
        <w:pStyle w:val="Compact"/>
        <w:numPr>
          <w:ilvl w:val="0"/>
          <w:numId w:val="1001"/>
        </w:numPr>
      </w:pPr>
      <w:r>
        <w:t xml:space="preserve">Commerce</w:t>
      </w:r>
    </w:p>
    <w:p>
      <w:pPr>
        <w:pStyle w:val="Compact"/>
        <w:numPr>
          <w:ilvl w:val="0"/>
          <w:numId w:val="1001"/>
        </w:numPr>
      </w:pPr>
      <w:r>
        <w:t xml:space="preserve">Communication</w:t>
      </w:r>
    </w:p>
    <w:p>
      <w:pPr>
        <w:pStyle w:val="Compact"/>
        <w:numPr>
          <w:ilvl w:val="0"/>
          <w:numId w:val="1001"/>
        </w:numPr>
      </w:pPr>
      <w:r>
        <w:t xml:space="preserve">Civil Society</w:t>
      </w:r>
    </w:p>
    <w:p>
      <w:pPr>
        <w:pStyle w:val="FirstParagraph"/>
      </w:pPr>
      <w:r>
        <w:t xml:space="preserve">—and more.</w:t>
      </w:r>
    </w:p>
    <w:p>
      <w:pPr>
        <w:pStyle w:val="BodyText"/>
      </w:pPr>
      <w:r>
        <w:t xml:space="preserve">Approximately 20% of people have a disability, and around 8.5% have a disability that impacts computer and internet use. In the US that's more than 25 million people (over the age of five)—and this number does not include most people with cognitive and learning disabilities, or color-blindness.</w:t>
      </w:r>
    </w:p>
    <w:p>
      <w:pPr>
        <w:pStyle w:val="BodyText"/>
      </w:pPr>
      <w:r>
        <w:t xml:space="preserve">Those of us who create digital materials have a responsibility to make them accessible to as many people as we reasonably can. This course will help you do so.</w:t>
      </w:r>
    </w:p>
    <w:p>
      <w:pPr>
        <w:pStyle w:val="BodyText"/>
      </w:pPr>
      <w:r>
        <w:t xml:space="preserve">A note on terminology: for the purposes of this video, I will refer to documents, presentations, and PDFs by a common term—“electronic documents".</w:t>
      </w:r>
    </w:p>
    <w:bookmarkStart w:id="23" w:name="objective"/>
    <w:p>
      <w:pPr>
        <w:pStyle w:val="Heading2"/>
      </w:pPr>
      <w:r>
        <w:t xml:space="preserve">Objective</w:t>
      </w:r>
    </w:p>
    <w:p>
      <w:pPr>
        <w:pStyle w:val="Compact"/>
        <w:numPr>
          <w:ilvl w:val="0"/>
          <w:numId w:val="1002"/>
        </w:numPr>
      </w:pPr>
      <w:r>
        <w:rPr>
          <w:b/>
          <w:bCs/>
        </w:rPr>
        <w:t xml:space="preserve">State</w:t>
      </w:r>
      <w:r>
        <w:t xml:space="preserve"> </w:t>
      </w:r>
      <w:r>
        <w:t xml:space="preserve">four types of disabilities that can impact the use of electronic documents.</w:t>
      </w:r>
    </w:p>
    <w:bookmarkEnd w:id="23"/>
    <w:bookmarkEnd w:id="24"/>
    <w:bookmarkStart w:id="44" w:name="types-of-disabilities"/>
    <w:p>
      <w:pPr>
        <w:pStyle w:val="Heading2"/>
      </w:pPr>
      <w:r>
        <w:t xml:space="preserve">Types of Disabilities</w:t>
      </w:r>
    </w:p>
    <w:p>
      <w:pPr>
        <w:pStyle w:val="FirstParagraph"/>
      </w:pPr>
      <w:r>
        <w:t xml:space="preserve">Unfortunately, electronic documents often create barriers for people with disabilities—barriers that can usually be avoided through proper consideration.</w:t>
      </w:r>
    </w:p>
    <w:p>
      <w:pPr>
        <w:pStyle w:val="BodyText"/>
      </w:pPr>
      <w:r>
        <w:t xml:space="preserve">People with disabilities that may be impacted by inaccessible electronic documents can generally be organized into these categories:</w:t>
      </w:r>
    </w:p>
    <w:p>
      <w:pPr>
        <w:pStyle w:val="Compact"/>
        <w:numPr>
          <w:ilvl w:val="0"/>
          <w:numId w:val="1003"/>
        </w:numPr>
      </w:pPr>
      <w:r>
        <w:t xml:space="preserve">Visual disabilities, including users with blindness, low vision, and color-blindness</w:t>
      </w:r>
    </w:p>
    <w:p>
      <w:pPr>
        <w:pStyle w:val="Compact"/>
        <w:numPr>
          <w:ilvl w:val="0"/>
          <w:numId w:val="1003"/>
        </w:numPr>
      </w:pPr>
      <w:r>
        <w:t xml:space="preserve">Auditory disabilities, including users that are Deaf or hard-of-hearing</w:t>
      </w:r>
    </w:p>
    <w:p>
      <w:pPr>
        <w:pStyle w:val="Compact"/>
        <w:numPr>
          <w:ilvl w:val="0"/>
          <w:numId w:val="1003"/>
        </w:numPr>
      </w:pPr>
      <w:r>
        <w:t xml:space="preserve">Motor disabilities that impact computer use</w:t>
      </w:r>
    </w:p>
    <w:p>
      <w:pPr>
        <w:pStyle w:val="Compact"/>
        <w:numPr>
          <w:ilvl w:val="0"/>
          <w:numId w:val="1003"/>
        </w:numPr>
      </w:pPr>
      <w:r>
        <w:t xml:space="preserve">Cognitive and learning disabilities</w:t>
      </w:r>
    </w:p>
    <w:p>
      <w:pPr>
        <w:pStyle w:val="FirstParagraph"/>
      </w:pPr>
      <w:r>
        <w:t xml:space="preserve">Some users with photosensitive epilepsy may react to blinking and strobing content. This is a serious occurrence, but it is very rare in electronic documents, so we will focus on more common issues presented to other disability types.</w:t>
      </w:r>
    </w:p>
    <w:bookmarkStart w:id="33" w:name="visual-disabilities"/>
    <w:p>
      <w:pPr>
        <w:pStyle w:val="Heading3"/>
      </w:pPr>
      <w:r>
        <w:t xml:space="preserve">Visual disabilities</w:t>
      </w:r>
    </w:p>
    <w:p>
      <w:pPr>
        <w:pStyle w:val="FirstParagraph"/>
      </w:pPr>
      <w:r>
        <w:t xml:space="preserve">Users who are blind typically use screen reading software—or a "screen reader"—to access electronic documents.</w:t>
      </w:r>
    </w:p>
    <w:p>
      <w:pPr>
        <w:pStyle w:val="Callout"/>
      </w:pPr>
      <w:r>
        <w:drawing>
          <wp:inline>
            <wp:extent cx="476250" cy="476250"/>
            <wp:effectExtent b="0" l="0" r="0" t="0"/>
            <wp:docPr descr="important information" title="" id="26" name="Picture"/>
            <a:graphic>
              <a:graphicData uri="http://schemas.openxmlformats.org/drawingml/2006/picture">
                <pic:pic>
                  <pic:nvPicPr>
                    <pic:cNvPr descr="1235478.png" id="27" name="Picture"/>
                    <pic:cNvPicPr>
                      <a:picLocks noChangeArrowheads="1" noChangeAspect="1"/>
                    </pic:cNvPicPr>
                  </pic:nvPicPr>
                  <pic:blipFill>
                    <a:blip r:embed="rId25"/>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It is important to remember that not all screen reader users are blind.</w:t>
      </w:r>
    </w:p>
    <w:p>
      <w:pPr>
        <w:pStyle w:val="BodyText"/>
      </w:pPr>
      <w:r>
        <w:t xml:space="preserve">In</w:t>
      </w:r>
      <w:r>
        <w:t xml:space="preserve"> </w:t>
      </w:r>
      <w:hyperlink r:id="rId28">
        <w:r>
          <w:rPr>
            <w:rStyle w:val="Hyperlink"/>
          </w:rPr>
          <w:t xml:space="preserve">WebAIM’s 2021 survey of screen reader users</w:t>
        </w:r>
      </w:hyperlink>
      <w:r>
        <w:t xml:space="preserve">, almost 1 in 5 respondents identified themselves as “Low Vision/Visually Impaired.” Some users with cognitive or learning disabilities also use screen reading software.</w:t>
      </w:r>
    </w:p>
    <w:p>
      <w:pPr>
        <w:pStyle w:val="BodyText"/>
      </w:pPr>
      <w:bookmarkStart w:id="32" w:name="X5e215d1ccf42115d0cce8fba2f708f3e1883a15"/>
      <w:r>
        <w:drawing>
          <wp:inline>
            <wp:extent cx="2733675" cy="1619250"/>
            <wp:effectExtent b="0" l="0" r="0" t="0"/>
            <wp:docPr descr="A screen reader user." title="" id="30" name="Picture"/>
            <a:graphic>
              <a:graphicData uri="http://schemas.openxmlformats.org/drawingml/2006/picture">
                <pic:pic>
                  <pic:nvPicPr>
                    <pic:cNvPr descr="1235912.jpeg" id="31" name="Picture"/>
                    <pic:cNvPicPr>
                      <a:picLocks noChangeArrowheads="1" noChangeAspect="1"/>
                    </pic:cNvPicPr>
                  </pic:nvPicPr>
                  <pic:blipFill>
                    <a:blip r:embed="rId29"/>
                    <a:stretch>
                      <a:fillRect/>
                    </a:stretch>
                  </pic:blipFill>
                  <pic:spPr bwMode="auto">
                    <a:xfrm>
                      <a:off x="0" y="0"/>
                      <a:ext cx="2733675" cy="1619250"/>
                    </a:xfrm>
                    <a:prstGeom prst="rect">
                      <a:avLst/>
                    </a:prstGeom>
                    <a:noFill/>
                    <a:ln w="9525">
                      <a:noFill/>
                      <a:headEnd/>
                      <a:tailEnd/>
                    </a:ln>
                  </pic:spPr>
                </pic:pic>
              </a:graphicData>
            </a:graphic>
          </wp:inline>
        </w:drawing>
      </w:r>
      <w:bookmarkEnd w:id="32"/>
      <w:r>
        <w:t xml:space="preserve">Screen readers present the text of a document, and alternative text provided for images that have content and/or a function. Screen readers also present defined document structure (e.g., headings), which is vital, since many screen reader users navigate documents using only the keyboard.</w:t>
      </w:r>
    </w:p>
    <w:p>
      <w:pPr>
        <w:pStyle w:val="BodyText"/>
      </w:pPr>
      <w:r>
        <w:t xml:space="preserve">Users with low vision may enlarge or otherwise adapt document content so that it is more legible to them. Many users with visual disabilities benefit from text with good contrast, and content that they can customize.</w:t>
      </w:r>
    </w:p>
    <w:p>
      <w:pPr>
        <w:pStyle w:val="BodyText"/>
      </w:pPr>
      <w:r>
        <w:t xml:space="preserve">Users with color-blindness may have difficulty differentiating certain color combinations. Using complementary color combinations, and ensuring that color alone is not relied upon to convey information, increases accessibility for these users.</w:t>
      </w:r>
    </w:p>
    <w:bookmarkEnd w:id="33"/>
    <w:bookmarkStart w:id="34" w:name="auditory-disabilities"/>
    <w:p>
      <w:pPr>
        <w:pStyle w:val="Heading3"/>
      </w:pPr>
      <w:r>
        <w:t xml:space="preserve">Auditory disabilities</w:t>
      </w:r>
    </w:p>
    <w:p>
      <w:pPr>
        <w:pStyle w:val="FirstParagraph"/>
      </w:pPr>
      <w:r>
        <w:t xml:space="preserve">Multimedia is sometimes embedded within documents, especially PowerPoint presentations. Captions and transcripts of audio or multimedia files provide accessible content for users who are deaf or hard-of-hearing.</w:t>
      </w:r>
    </w:p>
    <w:p>
      <w:pPr>
        <w:pStyle w:val="BodyText"/>
      </w:pPr>
      <w:r>
        <w:t xml:space="preserve">If multimedia presents important visual information, this information must be available to blind users in a different format, usually through what are called audio descriptions. An audio track with the narrator speaking the important visual information is synchronized with the video.</w:t>
      </w:r>
      <w:r>
        <w:t xml:space="preserve"> </w:t>
      </w:r>
    </w:p>
    <w:bookmarkEnd w:id="34"/>
    <w:bookmarkStart w:id="39" w:name="motor-disabilities"/>
    <w:p>
      <w:pPr>
        <w:pStyle w:val="Heading3"/>
      </w:pPr>
      <w:r>
        <w:t xml:space="preserve">Motor disabilities</w:t>
      </w:r>
    </w:p>
    <w:p>
      <w:pPr>
        <w:pStyle w:val="FirstParagraph"/>
      </w:pPr>
      <w:bookmarkStart w:id="38" w:name="Xbe2856a61cf468ac8165c572621175924d9f984"/>
      <w:r>
        <w:drawing>
          <wp:inline>
            <wp:extent cx="5486400" cy="1693230"/>
            <wp:effectExtent b="0" l="0" r="0" t="0"/>
            <wp:docPr descr="People demonstrating a mouth stick, eye-tracking device, and a sip and puff device." title="" id="36" name="Picture"/>
            <a:graphic>
              <a:graphicData uri="http://schemas.openxmlformats.org/drawingml/2006/picture">
                <pic:pic>
                  <pic:nvPicPr>
                    <pic:cNvPr descr="1235938.jpg" id="37" name="Picture"/>
                    <pic:cNvPicPr>
                      <a:picLocks noChangeArrowheads="1" noChangeAspect="1"/>
                    </pic:cNvPicPr>
                  </pic:nvPicPr>
                  <pic:blipFill>
                    <a:blip r:embed="rId35"/>
                    <a:stretch>
                      <a:fillRect/>
                    </a:stretch>
                  </pic:blipFill>
                  <pic:spPr bwMode="auto">
                    <a:xfrm>
                      <a:off x="0" y="0"/>
                      <a:ext cx="5486400" cy="1693230"/>
                    </a:xfrm>
                    <a:prstGeom prst="rect">
                      <a:avLst/>
                    </a:prstGeom>
                    <a:noFill/>
                    <a:ln w="9525">
                      <a:noFill/>
                      <a:headEnd/>
                      <a:tailEnd/>
                    </a:ln>
                  </pic:spPr>
                </pic:pic>
              </a:graphicData>
            </a:graphic>
          </wp:inline>
        </w:drawing>
      </w:r>
      <w:bookmarkEnd w:id="38"/>
      <w:r>
        <w:t xml:space="preserve">Since some users have difficulty using a mouse, it’s vital to provide structure that supports navigation by the keyboard alone. In addition, some users do not have the motor function required to use a traditional keyboard. They may use alternative methods of interacting with computers, such as a:</w:t>
      </w:r>
    </w:p>
    <w:p>
      <w:pPr>
        <w:pStyle w:val="Compact"/>
        <w:numPr>
          <w:ilvl w:val="0"/>
          <w:numId w:val="1004"/>
        </w:numPr>
      </w:pPr>
      <w:r>
        <w:t xml:space="preserve">Mouth stick</w:t>
      </w:r>
    </w:p>
    <w:p>
      <w:pPr>
        <w:pStyle w:val="Compact"/>
        <w:numPr>
          <w:ilvl w:val="0"/>
          <w:numId w:val="1004"/>
        </w:numPr>
      </w:pPr>
      <w:r>
        <w:t xml:space="preserve">Eye-tracking device</w:t>
      </w:r>
    </w:p>
    <w:p>
      <w:pPr>
        <w:pStyle w:val="Compact"/>
        <w:numPr>
          <w:ilvl w:val="0"/>
          <w:numId w:val="1004"/>
        </w:numPr>
      </w:pPr>
      <w:r>
        <w:t xml:space="preserve">Sip and puff device</w:t>
      </w:r>
    </w:p>
    <w:p>
      <w:pPr>
        <w:pStyle w:val="FirstParagraph"/>
      </w:pPr>
      <w:r>
        <w:t xml:space="preserve">Since these alternative methods use or emulate a keyboard, these users will have full access as long as an electronic document is keyboard accessible.</w:t>
      </w:r>
    </w:p>
    <w:bookmarkEnd w:id="39"/>
    <w:bookmarkStart w:id="43" w:name="cognitive-and-learning-disabilities"/>
    <w:p>
      <w:pPr>
        <w:pStyle w:val="Heading3"/>
      </w:pPr>
      <w:r>
        <w:t xml:space="preserve">Cognitive and learning disabilities</w:t>
      </w:r>
    </w:p>
    <w:p>
      <w:pPr>
        <w:pStyle w:val="Callout"/>
      </w:pPr>
      <w:r>
        <w:drawing>
          <wp:inline>
            <wp:extent cx="476250" cy="476250"/>
            <wp:effectExtent b="0" l="0" r="0" t="0"/>
            <wp:docPr descr="note" title="" id="41" name="Picture"/>
            <a:graphic>
              <a:graphicData uri="http://schemas.openxmlformats.org/drawingml/2006/picture">
                <pic:pic>
                  <pic:nvPicPr>
                    <pic:cNvPr descr="1235592.png" id="42" name="Picture"/>
                    <pic:cNvPicPr>
                      <a:picLocks noChangeArrowheads="1" noChangeAspect="1"/>
                    </pic:cNvPicPr>
                  </pic:nvPicPr>
                  <pic:blipFill>
                    <a:blip r:embed="rId40"/>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Users with cognitive and learning disabilities are the largest disability group of all.</w:t>
      </w:r>
    </w:p>
    <w:p>
      <w:pPr>
        <w:pStyle w:val="BodyText"/>
      </w:pPr>
      <w:r>
        <w:br/>
      </w:r>
      <w:r>
        <w:t xml:space="preserve">Examples of cognitive and learning disabilities are:</w:t>
      </w:r>
    </w:p>
    <w:p>
      <w:pPr>
        <w:pStyle w:val="Compact"/>
        <w:numPr>
          <w:ilvl w:val="0"/>
          <w:numId w:val="1005"/>
        </w:numPr>
      </w:pPr>
      <w:r>
        <w:t xml:space="preserve">Attention Deficit Hyperactivity Disorder (ADHD)</w:t>
      </w:r>
    </w:p>
    <w:p>
      <w:pPr>
        <w:pStyle w:val="Compact"/>
        <w:numPr>
          <w:ilvl w:val="0"/>
          <w:numId w:val="1005"/>
        </w:numPr>
      </w:pPr>
      <w:r>
        <w:t xml:space="preserve">Autism</w:t>
      </w:r>
    </w:p>
    <w:p>
      <w:pPr>
        <w:pStyle w:val="Compact"/>
        <w:numPr>
          <w:ilvl w:val="0"/>
          <w:numId w:val="1005"/>
        </w:numPr>
      </w:pPr>
      <w:r>
        <w:t xml:space="preserve">Dyslexia</w:t>
      </w:r>
    </w:p>
    <w:p>
      <w:pPr>
        <w:pStyle w:val="Compact"/>
        <w:numPr>
          <w:ilvl w:val="0"/>
          <w:numId w:val="1005"/>
        </w:numPr>
      </w:pPr>
      <w:r>
        <w:t xml:space="preserve">Dyscalculia</w:t>
      </w:r>
    </w:p>
    <w:p>
      <w:pPr>
        <w:pStyle w:val="FirstParagraph"/>
      </w:pPr>
      <w:r>
        <w:t xml:space="preserve">Current research suggests that up to 20% of the US population may be in this group. Because of the wide spectrum of challenges associated with this group, some of the accessibility issues that impact these users may be difficult to identify and address.</w:t>
      </w:r>
    </w:p>
    <w:p>
      <w:pPr>
        <w:pStyle w:val="BodyText"/>
      </w:pPr>
      <w:r>
        <w:t xml:space="preserve">Designing content that is well-structured and understandable benefits all users—especially those with cognitive or learning disabilities.</w:t>
      </w:r>
    </w:p>
    <w:p>
      <w:pPr>
        <w:pStyle w:val="BodyText"/>
      </w:pPr>
      <w:r>
        <w:t xml:space="preserve">To achieve an inclusive design for your electronic documents, the needs of people in all of these categories must be taken into account. To learn more about the experiences of users with various disabilities, you may want to review some of the articles and videos provided in the  "Resource Links" for this section before continuing on to Part 2.</w:t>
      </w:r>
    </w:p>
    <w:bookmarkEnd w:id="43"/>
    <w:bookmarkEnd w:id="44"/>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25" Type="http://schemas.openxmlformats.org/officeDocument/2006/relationships/image" Target="media/rId25.png"/><Relationship Id="rId40" Type="http://schemas.openxmlformats.org/officeDocument/2006/relationships/image" Target="media/rId40.png"/><Relationship Id="rId29" Type="http://schemas.openxmlformats.org/officeDocument/2006/relationships/image" Target="media/rId29.jpg"/><Relationship Id="rId35" Type="http://schemas.openxmlformats.org/officeDocument/2006/relationships/image" Target="media/rId35.jpg"/><Relationship Id="rId28" Type="http://schemas.openxmlformats.org/officeDocument/2006/relationships/hyperlink" Target="https://webaim.org/projects/screenreadersurvey9/" TargetMode="External"/><Relationship Id="rId1" Type="http://schemas.openxmlformats.org/officeDocument/2006/relationships/hyperlink" Target="https://usucourses.instructure.com/courses/2879/pages/overview-of-document-accessibility-part-1"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webaim.org/projects/screenreadersurvey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2025-12-15T20:04:22Z</dcterms:created>
  <dcterms:modified xsi:type="dcterms:W3CDTF">2025-12-15T20:04:22Z</dcterms:modified>
</cp:coreProperties>
</file>

<file path=docProps/custom.xml><?xml version="1.0" encoding="utf-8"?>
<Properties xmlns="http://schemas.openxmlformats.org/officeDocument/2006/custom-properties" xmlns:vt="http://schemas.openxmlformats.org/officeDocument/2006/docPropsVTypes"/>
</file>