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four types of disabilities that can impact the use of electronic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meaning of POUR.</w:t>
      </w:r>
    </w:p>
    <w:bookmarkEnd w:id="21"/>
    <w:bookmarkStart w:id="24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Overview of Doc Accessibility: Part 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(6:02) | Guide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Overview of Doc Accessibility: Part 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(4:47) | Guide</w:t>
        </w:r>
      </w:hyperlink>
    </w:p>
    <w:bookmarkEnd w:id="24"/>
    <w:bookmarkStart w:id="41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Disabilities by Type</w:t>
      </w:r>
    </w:p>
    <w:p>
      <w:pPr>
        <w:pStyle w:val="Compact"/>
        <w:numPr>
          <w:ilvl w:val="1"/>
          <w:numId w:val="1004"/>
        </w:numPr>
      </w:pPr>
      <w:r>
        <w:t xml:space="preserve">Auditory</w:t>
      </w:r>
    </w:p>
    <w:p>
      <w:pPr>
        <w:pStyle w:val="Compact"/>
        <w:numPr>
          <w:ilvl w:val="2"/>
          <w:numId w:val="1005"/>
        </w:numPr>
      </w:pPr>
      <w:r>
        <w:t xml:space="preserve">Deafness</w:t>
      </w:r>
    </w:p>
    <w:p>
      <w:pPr>
        <w:pStyle w:val="Compact"/>
        <w:numPr>
          <w:ilvl w:val="3"/>
          <w:numId w:val="1006"/>
        </w:numPr>
      </w:pPr>
      <w:hyperlink r:id="rId25">
        <w:r>
          <w:rPr>
            <w:rStyle w:val="Hyperlink"/>
          </w:rPr>
          <w:t xml:space="preserve">National Association of the Deaf (NAD)</w:t>
        </w:r>
      </w:hyperlink>
    </w:p>
    <w:p>
      <w:pPr>
        <w:pStyle w:val="Compact"/>
        <w:numPr>
          <w:ilvl w:val="3"/>
          <w:numId w:val="1006"/>
        </w:numPr>
      </w:pPr>
      <w:hyperlink r:id="rId26">
        <w:r>
          <w:rPr>
            <w:rStyle w:val="Hyperlink"/>
          </w:rPr>
          <w:t xml:space="preserve">World Health Organization (WHO) statistics</w:t>
        </w:r>
      </w:hyperlink>
    </w:p>
    <w:p>
      <w:pPr>
        <w:pStyle w:val="Compact"/>
        <w:numPr>
          <w:ilvl w:val="1"/>
          <w:numId w:val="1004"/>
        </w:numPr>
      </w:pPr>
      <w:r>
        <w:t xml:space="preserve">Cognitive</w:t>
      </w:r>
    </w:p>
    <w:p>
      <w:pPr>
        <w:pStyle w:val="Compact"/>
        <w:numPr>
          <w:ilvl w:val="2"/>
          <w:numId w:val="1007"/>
        </w:numPr>
      </w:pPr>
      <w:hyperlink r:id="rId27">
        <w:r>
          <w:rPr>
            <w:rStyle w:val="Hyperlink"/>
          </w:rPr>
          <w:t xml:space="preserve">Cognitive Disabilities and the Web</w:t>
        </w:r>
      </w:hyperlink>
    </w:p>
    <w:p>
      <w:pPr>
        <w:pStyle w:val="Compact"/>
        <w:numPr>
          <w:ilvl w:val="1"/>
          <w:numId w:val="1004"/>
        </w:numPr>
      </w:pPr>
      <w:r>
        <w:t xml:space="preserve"> Learning</w:t>
      </w:r>
    </w:p>
    <w:p>
      <w:pPr>
        <w:pStyle w:val="Compact"/>
        <w:numPr>
          <w:ilvl w:val="2"/>
          <w:numId w:val="1008"/>
        </w:numPr>
      </w:pPr>
      <w:hyperlink r:id="rId28">
        <w:r>
          <w:rPr>
            <w:rStyle w:val="Hyperlink"/>
          </w:rPr>
          <w:t xml:space="preserve">Learning Disabilities Association of America</w:t>
        </w:r>
      </w:hyperlink>
    </w:p>
    <w:p>
      <w:pPr>
        <w:pStyle w:val="Compact"/>
        <w:numPr>
          <w:ilvl w:val="2"/>
          <w:numId w:val="1008"/>
        </w:numPr>
      </w:pPr>
      <w:hyperlink r:id="rId29">
        <w:r>
          <w:rPr>
            <w:rStyle w:val="Hyperlink"/>
          </w:rPr>
          <w:t xml:space="preserve">Types of Learning Disabilities</w:t>
        </w:r>
      </w:hyperlink>
    </w:p>
    <w:p>
      <w:pPr>
        <w:pStyle w:val="Compact"/>
        <w:numPr>
          <w:ilvl w:val="1"/>
          <w:numId w:val="1004"/>
        </w:numPr>
      </w:pPr>
      <w:r>
        <w:t xml:space="preserve">Motor</w:t>
      </w:r>
    </w:p>
    <w:p>
      <w:pPr>
        <w:pStyle w:val="Compact"/>
        <w:numPr>
          <w:ilvl w:val="2"/>
          <w:numId w:val="1009"/>
        </w:numPr>
      </w:pPr>
      <w:hyperlink r:id="rId30">
        <w:r>
          <w:rPr>
            <w:rStyle w:val="Hyperlink"/>
          </w:rPr>
          <w:t xml:space="preserve">Assistive Technologies</w:t>
        </w:r>
      </w:hyperlink>
    </w:p>
    <w:p>
      <w:pPr>
        <w:pStyle w:val="Compact"/>
        <w:numPr>
          <w:ilvl w:val="2"/>
          <w:numId w:val="1009"/>
        </w:numPr>
      </w:pPr>
      <w:hyperlink r:id="rId31">
        <w:r>
          <w:rPr>
            <w:rStyle w:val="Hyperlink"/>
          </w:rPr>
          <w:t xml:space="preserve">Types of Motor Disabilities</w:t>
        </w:r>
      </w:hyperlink>
    </w:p>
    <w:p>
      <w:pPr>
        <w:pStyle w:val="Compact"/>
        <w:numPr>
          <w:ilvl w:val="1"/>
          <w:numId w:val="1004"/>
        </w:numPr>
      </w:pPr>
      <w:r>
        <w:t xml:space="preserve">Visual</w:t>
      </w:r>
    </w:p>
    <w:p>
      <w:pPr>
        <w:pStyle w:val="Compact"/>
        <w:numPr>
          <w:ilvl w:val="2"/>
          <w:numId w:val="1010"/>
        </w:numPr>
      </w:pPr>
      <w:r>
        <w:t xml:space="preserve">Blindness</w:t>
      </w:r>
    </w:p>
    <w:p>
      <w:pPr>
        <w:pStyle w:val="Compact"/>
        <w:numPr>
          <w:ilvl w:val="3"/>
          <w:numId w:val="1011"/>
        </w:numPr>
      </w:pPr>
      <w:hyperlink r:id="rId32">
        <w:r>
          <w:rPr>
            <w:rStyle w:val="Hyperlink"/>
          </w:rPr>
          <w:t xml:space="preserve">American Council of the Blind</w:t>
        </w:r>
      </w:hyperlink>
    </w:p>
    <w:p>
      <w:pPr>
        <w:pStyle w:val="Compact"/>
        <w:numPr>
          <w:ilvl w:val="3"/>
          <w:numId w:val="1011"/>
        </w:numPr>
      </w:pPr>
      <w:hyperlink r:id="rId33">
        <w:r>
          <w:rPr>
            <w:rStyle w:val="Hyperlink"/>
          </w:rPr>
          <w:t xml:space="preserve">American Foundation for the Blind</w:t>
        </w:r>
      </w:hyperlink>
    </w:p>
    <w:p>
      <w:pPr>
        <w:pStyle w:val="Compact"/>
        <w:numPr>
          <w:ilvl w:val="3"/>
          <w:numId w:val="1011"/>
        </w:numPr>
      </w:pPr>
      <w:hyperlink r:id="rId34">
        <w:r>
          <w:rPr>
            <w:rStyle w:val="Hyperlink"/>
          </w:rPr>
          <w:t xml:space="preserve">National Eye Institute (NEI)</w:t>
        </w:r>
      </w:hyperlink>
    </w:p>
    <w:p>
      <w:pPr>
        <w:pStyle w:val="Compact"/>
        <w:numPr>
          <w:ilvl w:val="3"/>
          <w:numId w:val="1011"/>
        </w:numPr>
      </w:pPr>
      <w:hyperlink r:id="rId35">
        <w:r>
          <w:rPr>
            <w:rStyle w:val="Hyperlink"/>
          </w:rPr>
          <w:t xml:space="preserve">National Federation of the Blind</w:t>
        </w:r>
      </w:hyperlink>
    </w:p>
    <w:p>
      <w:pPr>
        <w:pStyle w:val="Compact"/>
        <w:numPr>
          <w:ilvl w:val="2"/>
          <w:numId w:val="1010"/>
        </w:numPr>
      </w:pPr>
      <w:hyperlink r:id="rId36">
        <w:r>
          <w:rPr>
            <w:rStyle w:val="Hyperlink"/>
          </w:rPr>
          <w:t xml:space="preserve">Color Vision Deficiency (Color Blindness)</w:t>
        </w:r>
      </w:hyperlink>
    </w:p>
    <w:p>
      <w:pPr>
        <w:pStyle w:val="Compact"/>
        <w:numPr>
          <w:ilvl w:val="2"/>
          <w:numId w:val="1010"/>
        </w:numPr>
      </w:pPr>
      <w:hyperlink r:id="rId37">
        <w:r>
          <w:rPr>
            <w:rStyle w:val="Hyperlink"/>
          </w:rPr>
          <w:t xml:space="preserve">Low Vision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Accessibility Initiative (WAI)</w:t>
      </w:r>
    </w:p>
    <w:p>
      <w:pPr>
        <w:pStyle w:val="Compact"/>
        <w:numPr>
          <w:ilvl w:val="1"/>
          <w:numId w:val="1012"/>
        </w:numPr>
      </w:pPr>
      <w:hyperlink r:id="rId38">
        <w:r>
          <w:rPr>
            <w:rStyle w:val="Hyperlink"/>
          </w:rPr>
          <w:t xml:space="preserve">Diversity in Web Use</w:t>
        </w:r>
      </w:hyperlink>
    </w:p>
    <w:p>
      <w:pPr>
        <w:pStyle w:val="Compact"/>
        <w:numPr>
          <w:ilvl w:val="1"/>
          <w:numId w:val="1012"/>
        </w:numPr>
      </w:pPr>
      <w:hyperlink r:id="rId39">
        <w:r>
          <w:rPr>
            <w:rStyle w:val="Hyperlink"/>
          </w:rPr>
          <w:t xml:space="preserve">Diversity of Web Users</w:t>
        </w:r>
      </w:hyperlink>
    </w:p>
    <w:p>
      <w:pPr>
        <w:pStyle w:val="Compact"/>
        <w:numPr>
          <w:ilvl w:val="1"/>
          <w:numId w:val="1012"/>
        </w:numPr>
      </w:pPr>
      <w:hyperlink r:id="rId40">
        <w:r>
          <w:rPr>
            <w:rStyle w:val="Hyperlink"/>
          </w:rPr>
          <w:t xml:space="preserve">Stories of Web Users</w:t>
        </w:r>
      </w:hyperlink>
    </w:p>
    <w:bookmarkEnd w:id="41"/>
    <w:bookmarkStart w:id="42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13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1 Objectives</w:t>
      </w:r>
      <w:r>
        <w:t xml:space="preserve"> </w:t>
      </w:r>
      <w:r>
        <w:t xml:space="preserve"> </w:t>
      </w:r>
      <w:r>
        <w:t xml:space="preserve">before starting the Quiz.</w:t>
      </w:r>
    </w:p>
    <w:p>
      <w:pPr>
        <w:pStyle w:val="Compact"/>
        <w:numPr>
          <w:ilvl w:val="0"/>
          <w:numId w:val="1013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 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13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thirty-six (36) minutes</w:t>
      </w:r>
      <w:r>
        <w:t xml:space="preserve"> </w:t>
      </w:r>
      <w:r>
        <w:t xml:space="preserve">to complete</w:t>
      </w:r>
      <w:r>
        <w:t xml:space="preserve"> </w:t>
      </w:r>
      <w:r>
        <w:rPr>
          <w:b/>
          <w:bCs/>
        </w:rPr>
        <w:t xml:space="preserve">six (6)</w:t>
      </w:r>
      <w:r>
        <w:t xml:space="preserve"> </w:t>
      </w:r>
      <w:r>
        <w:t xml:space="preserve">multiple-choice qu</w:t>
      </w:r>
      <w:r>
        <w:t xml:space="preserve">estions in the</w:t>
      </w:r>
      <w:r>
        <w:t xml:space="preserve"> </w:t>
      </w:r>
      <w:r>
        <w:rPr>
          <w:b/>
          <w:bCs/>
        </w:rPr>
        <w:t xml:space="preserve">timed</w:t>
      </w:r>
      <w:r>
        <w:t xml:space="preserve"> 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13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 </w:t>
      </w:r>
      <w:r>
        <w:t xml:space="preserve"> </w:t>
      </w:r>
      <w:r>
        <w:t xml:space="preserve">to retake this Quiz.</w:t>
      </w:r>
    </w:p>
    <w:bookmarkEnd w:id="42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32" Type="http://schemas.openxmlformats.org/officeDocument/2006/relationships/hyperlink" Target="http://acb.org/" TargetMode="External"/><Relationship Id="rId27" Type="http://schemas.openxmlformats.org/officeDocument/2006/relationships/hyperlink" Target="http://ncdae.org/resources/articles/cognitive/" TargetMode="External"/><Relationship Id="rId26" Type="http://schemas.openxmlformats.org/officeDocument/2006/relationships/hyperlink" Target="http://www.who.int/mediacentre/factsheets/fs300/en/" TargetMode="External"/><Relationship Id="rId28" Type="http://schemas.openxmlformats.org/officeDocument/2006/relationships/hyperlink" Target="https://ldaamerica.org/resources/" TargetMode="External"/><Relationship Id="rId29" Type="http://schemas.openxmlformats.org/officeDocument/2006/relationships/hyperlink" Target="https://ldaamerica.org/types-of-learning-disabilities/" TargetMode="External"/><Relationship Id="rId35" Type="http://schemas.openxmlformats.org/officeDocument/2006/relationships/hyperlink" Target="https://nfb.org/resources" TargetMode="External"/><Relationship Id="rId22" Type="http://schemas.openxmlformats.org/officeDocument/2006/relationships/hyperlink" Target="https://usucourses.instructure.com/courses/2879/pages/overview-of-document-accessibility-part-1" TargetMode="External"/><Relationship Id="rId23" Type="http://schemas.openxmlformats.org/officeDocument/2006/relationships/hyperlink" Target="https://usucourses.instructure.com/courses/2879/pages/overview-of-document-accessibility-part-2" TargetMode="External"/><Relationship Id="rId30" Type="http://schemas.openxmlformats.org/officeDocument/2006/relationships/hyperlink" Target="https://webaim.org/articles/motor/assistive" TargetMode="External"/><Relationship Id="rId31" Type="http://schemas.openxmlformats.org/officeDocument/2006/relationships/hyperlink" Target="https://webaim.org/articles/motor/motordisabilities" TargetMode="External"/><Relationship Id="rId37" Type="http://schemas.openxmlformats.org/officeDocument/2006/relationships/hyperlink" Target="https://www.aao.org/eye-health/diseases/low-vision" TargetMode="External"/><Relationship Id="rId36" Type="http://schemas.openxmlformats.org/officeDocument/2006/relationships/hyperlink" Target="https://www.aao.org/eye-health/diseases/what-is-color-blindness" TargetMode="External"/><Relationship Id="rId33" Type="http://schemas.openxmlformats.org/officeDocument/2006/relationships/hyperlink" Target="https://www.afb.org/" TargetMode="External"/><Relationship Id="rId25" Type="http://schemas.openxmlformats.org/officeDocument/2006/relationships/hyperlink" Target="https://www.nad.org/resources/" TargetMode="External"/><Relationship Id="rId34" Type="http://schemas.openxmlformats.org/officeDocument/2006/relationships/hyperlink" Target="https://www.nei.nih.gov/" TargetMode="External"/><Relationship Id="rId38" Type="http://schemas.openxmlformats.org/officeDocument/2006/relationships/hyperlink" Target="https://www.w3.org/WAI/intro/people-use-web/browsing" TargetMode="External"/><Relationship Id="rId39" Type="http://schemas.openxmlformats.org/officeDocument/2006/relationships/hyperlink" Target="https://www.w3.org/WAI/intro/people-use-web/diversity" TargetMode="External"/><Relationship Id="rId40" Type="http://schemas.openxmlformats.org/officeDocument/2006/relationships/hyperlink" Target="https://www.w3.org/WAI/intro/people-use-web/stories" TargetMode="External"/><Relationship Id="rId1" Type="http://schemas.openxmlformats.org/officeDocument/2006/relationships/hyperlink" Target="https://usucourses.instructure.com/courses/2879/pages/section-1-overview-of-document-accessibilit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://acb.org/" TargetMode="External"/><Relationship Id="rId27" Type="http://schemas.openxmlformats.org/officeDocument/2006/relationships/hyperlink" Target="http://ncdae.org/resources/articles/cognitive/" TargetMode="External"/><Relationship Id="rId26" Type="http://schemas.openxmlformats.org/officeDocument/2006/relationships/hyperlink" Target="http://www.who.int/mediacentre/factsheets/fs300/en/" TargetMode="External"/><Relationship Id="rId28" Type="http://schemas.openxmlformats.org/officeDocument/2006/relationships/hyperlink" Target="https://ldaamerica.org/resources/" TargetMode="External"/><Relationship Id="rId29" Type="http://schemas.openxmlformats.org/officeDocument/2006/relationships/hyperlink" Target="https://ldaamerica.org/types-of-learning-disabilities/" TargetMode="External"/><Relationship Id="rId35" Type="http://schemas.openxmlformats.org/officeDocument/2006/relationships/hyperlink" Target="https://nfb.org/resources" TargetMode="External"/><Relationship Id="rId22" Type="http://schemas.openxmlformats.org/officeDocument/2006/relationships/hyperlink" Target="https://usucourses.instructure.com/courses/2879/pages/overview-of-document-accessibility-part-1" TargetMode="External"/><Relationship Id="rId23" Type="http://schemas.openxmlformats.org/officeDocument/2006/relationships/hyperlink" Target="https://usucourses.instructure.com/courses/2879/pages/overview-of-document-accessibility-part-2" TargetMode="External"/><Relationship Id="rId30" Type="http://schemas.openxmlformats.org/officeDocument/2006/relationships/hyperlink" Target="https://webaim.org/articles/motor/assistive" TargetMode="External"/><Relationship Id="rId31" Type="http://schemas.openxmlformats.org/officeDocument/2006/relationships/hyperlink" Target="https://webaim.org/articles/motor/motordisabilities" TargetMode="External"/><Relationship Id="rId37" Type="http://schemas.openxmlformats.org/officeDocument/2006/relationships/hyperlink" Target="https://www.aao.org/eye-health/diseases/low-vision" TargetMode="External"/><Relationship Id="rId36" Type="http://schemas.openxmlformats.org/officeDocument/2006/relationships/hyperlink" Target="https://www.aao.org/eye-health/diseases/what-is-color-blindness" TargetMode="External"/><Relationship Id="rId33" Type="http://schemas.openxmlformats.org/officeDocument/2006/relationships/hyperlink" Target="https://www.afb.org/" TargetMode="External"/><Relationship Id="rId25" Type="http://schemas.openxmlformats.org/officeDocument/2006/relationships/hyperlink" Target="https://www.nad.org/resources/" TargetMode="External"/><Relationship Id="rId34" Type="http://schemas.openxmlformats.org/officeDocument/2006/relationships/hyperlink" Target="https://www.nei.nih.gov/" TargetMode="External"/><Relationship Id="rId38" Type="http://schemas.openxmlformats.org/officeDocument/2006/relationships/hyperlink" Target="https://www.w3.org/WAI/intro/people-use-web/browsing" TargetMode="External"/><Relationship Id="rId39" Type="http://schemas.openxmlformats.org/officeDocument/2006/relationships/hyperlink" Target="https://www.w3.org/WAI/intro/people-use-web/diversity" TargetMode="External"/><Relationship Id="rId40" Type="http://schemas.openxmlformats.org/officeDocument/2006/relationships/hyperlink" Target="https://www.w3.org/WAI/intro/people-use-web/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2025-12-15T20:04:24Z</dcterms:created>
  <dcterms:modified xsi:type="dcterms:W3CDTF">2025-12-15T20:04:24Z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