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1" w:name="video"/>
    <w:p>
      <w:pPr>
        <w:jc w:val="left"/>
      </w:pPr>
      <w:hyperlink r:id="rId1">
        <w:r>
          <w:rPr>
            <w:color w:val="0000FF"/>
            <w:u w:val="single"/>
          </w:rPr>
          <w:t xml:space="preserve">View original page on Canvas</w:t>
        </w:r>
      </w:hyperlink>
    </w:p>
    <w:p>
      <w:pPr>
        <w:pStyle w:val="Heading2"/>
      </w:pPr>
      <w:r>
        <w:t xml:space="preserve">Video</w:t>
      </w:r>
    </w:p>
    <w:bookmarkEnd w:id="21"/>
    <w:bookmarkStart w:id="23" w:name="example-file"/>
    <w:p>
      <w:pPr>
        <w:pStyle w:val="Heading2"/>
      </w:pPr>
      <w:r>
        <w:t xml:space="preserve">Example File</w:t>
      </w:r>
    </w:p>
    <w:p>
      <w:pPr>
        <w:pStyle w:val="Compact"/>
        <w:numPr>
          <w:ilvl w:val="0"/>
          <w:numId w:val="1001"/>
        </w:numPr>
      </w:pPr>
      <w:hyperlink r:id="rId22">
        <w:r>
          <w:rPr>
            <w:rStyle w:val="Hyperlink"/>
          </w:rPr>
          <w:t xml:space="preserve">Word Example (.docx)</w:t>
        </w:r>
      </w:hyperlink>
    </w:p>
    <w:bookmarkEnd w:id="23"/>
    <w:bookmarkStart w:id="24" w:name="guide"/>
    <w:p>
      <w:pPr>
        <w:pStyle w:val="Heading2"/>
      </w:pPr>
      <w:r>
        <w:t xml:space="preserve">Guide</w:t>
      </w:r>
    </w:p>
    <w:bookmarkEnd w:id="24"/>
    <w:bookmarkStart w:id="26" w:name="readability"/>
    <w:p>
      <w:pPr>
        <w:pStyle w:val="Heading1"/>
      </w:pPr>
      <w:r>
        <w:t xml:space="preserve">Readability</w:t>
      </w:r>
    </w:p>
    <w:p>
      <w:pPr>
        <w:pStyle w:val="FirstParagraph"/>
      </w:pPr>
      <w:r>
        <w:t xml:space="preserve">It is important to write content that is easy to read, and written at a reading level appropriate for your target audience. Word’s built-in</w:t>
      </w:r>
      <w:r>
        <w:t xml:space="preserve"> </w:t>
      </w:r>
      <w:r>
        <w:rPr>
          <w:i/>
          <w:iCs/>
        </w:rPr>
        <w:t xml:space="preserve">Readability Statistics</w:t>
      </w:r>
      <w:r>
        <w:t xml:space="preserve"> </w:t>
      </w:r>
      <w:r>
        <w:t xml:space="preserve">tool provides helpful information such as a document’s average number of sentences per paragraph, and the percentage of sentences written in the passive voice.</w:t>
      </w:r>
    </w:p>
    <w:p>
      <w:pPr>
        <w:pStyle w:val="BodyText"/>
      </w:pPr>
      <w:r>
        <w:t xml:space="preserve">The Web Content Accessibility Guidelines recommend writing for a “lower secondary education</w:t>
      </w:r>
      <w:r>
        <w:t xml:space="preserve"> </w:t>
      </w:r>
      <w:r>
        <w:t xml:space="preserve">level.” This is a WCAG Level AAA guideline. This strictest level of compliance is not applicable to all documents. For example, the content in an advanced college chemistry class would be beyond the reading level appropriate for the first years of high school.</w:t>
      </w:r>
    </w:p>
    <w:bookmarkStart w:id="25" w:name="objectives"/>
    <w:p>
      <w:pPr>
        <w:pStyle w:val="Heading2"/>
      </w:pPr>
      <w:r>
        <w:t xml:space="preserve">Objectives</w:t>
      </w:r>
    </w:p>
    <w:p>
      <w:pPr>
        <w:pStyle w:val="Compact"/>
        <w:numPr>
          <w:ilvl w:val="0"/>
          <w:numId w:val="1002"/>
        </w:numPr>
      </w:pPr>
      <w:r>
        <w:rPr>
          <w:b/>
          <w:bCs/>
        </w:rPr>
        <w:t xml:space="preserve">Identify</w:t>
      </w:r>
      <w:r>
        <w:t xml:space="preserve"> </w:t>
      </w:r>
      <w:r>
        <w:t xml:space="preserve">how to use the</w:t>
      </w:r>
      <w:r>
        <w:t xml:space="preserve"> </w:t>
      </w:r>
      <w:r>
        <w:rPr>
          <w:i/>
          <w:iCs/>
        </w:rPr>
        <w:t xml:space="preserve">Readability Statistics</w:t>
      </w:r>
      <w:r>
        <w:t xml:space="preserve"> </w:t>
      </w:r>
      <w:r>
        <w:t xml:space="preserve">tool.</w:t>
      </w:r>
    </w:p>
    <w:bookmarkEnd w:id="25"/>
    <w:bookmarkEnd w:id="26"/>
    <w:bookmarkStart w:id="45" w:name="measuring-readability"/>
    <w:p>
      <w:pPr>
        <w:pStyle w:val="Heading2"/>
      </w:pPr>
      <w:r>
        <w:t xml:space="preserve">Measuring Readability</w:t>
      </w:r>
    </w:p>
    <w:p>
      <w:pPr>
        <w:pStyle w:val="FirstParagraph"/>
      </w:pPr>
      <w:r>
        <w:t xml:space="preserve">The process for using this tool is very similar in the Windows and Mac versions of Word. I’ll start off by demonstrating the manual process for opening this tool on Mac. After that I will demonstrate the process on Windows, and provide you with numerical guidelines for five key statistics.</w:t>
      </w:r>
    </w:p>
    <w:bookmarkStart w:id="43" w:name="mac"/>
    <w:p>
      <w:pPr>
        <w:pStyle w:val="Heading3"/>
      </w:pPr>
      <w:r>
        <w:t xml:space="preserve">Mac</w:t>
      </w:r>
    </w:p>
    <w:p>
      <w:pPr>
        <w:pStyle w:val="FirstParagraph"/>
      </w:pPr>
      <w:r>
        <w:t xml:space="preserve">First, I’ll open the example file in Word on Mac.</w:t>
      </w:r>
    </w:p>
    <w:p>
      <w:pPr>
        <w:pStyle w:val="Instructions"/>
      </w:pPr>
      <w:r>
        <w:drawing>
          <wp:inline>
            <wp:extent cx="809625" cy="809625"/>
            <wp:effectExtent b="0" l="0" r="0" t="0"/>
            <wp:docPr descr="Mac instructions" title="" id="28" name="Picture"/>
            <a:graphic>
              <a:graphicData uri="http://schemas.openxmlformats.org/drawingml/2006/picture">
                <pic:pic>
                  <pic:nvPicPr>
                    <pic:cNvPr descr="1235472.png" id="29" name="Picture"/>
                    <pic:cNvPicPr>
                      <a:picLocks noChangeArrowheads="1" noChangeAspect="1"/>
                    </pic:cNvPicPr>
                  </pic:nvPicPr>
                  <pic:blipFill>
                    <a:blip r:embed="rId27"/>
                    <a:stretch>
                      <a:fillRect/>
                    </a:stretch>
                  </pic:blipFill>
                  <pic:spPr bwMode="auto">
                    <a:xfrm>
                      <a:off x="0" y="0"/>
                      <a:ext cx="809625" cy="809625"/>
                    </a:xfrm>
                    <a:prstGeom prst="rect">
                      <a:avLst/>
                    </a:prstGeom>
                    <a:noFill/>
                    <a:ln w="9525">
                      <a:noFill/>
                      <a:headEnd/>
                      <a:tailEnd/>
                    </a:ln>
                  </pic:spPr>
                </pic:pic>
              </a:graphicData>
            </a:graphic>
          </wp:inline>
        </w:drawing>
      </w:r>
    </w:p>
    <w:bookmarkStart w:id="42" w:name="X9a3099cb783fef126c80f1214284f8f8ea9c234"/>
    <w:p>
      <w:pPr>
        <w:pStyle w:val="Heading4"/>
      </w:pPr>
      <w:r>
        <w:t xml:space="preserve">To enable the "Readability Statistics” tool in Word for Mac:</w:t>
      </w:r>
    </w:p>
    <w:p>
      <w:pPr>
        <w:pStyle w:val="Compact"/>
        <w:numPr>
          <w:ilvl w:val="0"/>
          <w:numId w:val="1003"/>
        </w:numPr>
      </w:pPr>
      <w:r>
        <w:t xml:space="preserve"> </w:t>
      </w:r>
      <w:r>
        <w:t xml:space="preserve">On the Review tab on the Ribbon––</w:t>
      </w:r>
      <w:r>
        <w:br/>
      </w:r>
    </w:p>
    <w:p>
      <w:pPr>
        <w:pStyle w:val="Compact"/>
        <w:numPr>
          <w:ilvl w:val="0"/>
          <w:numId w:val="1003"/>
        </w:numPr>
      </w:pPr>
      <w:r>
        <w:t xml:space="preserve">click the Editor tool.</w:t>
      </w:r>
      <w:r>
        <w:br/>
      </w:r>
      <w:bookmarkStart w:id="33" w:name="Xebf8d9dc5a30572680af00c3f47f98dd4769603"/>
      <w:r>
        <w:drawing>
          <wp:inline>
            <wp:extent cx="4762500" cy="1190625"/>
            <wp:effectExtent b="0" l="0" r="0" t="0"/>
            <wp:docPr descr="Screenshot of the Review tab labeled &quot;1&quot; and the Editor tool selected, highlighted, and labeled &quot;2&quot;." title="" id="31" name="Picture"/>
            <a:graphic>
              <a:graphicData uri="http://schemas.openxmlformats.org/drawingml/2006/picture">
                <pic:pic>
                  <pic:nvPicPr>
                    <pic:cNvPr descr="1235657.png" id="32" name="Picture"/>
                    <pic:cNvPicPr>
                      <a:picLocks noChangeArrowheads="1" noChangeAspect="1"/>
                    </pic:cNvPicPr>
                  </pic:nvPicPr>
                  <pic:blipFill>
                    <a:blip r:embed="rId30"/>
                    <a:stretch>
                      <a:fillRect/>
                    </a:stretch>
                  </pic:blipFill>
                  <pic:spPr bwMode="auto">
                    <a:xfrm>
                      <a:off x="0" y="0"/>
                      <a:ext cx="4762500" cy="1190625"/>
                    </a:xfrm>
                    <a:prstGeom prst="rect">
                      <a:avLst/>
                    </a:prstGeom>
                    <a:noFill/>
                    <a:ln w="9525">
                      <a:noFill/>
                      <a:headEnd/>
                      <a:tailEnd/>
                    </a:ln>
                  </pic:spPr>
                </pic:pic>
              </a:graphicData>
            </a:graphic>
          </wp:inline>
        </w:drawing>
      </w:r>
      <w:bookmarkEnd w:id="33"/>
    </w:p>
    <w:p>
      <w:pPr>
        <w:pStyle w:val="Compact"/>
        <w:numPr>
          <w:ilvl w:val="0"/>
          <w:numId w:val="1003"/>
        </w:numPr>
      </w:pPr>
      <w:r>
        <w:t xml:space="preserve">On the Editor panel, in the Insights section click “Document stats.”</w:t>
      </w:r>
      <w:r>
        <w:br/>
      </w:r>
      <w:bookmarkStart w:id="37" w:name="X635e3dd010f30922b3147f348057463a2f87f53"/>
      <w:r>
        <w:drawing>
          <wp:inline>
            <wp:extent cx="3333750" cy="3238500"/>
            <wp:effectExtent b="0" l="0" r="0" t="0"/>
            <wp:docPr descr="Screenshot of &quot;Document stats&quot; selected, highlighted, and labeled &quot;4&quot; on the Editor panel." title="" id="35" name="Picture"/>
            <a:graphic>
              <a:graphicData uri="http://schemas.openxmlformats.org/drawingml/2006/picture">
                <pic:pic>
                  <pic:nvPicPr>
                    <pic:cNvPr descr="1235427.png" id="36" name="Picture"/>
                    <pic:cNvPicPr>
                      <a:picLocks noChangeArrowheads="1" noChangeAspect="1"/>
                    </pic:cNvPicPr>
                  </pic:nvPicPr>
                  <pic:blipFill>
                    <a:blip r:embed="rId34"/>
                    <a:stretch>
                      <a:fillRect/>
                    </a:stretch>
                  </pic:blipFill>
                  <pic:spPr bwMode="auto">
                    <a:xfrm>
                      <a:off x="0" y="0"/>
                      <a:ext cx="3333750" cy="3238500"/>
                    </a:xfrm>
                    <a:prstGeom prst="rect">
                      <a:avLst/>
                    </a:prstGeom>
                    <a:noFill/>
                    <a:ln w="9525">
                      <a:noFill/>
                      <a:headEnd/>
                      <a:tailEnd/>
                    </a:ln>
                  </pic:spPr>
                </pic:pic>
              </a:graphicData>
            </a:graphic>
          </wp:inline>
        </w:drawing>
      </w:r>
      <w:bookmarkEnd w:id="37"/>
    </w:p>
    <w:p>
      <w:pPr>
        <w:pStyle w:val="Compact"/>
        <w:numPr>
          <w:ilvl w:val="0"/>
          <w:numId w:val="1003"/>
        </w:numPr>
      </w:pPr>
      <w:r>
        <w:t xml:space="preserve">If a dialog box appears asking if you want to continue, click “OK.”</w:t>
      </w:r>
      <w:r>
        <w:t xml:space="preserve"> </w:t>
      </w:r>
      <w:r>
        <w:br/>
      </w:r>
      <w:bookmarkStart w:id="41" w:name="X3c929573d39f126362c7c1957c904d2394fb027"/>
      <w:r>
        <w:drawing>
          <wp:inline>
            <wp:extent cx="2667000" cy="2381250"/>
            <wp:effectExtent b="0" l="0" r="0" t="0"/>
            <wp:docPr descr="Screenshot of a dialog box with the OK button selected, highlighted, and labeled 4." title="" id="39" name="Picture"/>
            <a:graphic>
              <a:graphicData uri="http://schemas.openxmlformats.org/drawingml/2006/picture">
                <pic:pic>
                  <pic:nvPicPr>
                    <pic:cNvPr descr="1235552.png" id="40" name="Picture"/>
                    <pic:cNvPicPr>
                      <a:picLocks noChangeArrowheads="1" noChangeAspect="1"/>
                    </pic:cNvPicPr>
                  </pic:nvPicPr>
                  <pic:blipFill>
                    <a:blip r:embed="rId38"/>
                    <a:stretch>
                      <a:fillRect/>
                    </a:stretch>
                  </pic:blipFill>
                  <pic:spPr bwMode="auto">
                    <a:xfrm>
                      <a:off x="0" y="0"/>
                      <a:ext cx="2667000" cy="2381250"/>
                    </a:xfrm>
                    <a:prstGeom prst="rect">
                      <a:avLst/>
                    </a:prstGeom>
                    <a:noFill/>
                    <a:ln w="9525">
                      <a:noFill/>
                      <a:headEnd/>
                      <a:tailEnd/>
                    </a:ln>
                  </pic:spPr>
                </pic:pic>
              </a:graphicData>
            </a:graphic>
          </wp:inline>
        </w:drawing>
      </w:r>
      <w:bookmarkEnd w:id="41"/>
    </w:p>
    <w:bookmarkEnd w:id="42"/>
    <w:bookmarkEnd w:id="43"/>
    <w:bookmarkStart w:id="44" w:name="windows"/>
    <w:p>
      <w:pPr>
        <w:pStyle w:val="Heading3"/>
      </w:pPr>
      <w:r>
        <w:t xml:space="preserve">Windows</w:t>
      </w:r>
    </w:p>
    <w:p>
      <w:pPr>
        <w:pStyle w:val="FirstParagraph"/>
      </w:pPr>
      <w:r>
        <w:t xml:space="preserve">Now I’ll open the example file in Word on Windows, click the Review tab, and click the Editor tool. Because there are no corrections to address, the</w:t>
      </w:r>
      <w:r>
        <w:t xml:space="preserve"> </w:t>
      </w:r>
      <w:r>
        <w:rPr>
          <w:i/>
          <w:iCs/>
        </w:rPr>
        <w:t xml:space="preserve">Readability Statistics</w:t>
      </w:r>
      <w:r>
        <w:t xml:space="preserve"> </w:t>
      </w:r>
      <w:r>
        <w:t xml:space="preserve">dialog opens automatically.</w:t>
      </w:r>
    </w:p>
    <w:bookmarkEnd w:id="44"/>
    <w:bookmarkEnd w:id="45"/>
    <w:bookmarkStart w:id="64" w:name="readability-statistics"/>
    <w:p>
      <w:pPr>
        <w:pStyle w:val="Heading2"/>
      </w:pPr>
      <w:r>
        <w:t xml:space="preserve">Readability Statistics</w:t>
      </w:r>
    </w:p>
    <w:p>
      <w:pPr>
        <w:pStyle w:val="FirstParagraph"/>
      </w:pPr>
      <w:r>
        <w:t xml:space="preserve">The results in this dialog are organized into three sections: counts, averages, and readability.</w:t>
      </w:r>
    </w:p>
    <w:p>
      <w:pPr>
        <w:pStyle w:val="BodyText"/>
      </w:pPr>
      <w:r>
        <w:drawing>
          <wp:inline>
            <wp:extent cx="3333750" cy="3095625"/>
            <wp:effectExtent b="0" l="0" r="0" t="0"/>
            <wp:docPr descr="Screenshot of the Readability Statistics dialog." title="" id="47" name="Picture"/>
            <a:graphic>
              <a:graphicData uri="http://schemas.openxmlformats.org/drawingml/2006/picture">
                <pic:pic>
                  <pic:nvPicPr>
                    <pic:cNvPr descr="1235459.png" id="48" name="Picture"/>
                    <pic:cNvPicPr>
                      <a:picLocks noChangeArrowheads="1" noChangeAspect="1"/>
                    </pic:cNvPicPr>
                  </pic:nvPicPr>
                  <pic:blipFill>
                    <a:blip r:embed="rId46"/>
                    <a:stretch>
                      <a:fillRect/>
                    </a:stretch>
                  </pic:blipFill>
                  <pic:spPr bwMode="auto">
                    <a:xfrm>
                      <a:off x="0" y="0"/>
                      <a:ext cx="3333750" cy="3095625"/>
                    </a:xfrm>
                    <a:prstGeom prst="rect">
                      <a:avLst/>
                    </a:prstGeom>
                    <a:noFill/>
                    <a:ln w="9525">
                      <a:noFill/>
                      <a:headEnd/>
                      <a:tailEnd/>
                    </a:ln>
                  </pic:spPr>
                </pic:pic>
              </a:graphicData>
            </a:graphic>
          </wp:inline>
        </w:drawing>
      </w:r>
    </w:p>
    <w:bookmarkStart w:id="53" w:name="averages"/>
    <w:p>
      <w:pPr>
        <w:pStyle w:val="Heading3"/>
      </w:pPr>
      <w:r>
        <w:t xml:space="preserve">Averages</w:t>
      </w:r>
    </w:p>
    <w:p>
      <w:pPr>
        <w:pStyle w:val="FirstParagraph"/>
      </w:pPr>
      <w:r>
        <w:t xml:space="preserve">In the Averages section we recommend reviewing:</w:t>
      </w:r>
    </w:p>
    <w:p>
      <w:pPr>
        <w:pStyle w:val="Compact"/>
        <w:numPr>
          <w:ilvl w:val="0"/>
          <w:numId w:val="1004"/>
        </w:numPr>
      </w:pPr>
      <w:r>
        <w:t xml:space="preserve">Sentences per Paragraph</w:t>
      </w:r>
    </w:p>
    <w:p>
      <w:pPr>
        <w:pStyle w:val="Compact"/>
        <w:numPr>
          <w:ilvl w:val="0"/>
          <w:numId w:val="1004"/>
        </w:numPr>
      </w:pPr>
      <w:r>
        <w:t xml:space="preserve">Words per Sentence</w:t>
      </w:r>
    </w:p>
    <w:p>
      <w:pPr>
        <w:pStyle w:val="FirstParagraph"/>
      </w:pPr>
      <w:bookmarkStart w:id="52" w:name="X0db80e7bec0d61522cc2eff5020a6f1c4cad795"/>
      <w:r>
        <w:drawing>
          <wp:inline>
            <wp:extent cx="3333750" cy="3238500"/>
            <wp:effectExtent b="0" l="0" r="0" t="0"/>
            <wp:docPr descr="Screenshot of the Averages section highlighted." title="" id="50" name="Picture"/>
            <a:graphic>
              <a:graphicData uri="http://schemas.openxmlformats.org/drawingml/2006/picture">
                <pic:pic>
                  <pic:nvPicPr>
                    <pic:cNvPr descr="1235546.png" id="51" name="Picture"/>
                    <pic:cNvPicPr>
                      <a:picLocks noChangeArrowheads="1" noChangeAspect="1"/>
                    </pic:cNvPicPr>
                  </pic:nvPicPr>
                  <pic:blipFill>
                    <a:blip r:embed="rId49"/>
                    <a:stretch>
                      <a:fillRect/>
                    </a:stretch>
                  </pic:blipFill>
                  <pic:spPr bwMode="auto">
                    <a:xfrm>
                      <a:off x="0" y="0"/>
                      <a:ext cx="3333750" cy="3238500"/>
                    </a:xfrm>
                    <a:prstGeom prst="rect">
                      <a:avLst/>
                    </a:prstGeom>
                    <a:noFill/>
                    <a:ln w="9525">
                      <a:noFill/>
                      <a:headEnd/>
                      <a:tailEnd/>
                    </a:ln>
                  </pic:spPr>
                </pic:pic>
              </a:graphicData>
            </a:graphic>
          </wp:inline>
        </w:drawing>
      </w:r>
      <w:bookmarkEnd w:id="52"/>
    </w:p>
    <w:p>
      <w:pPr>
        <w:pStyle w:val="BodyText"/>
      </w:pPr>
      <w:r>
        <w:t xml:space="preserve">If you average more than 5 sentences per paragraph, review your longer paragraphs. Two methods to consider for shortening paragraphs are:</w:t>
      </w:r>
    </w:p>
    <w:p>
      <w:pPr>
        <w:pStyle w:val="Compact"/>
        <w:numPr>
          <w:ilvl w:val="0"/>
          <w:numId w:val="1005"/>
        </w:numPr>
      </w:pPr>
      <w:r>
        <w:t xml:space="preserve">Trimming sentences, phrases, or words</w:t>
      </w:r>
    </w:p>
    <w:p>
      <w:pPr>
        <w:pStyle w:val="Compact"/>
        <w:numPr>
          <w:ilvl w:val="0"/>
          <w:numId w:val="1005"/>
        </w:numPr>
      </w:pPr>
      <w:r>
        <w:t xml:space="preserve">Grouping related items into lists</w:t>
      </w:r>
    </w:p>
    <w:p>
      <w:pPr>
        <w:pStyle w:val="FirstParagraph"/>
      </w:pPr>
      <w:r>
        <w:t xml:space="preserve">If you average more than 20 words per sentence, review your more lengthy sentences.</w:t>
      </w:r>
      <w:r>
        <w:t xml:space="preserve"> </w:t>
      </w:r>
      <w:r>
        <w:t xml:space="preserve">One way to reduce sentence length is to reduce the number of clauses it has. For example, it may be possible to separate an independent clause and a dependent clause. By adding some text and restructuring, you should be able to form two new, shorter sentences.</w:t>
      </w:r>
      <w:r>
        <w:br/>
      </w:r>
    </w:p>
    <w:bookmarkEnd w:id="53"/>
    <w:bookmarkStart w:id="61" w:name="readability-1"/>
    <w:p>
      <w:pPr>
        <w:pStyle w:val="Heading3"/>
      </w:pPr>
      <w:r>
        <w:t xml:space="preserve">Readability</w:t>
      </w:r>
    </w:p>
    <w:p>
      <w:pPr>
        <w:pStyle w:val="FirstParagraph"/>
      </w:pPr>
      <w:r>
        <w:t xml:space="preserve">Word</w:t>
      </w:r>
      <w:r>
        <w:t xml:space="preserve"> </w:t>
      </w:r>
      <w:r>
        <w:t xml:space="preserve">provides three measures of readability:</w:t>
      </w:r>
    </w:p>
    <w:p>
      <w:pPr>
        <w:numPr>
          <w:ilvl w:val="0"/>
          <w:numId w:val="1006"/>
        </w:numPr>
      </w:pPr>
      <w:r>
        <w:t xml:space="preserve">Flesch Reading Ease</w:t>
      </w:r>
    </w:p>
    <w:p>
      <w:pPr>
        <w:numPr>
          <w:ilvl w:val="0"/>
          <w:numId w:val="1006"/>
        </w:numPr>
      </w:pPr>
      <w:r>
        <w:t xml:space="preserve">Flesch-Kincaid Grade Level</w:t>
      </w:r>
    </w:p>
    <w:p>
      <w:pPr>
        <w:numPr>
          <w:ilvl w:val="0"/>
          <w:numId w:val="1006"/>
        </w:numPr>
      </w:pPr>
      <w:r>
        <w:t xml:space="preserve">Passive Sentences</w:t>
      </w:r>
    </w:p>
    <w:p>
      <w:pPr>
        <w:pStyle w:val="FirstParagraph"/>
      </w:pPr>
      <w:bookmarkStart w:id="57" w:name="X8f2ea7ee5a6f9721bc80bd24d28d694eabe0d24"/>
      <w:r>
        <w:drawing>
          <wp:inline>
            <wp:extent cx="3333750" cy="3238500"/>
            <wp:effectExtent b="0" l="0" r="0" t="0"/>
            <wp:docPr descr="Screenshot of the Readability section highlighted." title="" id="55" name="Picture"/>
            <a:graphic>
              <a:graphicData uri="http://schemas.openxmlformats.org/drawingml/2006/picture">
                <pic:pic>
                  <pic:nvPicPr>
                    <pic:cNvPr descr="1235513.png" id="56" name="Picture"/>
                    <pic:cNvPicPr>
                      <a:picLocks noChangeArrowheads="1" noChangeAspect="1"/>
                    </pic:cNvPicPr>
                  </pic:nvPicPr>
                  <pic:blipFill>
                    <a:blip r:embed="rId54"/>
                    <a:stretch>
                      <a:fillRect/>
                    </a:stretch>
                  </pic:blipFill>
                  <pic:spPr bwMode="auto">
                    <a:xfrm>
                      <a:off x="0" y="0"/>
                      <a:ext cx="3333750" cy="3238500"/>
                    </a:xfrm>
                    <a:prstGeom prst="rect">
                      <a:avLst/>
                    </a:prstGeom>
                    <a:noFill/>
                    <a:ln w="9525">
                      <a:noFill/>
                      <a:headEnd/>
                      <a:tailEnd/>
                    </a:ln>
                  </pic:spPr>
                </pic:pic>
              </a:graphicData>
            </a:graphic>
          </wp:inline>
        </w:drawing>
      </w:r>
      <w:bookmarkEnd w:id="57"/>
    </w:p>
    <w:p>
      <w:pPr>
        <w:pStyle w:val="BodyText"/>
      </w:pPr>
      <w:r>
        <w:t xml:space="preserve">The first two readability tests measure:</w:t>
      </w:r>
    </w:p>
    <w:p>
      <w:pPr>
        <w:pStyle w:val="Compact"/>
        <w:numPr>
          <w:ilvl w:val="0"/>
          <w:numId w:val="1007"/>
        </w:numPr>
      </w:pPr>
      <w:r>
        <w:t xml:space="preserve">the number of words per sentence</w:t>
      </w:r>
    </w:p>
    <w:p>
      <w:pPr>
        <w:pStyle w:val="Compact"/>
        <w:numPr>
          <w:ilvl w:val="0"/>
          <w:numId w:val="1007"/>
        </w:numPr>
      </w:pPr>
      <w:r>
        <w:t xml:space="preserve">the number of syllables per word.</w:t>
      </w:r>
    </w:p>
    <w:bookmarkStart w:id="58" w:name="flesch-reading-ease"/>
    <w:p>
      <w:pPr>
        <w:pStyle w:val="Heading4"/>
      </w:pPr>
      <w:r>
        <w:t xml:space="preserve">Flesch Reading Ease</w:t>
      </w:r>
    </w:p>
    <w:p>
      <w:pPr>
        <w:pStyle w:val="FirstParagraph"/>
      </w:pPr>
      <w:r>
        <w:t xml:space="preserve">The Flesch Reading Ease score ranges from 0 to 100, with 100 being the easiest to read. Unless your content needs to be complex, we recommend reviewing your content if the score is under 50.</w:t>
      </w:r>
    </w:p>
    <w:bookmarkEnd w:id="58"/>
    <w:bookmarkStart w:id="59" w:name="flesch-kincaid-grade-level"/>
    <w:p>
      <w:pPr>
        <w:pStyle w:val="Heading4"/>
      </w:pPr>
      <w:r>
        <w:t xml:space="preserve">Flesch-Kincaid Grade Level</w:t>
      </w:r>
    </w:p>
    <w:p>
      <w:pPr>
        <w:pStyle w:val="FirstParagraph"/>
      </w:pPr>
      <w:r>
        <w:t xml:space="preserve">The Flesch-Kincaid Grade Level score is based on grade levels in U.S. schools. For most documents, we recommend reviewing your content if the score is over 8.</w:t>
      </w:r>
    </w:p>
    <w:bookmarkEnd w:id="59"/>
    <w:bookmarkStart w:id="60" w:name="passive-sentences"/>
    <w:p>
      <w:pPr>
        <w:pStyle w:val="Heading4"/>
      </w:pPr>
      <w:r>
        <w:t xml:space="preserve">Passive Sentences</w:t>
      </w:r>
    </w:p>
    <w:p>
      <w:pPr>
        <w:pStyle w:val="FirstParagraph"/>
      </w:pPr>
      <w:r>
        <w:t xml:space="preserve">Sentences written in a passive voice distance the action from the subject performing the action.  Use sentences written in an active voice directly link the subject with the action.</w:t>
      </w:r>
    </w:p>
    <w:p>
      <w:pPr>
        <w:pStyle w:val="BodyText"/>
      </w:pPr>
      <w:r>
        <w:t xml:space="preserve">For example, consider the following sentences:</w:t>
      </w:r>
    </w:p>
    <w:p>
      <w:pPr>
        <w:pStyle w:val="Compact"/>
        <w:numPr>
          <w:ilvl w:val="0"/>
          <w:numId w:val="1008"/>
        </w:numPr>
      </w:pPr>
      <w:r>
        <w:t xml:space="preserve">The document with optimized accessibility was created by Megan. (passive voice)</w:t>
      </w:r>
    </w:p>
    <w:p>
      <w:pPr>
        <w:pStyle w:val="Compact"/>
        <w:numPr>
          <w:ilvl w:val="0"/>
          <w:numId w:val="1008"/>
        </w:numPr>
      </w:pPr>
      <w:r>
        <w:t xml:space="preserve">Megan created a document with optimized accessibility. (active voice)</w:t>
      </w:r>
    </w:p>
    <w:p>
      <w:pPr>
        <w:pStyle w:val="FirstParagraph"/>
      </w:pPr>
      <w:r>
        <w:t xml:space="preserve">Consider increasing the use of the active voice in your content if your Passive Sentences score is over 20%</w:t>
      </w:r>
      <w:r>
        <w:t xml:space="preserve">.</w:t>
      </w:r>
    </w:p>
    <w:bookmarkEnd w:id="60"/>
    <w:bookmarkEnd w:id="61"/>
    <w:bookmarkStart w:id="63" w:name="hemingway-app"/>
    <w:p>
      <w:pPr>
        <w:pStyle w:val="Heading3"/>
      </w:pPr>
      <w:r>
        <w:t xml:space="preserve">Hemingway App</w:t>
      </w:r>
    </w:p>
    <w:p>
      <w:pPr>
        <w:pStyle w:val="FirstParagraph"/>
      </w:pPr>
      <w:r>
        <w:t xml:space="preserve">A useful free tool for measuring readability is the Hemingway App available at</w:t>
      </w:r>
      <w:r>
        <w:t xml:space="preserve"> </w:t>
      </w:r>
      <w:hyperlink r:id="rId62">
        <w:r>
          <w:rPr>
            <w:rStyle w:val="Hyperlink"/>
          </w:rPr>
          <w:t xml:space="preserve">hemingwayapp.com</w:t>
        </w:r>
      </w:hyperlink>
      <w:r>
        <w:t xml:space="preserve">.</w:t>
      </w:r>
    </w:p>
    <w:p>
      <w:pPr>
        <w:pStyle w:val="BodyText"/>
      </w:pPr>
      <w:r>
        <w:t xml:space="preserve">Paste in the text content of your document and Hemingway will provide suggestions. As you make changes, the application will rescore the content dynamically.</w:t>
      </w:r>
    </w:p>
    <w:bookmarkEnd w:id="63"/>
    <w:bookmarkEnd w:id="64"/>
    <w:p>
      <w:pPr>
        <w:pStyle w:val="BodyText"/>
      </w:pPr>
      <w:r>
        <w:t xml:space="preserve">Optimizing the readability of your documents provides benefits for many users. In the next video you will learn how to increase the legibility of your documents.</w:t>
      </w:r>
    </w:p>
    <w:sectPr w:rsidR="00B15443" w:rsidSect="00034616">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altName w:val="Courier New"/>
    <w:panose1 w:val="02070309020205020404"/>
    <w:charset w:val="00"/>
    <w:family w:val="modern"/>
    <w:pitch w:val="fixed"/>
    <w:sig w:usb0="E0002AFF" w:usb1="C0007843"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FFFFFF7C"/>
    <w:multiLevelType w:val="singleLevel"/>
    <w:tmpl w:val="C310EC42"/>
    <w:lvl w:ilvl="0">
      <w:start w:val="1"/>
      <w:numFmt w:val="decimal"/>
      <w:lvlText w:val="%1."/>
      <w:lvlJc w:val="left"/>
      <w:pPr>
        <w:tabs>
          <w:tab w:pos="1800" w:val="num"/>
        </w:tabs>
        <w:ind w:hanging="360" w:left="1800"/>
      </w:pPr>
    </w:lvl>
  </w:abstractNum>
  <w:abstractNum w15:restartNumberingAfterBreak="0" w:abstractNumId="1">
    <w:nsid w:val="FFFFFF7D"/>
    <w:multiLevelType w:val="singleLevel"/>
    <w:tmpl w:val="E4089024"/>
    <w:lvl w:ilvl="0">
      <w:start w:val="1"/>
      <w:numFmt w:val="decimal"/>
      <w:lvlText w:val="%1."/>
      <w:lvlJc w:val="left"/>
      <w:pPr>
        <w:tabs>
          <w:tab w:pos="1440" w:val="num"/>
        </w:tabs>
        <w:ind w:hanging="360" w:left="1440"/>
      </w:pPr>
    </w:lvl>
  </w:abstractNum>
  <w:abstractNum w15:restartNumberingAfterBreak="0"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15:restartNumberingAfterBreak="0"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15:restartNumberingAfterBreak="0"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15:restartNumberingAfterBreak="0"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15:restartNumberingAfterBreak="0"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15:restartNumberingAfterBreak="0"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15:restartNumberingAfterBreak="0"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15:restartNumberingAfterBreak="0" w:abstractNumId="9">
    <w:nsid w:val="0000A991"/>
    <w:multiLevelType w:val="multilevel"/>
    <w:tmpl w:val="A5D6A2E2"/>
    <w:lvl w:ilvl="0">
      <w:numFmt w:val="bullet"/>
      <w:pStyle w:val="h4-bullets-list"/>
      <w:lvlText w:val=""/>
      <w:lvlJc w:val="left"/>
      <w:pPr>
        <w:ind w:hanging="360" w:left="720"/>
      </w:pPr>
      <w:rPr>
        <w:rFonts w:ascii="Symbol" w:cs="Symbol" w:hAnsi="Symbol" w:hint="default"/>
      </w:rPr>
    </w:lvl>
    <w:lvl w:ilvl="1">
      <w:numFmt w:val="bullet"/>
      <w:lvlText w:val="o"/>
      <w:lvlJc w:val="left"/>
      <w:pPr>
        <w:ind w:hanging="360" w:left="1440"/>
      </w:pPr>
      <w:rPr>
        <w:rFonts w:ascii="Courier New" w:cs="Courier New" w:hAnsi="Courier New" w:hint="default"/>
      </w:rPr>
    </w:lvl>
    <w:lvl w:ilvl="2">
      <w:numFmt w:val="bullet"/>
      <w:lvlText w:val=""/>
      <w:lvlJc w:val="left"/>
      <w:pPr>
        <w:ind w:hanging="360" w:left="2160"/>
      </w:pPr>
      <w:rPr>
        <w:rFonts w:ascii="Wingdings" w:cs="Wingdings" w:hAnsi="Wingdings" w:hint="default"/>
      </w:rPr>
    </w:lvl>
    <w:lvl w:ilvl="3">
      <w:numFmt w:val="bullet"/>
      <w:lvlText w:val=""/>
      <w:lvlJc w:val="left"/>
      <w:pPr>
        <w:ind w:hanging="360" w:left="2880"/>
      </w:pPr>
      <w:rPr>
        <w:rFonts w:ascii="Symbol" w:cs="Symbol" w:hAnsi="Symbol" w:hint="default"/>
      </w:rPr>
    </w:lvl>
    <w:lvl w:ilvl="4">
      <w:numFmt w:val="bullet"/>
      <w:lvlText w:val="o"/>
      <w:lvlJc w:val="left"/>
      <w:pPr>
        <w:ind w:hanging="360" w:left="3600"/>
      </w:pPr>
      <w:rPr>
        <w:rFonts w:ascii="Courier New" w:cs="Courier New" w:hAnsi="Courier New" w:hint="default"/>
      </w:rPr>
    </w:lvl>
    <w:lvl w:ilvl="5">
      <w:numFmt w:val="bullet"/>
      <w:lvlText w:val=""/>
      <w:lvlJc w:val="left"/>
      <w:pPr>
        <w:ind w:hanging="360" w:left="4320"/>
      </w:pPr>
      <w:rPr>
        <w:rFonts w:ascii="Wingdings" w:cs="Wingdings" w:hAnsi="Wingdings" w:hint="default"/>
      </w:rPr>
    </w:lvl>
    <w:lvl w:ilvl="6">
      <w:numFmt w:val="bullet"/>
      <w:lvlText w:val=""/>
      <w:lvlJc w:val="left"/>
      <w:pPr>
        <w:ind w:hanging="360" w:left="5040"/>
      </w:pPr>
      <w:rPr>
        <w:rFonts w:ascii="Symbol" w:cs="Symbol" w:hAnsi="Symbol" w:hint="default"/>
      </w:rPr>
    </w:lvl>
    <w:lvl w:ilvl="7">
      <w:numFmt w:val="bullet"/>
      <w:lvlText w:val="o"/>
      <w:lvlJc w:val="left"/>
      <w:pPr>
        <w:ind w:hanging="360" w:left="5760"/>
      </w:pPr>
      <w:rPr>
        <w:rFonts w:ascii="Courier New" w:cs="Courier New" w:hAnsi="Courier New" w:hint="default"/>
      </w:rPr>
    </w:lvl>
    <w:lvl w:ilvl="8">
      <w:numFmt w:val="bullet"/>
      <w:lvlText w:val=""/>
      <w:lvlJc w:val="left"/>
      <w:pPr>
        <w:ind w:hanging="360" w:left="6480"/>
      </w:pPr>
      <w:rPr>
        <w:rFonts w:ascii="Wingdings" w:cs="Wingdings" w:hAnsi="Wingdings" w:hint="default"/>
      </w:rPr>
    </w:lvl>
  </w:abstractNum>
  <w:abstractNum w15:restartNumberingAfterBreak="0" w:abstractNumId="10">
    <w:nsid w:val="00A99201"/>
    <w:multiLevelType w:val="multilevel"/>
    <w:tmpl w:val="5F76A30C"/>
    <w:lvl w:ilvl="0">
      <w:start w:val="1"/>
      <w:numFmt w:val="decimal"/>
      <w:pStyle w:val="h5-numbers-list"/>
      <w:lvlText w:val="%1."/>
      <w:lvlJc w:val="left"/>
      <w:pPr>
        <w:ind w:hanging="360" w:left="1800"/>
      </w:pPr>
    </w:lvl>
    <w:lvl w:ilvl="1">
      <w:start w:val="1"/>
      <w:numFmt w:val="lowerLetter"/>
      <w:lvlText w:val="%2."/>
      <w:lvlJc w:val="left"/>
      <w:pPr>
        <w:ind w:hanging="360" w:left="2520"/>
      </w:pPr>
    </w:lvl>
    <w:lvl w:ilvl="2">
      <w:start w:val="1"/>
      <w:numFmt w:val="lowerRoman"/>
      <w:lvlText w:val="%3."/>
      <w:lvlJc w:val="left"/>
      <w:pPr>
        <w:ind w:hanging="360" w:left="3240"/>
      </w:pPr>
    </w:lvl>
    <w:lvl w:ilvl="3">
      <w:start w:val="1"/>
      <w:numFmt w:val="decimal"/>
      <w:lvlText w:val="%4."/>
      <w:lvlJc w:val="left"/>
      <w:pPr>
        <w:ind w:hanging="360" w:left="3960"/>
      </w:pPr>
    </w:lvl>
    <w:lvl w:ilvl="4">
      <w:start w:val="1"/>
      <w:numFmt w:val="lowerLetter"/>
      <w:lvlText w:val="%5."/>
      <w:lvlJc w:val="left"/>
      <w:pPr>
        <w:ind w:hanging="360" w:left="4680"/>
      </w:pPr>
    </w:lvl>
    <w:lvl w:ilvl="5">
      <w:start w:val="1"/>
      <w:numFmt w:val="lowerRoman"/>
      <w:lvlText w:val="%6."/>
      <w:lvlJc w:val="left"/>
      <w:pPr>
        <w:ind w:hanging="360" w:left="5400"/>
      </w:pPr>
    </w:lvl>
    <w:lvl w:ilvl="6">
      <w:start w:val="1"/>
      <w:numFmt w:val="decimal"/>
      <w:lvlText w:val="%7."/>
      <w:lvlJc w:val="left"/>
      <w:pPr>
        <w:ind w:hanging="360" w:left="6120"/>
      </w:pPr>
    </w:lvl>
    <w:lvl w:ilvl="7">
      <w:start w:val="1"/>
      <w:numFmt w:val="lowerLetter"/>
      <w:lvlText w:val="%8."/>
      <w:lvlJc w:val="left"/>
      <w:pPr>
        <w:ind w:hanging="360" w:left="6840"/>
      </w:pPr>
    </w:lvl>
    <w:lvl w:ilvl="8">
      <w:start w:val="1"/>
      <w:numFmt w:val="lowerRoman"/>
      <w:lvlText w:val="%9."/>
      <w:lvlJc w:val="left"/>
      <w:pPr>
        <w:ind w:hanging="360" w:left="7560"/>
      </w:p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201">
    <w:nsid w:val="00A99201"/>
    <w:multiLevelType w:val="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16cid:durableId="200365055" w:numId="1">
    <w:abstractNumId w:val="8"/>
  </w:num>
  <w:num w16cid:durableId="1513648245" w:numId="2">
    <w:abstractNumId w:val="6"/>
  </w:num>
  <w:num w16cid:durableId="709963908" w:numId="3">
    <w:abstractNumId w:val="5"/>
  </w:num>
  <w:num w16cid:durableId="1208564637" w:numId="4">
    <w:abstractNumId w:val="4"/>
  </w:num>
  <w:num w16cid:durableId="1332219166" w:numId="5">
    <w:abstractNumId w:val="7"/>
  </w:num>
  <w:num w16cid:durableId="929047881" w:numId="6">
    <w:abstractNumId w:val="3"/>
  </w:num>
  <w:num w16cid:durableId="1057819428" w:numId="7">
    <w:abstractNumId w:val="2"/>
  </w:num>
  <w:num w16cid:durableId="725495773" w:numId="8">
    <w:abstractNumId w:val="1"/>
  </w:num>
  <w:num w16cid:durableId="884103683" w:numId="9">
    <w:abstractNumId w:val="0"/>
  </w:num>
  <w:num w16cid:durableId="582764500" w:numId="10">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16cid:durableId="224338773" w:numId="11">
    <w:abstractNumId w:val="9"/>
  </w:num>
  <w:num w16cid:durableId="836264505" w:numId="12">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0">
    <w:abstractNumId w:val="990"/>
  </w:num>
  <w:num w:numId="1001">
    <w:abstractNumId w:val="991"/>
  </w:num>
  <w:num w:numId="1002">
    <w:abstractNumId w:val="991"/>
  </w:num>
  <w:num w:numId="1003">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1"/>
  </w:num>
  <w:num w:numId="1006">
    <w:abstractNumId w:val="991"/>
  </w:num>
  <w:num w:numId="1007">
    <w:abstractNumId w:val="991"/>
  </w:num>
  <w:num w:numId="1008">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view w:val="web"/>
  <w:zoom w:percent="12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8053EC"/>
    <w:rsid w:val="008B2FF8"/>
    <w:rsid w:val="00AA1D8D"/>
    <w:rsid w:val="00B15443"/>
    <w:rsid w:val="00B47730"/>
    <w:rsid w:val="00CA2E3F"/>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6" v:ext="edit"/>
    <o:shapelayout v:ext="edit">
      <o:idmap data="1" v:ext="edit"/>
    </o:shapelayout>
  </w:shapeDefaults>
  <w:decimalSymbol w:val="."/>
  <w:listSeparator w:val=","/>
  <w:trackRevisions w:val="true"/>
  <w:trackMove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376" w:defLockedState="0" w:defQFormat="0" w:defSemiHidden="0" w:defUIPriority="99" w:defUnhideWhenUsed="0">
    <w:lsdException w:name="Normal" w:qFormat="1" w:uiPriority="0"/>
    <w:lsdException w:name="heading 1" w:qFormat="1" w:uiPriority="9"/>
    <w:lsdException w:name="heading 2" w:qFormat="1" w:semiHidden="1" w:uiPriority="9" w:unhideWhenUsed="1"/>
    <w:lsdException w:name="heading 3" w:qFormat="1" w:semiHidden="1" w:uiPriority="9" w:unhideWhenUsed="1"/>
    <w:lsdException w:name="heading 4" w:qFormat="1" w:semiHidden="1" w:uiPriority="9" w:unhideWhenUsed="1"/>
    <w:lsdException w:name="heading 5" w:qFormat="1" w:semiHidden="1" w:uiPriority="9" w:unhideWhenUsed="1"/>
    <w:lsdException w:name="heading 6" w:qFormat="1" w:semiHidden="1" w:uiPriority="9" w:unhideWhenUsed="1"/>
    <w:lsdException w:name="heading 7" w:qFormat="1" w:semiHidden="1" w:uiPriority="9" w:unhideWhenUsed="1"/>
    <w:lsdException w:name="heading 8" w:qFormat="1" w:semiHidden="1" w:uiPriority="9" w:unhideWhenUsed="1"/>
    <w:lsdException w:name="heading 9" w:qFormat="1" w:semiHidden="1" w:uiPriority="9"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qFormat="1"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uiPriority="22"/>
    <w:lsdException w:name="Emphasis" w:qFormat="1"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qFormat="1"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uiPriority="34"/>
    <w:lsdException w:name="Quote" w:qFormat="1" w:uiPriority="29"/>
    <w:lsdException w:name="Intense Quote" w:qFormat="1"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qFormat="1" w:uiPriority="19"/>
    <w:lsdException w:name="Intense Emphasis" w:qFormat="1" w:uiPriority="21"/>
    <w:lsdException w:name="Subtle Reference" w:qFormat="1" w:uiPriority="31"/>
    <w:lsdException w:name="Intense Reference" w:qFormat="1" w:uiPriority="32"/>
    <w:lsdException w:name="Book Title" w:qFormat="1" w:uiPriority="33"/>
    <w:lsdException w:name="Bibliography" w:semiHidden="1" w:uiPriority="37" w:unhideWhenUsed="1"/>
    <w:lsdException w:name="TOC Heading" w:qFormat="1" w:semiHidden="1" w:uiPriority="39"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default="1" w:styleId="Normal" w:type="paragraph">
    <w:name w:val="Normal"/>
    <w:qFormat/>
    <w:rsid w:val="00CA2E3F"/>
    <w:pPr>
      <w:ind w:right="2880"/>
    </w:pPr>
    <w:rPr>
      <w:rFonts w:asciiTheme="majorHAnsi" w:hAnsiTheme="majorHAnsi"/>
    </w:rPr>
  </w:style>
  <w:style w:styleId="Heading1" w:type="paragraph">
    <w:name w:val="heading 1"/>
    <w:basedOn w:val="Normal"/>
    <w:next w:val="Normal"/>
    <w:link w:val="Heading1Char"/>
    <w:uiPriority w:val="9"/>
    <w:qFormat/>
    <w:rsid w:val="008B2FF8"/>
    <w:pPr>
      <w:keepNext/>
      <w:keepLines/>
      <w:spacing w:after="240" w:before="480"/>
      <w:jc w:val="center"/>
      <w:outlineLvl w:val="0"/>
    </w:pPr>
    <w:rPr>
      <w:rFonts w:cstheme="majorBidi" w:eastAsiaTheme="majorEastAsia"/>
      <w:bCs/>
      <w:color w:val="1C205B"/>
      <w:sz w:val="56"/>
      <w:szCs w:val="28"/>
    </w:rPr>
  </w:style>
  <w:style w:styleId="Heading2" w:type="paragraph">
    <w:name w:val="heading 2"/>
    <w:basedOn w:val="Normal"/>
    <w:next w:val="Normal"/>
    <w:link w:val="Heading2Char"/>
    <w:uiPriority w:val="9"/>
    <w:unhideWhenUsed/>
    <w:qFormat/>
    <w:rsid w:val="00CA2E3F"/>
    <w:pPr>
      <w:keepNext/>
      <w:keepLines/>
      <w:spacing w:after="120" w:before="120"/>
      <w:outlineLvl w:val="1"/>
    </w:pPr>
    <w:rPr>
      <w:rFonts w:cstheme="majorBidi" w:eastAsiaTheme="majorEastAsia"/>
      <w:bCs/>
      <w:color w:val="BF1722"/>
      <w:sz w:val="48"/>
      <w:szCs w:val="26"/>
    </w:rPr>
  </w:style>
  <w:style w:styleId="Heading3" w:type="paragraph">
    <w:name w:val="heading 3"/>
    <w:basedOn w:val="Normal"/>
    <w:next w:val="Normal"/>
    <w:link w:val="Heading3Char"/>
    <w:uiPriority w:val="9"/>
    <w:unhideWhenUsed/>
    <w:qFormat/>
    <w:rsid w:val="008B2FF8"/>
    <w:pPr>
      <w:keepNext/>
      <w:keepLines/>
      <w:pBdr>
        <w:bottom w:color="auto" w:space="1" w:sz="4" w:val="dotted"/>
      </w:pBdr>
      <w:spacing w:after="120" w:before="120"/>
      <w:ind w:left="288"/>
      <w:outlineLvl w:val="2"/>
    </w:pPr>
    <w:rPr>
      <w:rFonts w:cstheme="majorBidi" w:eastAsiaTheme="majorEastAsia"/>
      <w:bCs/>
      <w:color w:val="1C205B"/>
      <w:sz w:val="36"/>
    </w:rPr>
  </w:style>
  <w:style w:styleId="Heading4" w:type="paragraph">
    <w:name w:val="heading 4"/>
    <w:basedOn w:val="Normal"/>
    <w:next w:val="Normal"/>
    <w:link w:val="Heading4Char"/>
    <w:uiPriority w:val="9"/>
    <w:semiHidden/>
    <w:unhideWhenUsed/>
    <w:qFormat/>
    <w:rsid w:val="00CA2E3F"/>
    <w:pPr>
      <w:keepNext/>
      <w:keepLines/>
      <w:spacing w:after="120" w:before="120"/>
      <w:ind w:left="432"/>
      <w:outlineLvl w:val="3"/>
    </w:pPr>
    <w:rPr>
      <w:rFonts w:cstheme="majorBidi" w:eastAsiaTheme="majorEastAsia"/>
      <w:bCs/>
      <w:iCs/>
      <w:color w:val="111111"/>
      <w:sz w:val="32"/>
    </w:rPr>
  </w:style>
  <w:style w:styleId="Heading5" w:type="paragraph">
    <w:name w:val="heading 5"/>
    <w:basedOn w:val="Normal"/>
    <w:next w:val="Normal"/>
    <w:link w:val="Heading5Char"/>
    <w:uiPriority w:val="9"/>
    <w:semiHidden/>
    <w:unhideWhenUsed/>
    <w:qFormat/>
    <w:rsid w:val="00CA2E3F"/>
    <w:pPr>
      <w:keepNext/>
      <w:keepLines/>
      <w:spacing w:after="120" w:before="120"/>
      <w:ind w:left="576"/>
      <w:outlineLvl w:val="4"/>
    </w:pPr>
    <w:rPr>
      <w:rFonts w:cstheme="majorBidi" w:eastAsiaTheme="majorEastAsia"/>
      <w:b/>
      <w:color w:val="BF1722"/>
      <w:sz w:val="24"/>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cstheme="majorBidi" w:eastAsiaTheme="majorEastAsia"/>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cstheme="majorBidi" w:eastAsiaTheme="majorEastAsia"/>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cstheme="majorBidi" w:eastAsiaTheme="majorEastAsia"/>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cstheme="majorBidi" w:eastAsiaTheme="majorEastAsia"/>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8B2FF8"/>
    <w:rPr>
      <w:rFonts w:asciiTheme="majorHAnsi" w:cstheme="majorBidi" w:eastAsiaTheme="majorEastAsia" w:hAnsiTheme="majorHAnsi"/>
      <w:bCs/>
      <w:color w:val="1C205B"/>
      <w:sz w:val="56"/>
      <w:szCs w:val="28"/>
    </w:rPr>
  </w:style>
  <w:style w:customStyle="1" w:styleId="Heading2Char" w:type="character">
    <w:name w:val="Heading 2 Char"/>
    <w:basedOn w:val="DefaultParagraphFont"/>
    <w:link w:val="Heading2"/>
    <w:uiPriority w:val="9"/>
    <w:rsid w:val="00CA2E3F"/>
    <w:rPr>
      <w:rFonts w:asciiTheme="majorHAnsi" w:cstheme="majorBidi" w:eastAsiaTheme="majorEastAsia" w:hAnsiTheme="majorHAnsi"/>
      <w:bCs/>
      <w:color w:val="BF1722"/>
      <w:sz w:val="48"/>
      <w:szCs w:val="26"/>
    </w:rPr>
  </w:style>
  <w:style w:customStyle="1" w:styleId="Heading3Char" w:type="character">
    <w:name w:val="Heading 3 Char"/>
    <w:basedOn w:val="DefaultParagraphFont"/>
    <w:link w:val="Heading3"/>
    <w:uiPriority w:val="9"/>
    <w:rsid w:val="008B2FF8"/>
    <w:rPr>
      <w:rFonts w:asciiTheme="majorHAnsi" w:cstheme="majorBidi" w:eastAsiaTheme="majorEastAsia" w:hAnsiTheme="majorHAnsi"/>
      <w:bCs/>
      <w:color w:val="1C205B"/>
      <w:sz w:val="36"/>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cstheme="majorBidi" w:eastAsiaTheme="majorEastAsia"/>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cstheme="majorBidi" w:eastAsiaTheme="majorEastAsia"/>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CA2E3F"/>
    <w:rPr>
      <w:rFonts w:asciiTheme="majorHAnsi" w:cstheme="majorBidi" w:eastAsiaTheme="majorEastAsia" w:hAnsiTheme="majorHAnsi"/>
      <w:bCs/>
      <w:iCs/>
      <w:color w:val="111111"/>
      <w:sz w:val="32"/>
    </w:rPr>
  </w:style>
  <w:style w:customStyle="1" w:styleId="Heading5Char" w:type="character">
    <w:name w:val="Heading 5 Char"/>
    <w:basedOn w:val="DefaultParagraphFont"/>
    <w:link w:val="Heading5"/>
    <w:uiPriority w:val="9"/>
    <w:semiHidden/>
    <w:rsid w:val="00CA2E3F"/>
    <w:rPr>
      <w:rFonts w:asciiTheme="majorHAnsi" w:cstheme="majorBidi" w:eastAsiaTheme="majorEastAsia" w:hAnsiTheme="majorHAnsi"/>
      <w:b/>
      <w:color w:val="BF1722"/>
      <w:sz w:val="24"/>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Borders>
        <w:top w:color="000000" w:space="0" w:sz="8" w:themeColor="text1" w:val="single"/>
        <w:bottom w:color="000000" w:space="0" w:sz="8" w:themeColor="text1" w:val="single"/>
      </w:tblBorders>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Borders>
        <w:top w:color="4F81BD" w:space="0" w:sz="8" w:themeColor="accent1" w:val="single"/>
        <w:bottom w:color="4F81BD" w:space="0" w:sz="8" w:themeColor="accent1" w:val="single"/>
      </w:tblBorders>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Borders>
        <w:top w:color="C0504D" w:space="0" w:sz="8" w:themeColor="accent2" w:val="single"/>
        <w:bottom w:color="C0504D" w:space="0" w:sz="8" w:themeColor="accent2" w:val="single"/>
      </w:tblBorders>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Borders>
        <w:top w:color="9BBB59" w:space="0" w:sz="8" w:themeColor="accent3" w:val="single"/>
        <w:bottom w:color="9BBB59" w:space="0" w:sz="8" w:themeColor="accent3" w:val="single"/>
      </w:tblBorders>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Borders>
        <w:top w:color="8064A2" w:space="0" w:sz="8" w:themeColor="accent4" w:val="single"/>
        <w:bottom w:color="8064A2" w:space="0" w:sz="8" w:themeColor="accent4" w:val="single"/>
      </w:tblBorders>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Borders>
        <w:top w:color="4BACC6" w:space="0" w:sz="8" w:themeColor="accent5" w:val="single"/>
        <w:bottom w:color="4BACC6" w:space="0" w:sz="8" w:themeColor="accent5" w:val="single"/>
      </w:tblBorders>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Borders>
        <w:top w:color="F79646" w:space="0" w:sz="8" w:themeColor="accent6" w:val="single"/>
        <w:bottom w:color="F79646" w:space="0" w:sz="8" w:themeColor="accent6" w:val="single"/>
      </w:tblBorders>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tblBorders>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tblBorders>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tblBorders>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tblBorders>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tblBorders>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tblBorders>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tblBorders>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Borders>
        <w:top w:color="000000" w:space="0" w:sz="8" w:themeColor="text1" w:val="single"/>
        <w:bottom w:color="000000" w:space="0" w:sz="8" w:themeColor="text1" w:val="single"/>
      </w:tblBorders>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Borders>
        <w:top w:color="4F81BD" w:space="0" w:sz="8" w:themeColor="accent1" w:val="single"/>
        <w:bottom w:color="4F81BD" w:space="0" w:sz="8" w:themeColor="accent1" w:val="single"/>
      </w:tblBorders>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Borders>
        <w:top w:color="C0504D" w:space="0" w:sz="8" w:themeColor="accent2" w:val="single"/>
        <w:bottom w:color="C0504D" w:space="0" w:sz="8" w:themeColor="accent2" w:val="single"/>
      </w:tblBorders>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Borders>
        <w:top w:color="9BBB59" w:space="0" w:sz="8" w:themeColor="accent3" w:val="single"/>
        <w:bottom w:color="9BBB59" w:space="0" w:sz="8" w:themeColor="accent3" w:val="single"/>
      </w:tblBorders>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Borders>
        <w:top w:color="8064A2" w:space="0" w:sz="8" w:themeColor="accent4" w:val="single"/>
        <w:bottom w:color="8064A2" w:space="0" w:sz="8" w:themeColor="accent4" w:val="single"/>
      </w:tblBorders>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Borders>
        <w:top w:color="4BACC6" w:space="0" w:sz="8" w:themeColor="accent5" w:val="single"/>
        <w:bottom w:color="4BACC6" w:space="0" w:sz="8" w:themeColor="accent5" w:val="single"/>
      </w:tblBorders>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Borders>
        <w:top w:color="F79646" w:space="0" w:sz="8" w:themeColor="accent6" w:val="single"/>
        <w:bottom w:color="F79646" w:space="0" w:sz="8" w:themeColor="accent6" w:val="single"/>
      </w:tblBorders>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tblBorders>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tblBorders>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tblBorders>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tblBorders>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tblBorders>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tblBorders>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tblBorders>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Borders>
        <w:insideH w:color="FFFFFF" w:space="0" w:sz="4" w:themeColor="background1" w:val="single"/>
      </w:tblBorders>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Borders>
        <w:insideH w:color="FFFFFF" w:space="0" w:sz="4" w:themeColor="background1" w:val="single"/>
      </w:tblBorders>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Borders>
        <w:insideH w:color="FFFFFF" w:space="0" w:sz="4" w:themeColor="background1" w:val="single"/>
      </w:tblBorders>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Borders>
        <w:insideH w:color="FFFFFF" w:space="0" w:sz="4" w:themeColor="background1" w:val="single"/>
      </w:tblBorders>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Borders>
        <w:insideH w:color="FFFFFF" w:space="0" w:sz="4" w:themeColor="background1" w:val="single"/>
      </w:tblBorders>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Borders>
        <w:insideH w:color="FFFFFF" w:space="0" w:sz="4" w:themeColor="background1" w:val="single"/>
      </w:tblBorders>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Borders>
        <w:insideH w:color="FFFFFF" w:space="0" w:sz="4" w:themeColor="background1" w:val="single"/>
      </w:tblBorders>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customStyle="1" w:styleId="Note" w:type="paragraph">
    <w:name w:val="Note"/>
    <w:basedOn w:val="Normal"/>
    <w:pPr>
      <w:shd w:color="auto" w:fill="F1F5F7" w:val="clear"/>
      <w:spacing w:after="120" w:before="120"/>
      <w:ind w:right="0"/>
    </w:pPr>
  </w:style>
  <w:style w:customStyle="1" w:styleId="Important" w:type="paragraph">
    <w:name w:val="Important"/>
    <w:basedOn w:val="Normal"/>
    <w:pPr>
      <w:shd w:color="auto" w:fill="FAFAAE" w:val="clear"/>
      <w:spacing w:after="120" w:before="120"/>
      <w:ind w:right="0"/>
    </w:pPr>
  </w:style>
  <w:style w:customStyle="1" w:styleId="Instructions" w:type="paragraph">
    <w:name w:val="Instructions"/>
    <w:basedOn w:val="Normal"/>
    <w:pPr>
      <w:shd w:color="auto" w:fill="FAFFF0" w:val="clear"/>
      <w:spacing w:after="240" w:before="360"/>
      <w:ind w:right="0"/>
    </w:pPr>
  </w:style>
  <w:style w:customStyle="1" w:styleId="instructions-callout" w:type="paragraph">
    <w:name w:val="instructions-callout"/>
    <w:basedOn w:val="Normal"/>
    <w:pPr>
      <w:pBdr>
        <w:top w:color="CCCCCC" w:space="1" w:sz="4" w:val="single"/>
        <w:left w:color="CCCCCC" w:space="1" w:sz="4" w:val="single"/>
        <w:bottom w:color="CCCCCC" w:space="1" w:sz="4" w:val="single"/>
        <w:right w:color="CCCCCC" w:space="1" w:sz="4" w:val="single"/>
      </w:pBdr>
      <w:shd w:color="auto" w:fill="FAFFF0" w:val="clear"/>
      <w:spacing w:after="240" w:before="240"/>
      <w:ind w:left="720" w:right="720"/>
    </w:pPr>
  </w:style>
  <w:style w:customStyle="1" w:styleId="callout-box" w:type="paragraph">
    <w:name w:val="callout-box"/>
    <w:basedOn w:val="Normal"/>
    <w:pPr>
      <w:pBdr>
        <w:top w:color="CCCCCC" w:space="1" w:sz="4" w:val="single"/>
        <w:left w:color="CCCCCC" w:space="1" w:sz="4" w:val="single"/>
        <w:bottom w:color="CCCCCC" w:space="1" w:sz="4" w:val="single"/>
        <w:right w:color="CCCCCC" w:space="1" w:sz="4" w:val="single"/>
      </w:pBdr>
      <w:spacing w:after="240" w:before="240"/>
      <w:ind w:left="720" w:right="720"/>
    </w:pPr>
  </w:style>
  <w:style w:customStyle="1" w:styleId="Question" w:type="paragraph">
    <w:name w:val="Question"/>
    <w:basedOn w:val="Normal"/>
    <w:pPr>
      <w:shd w:color="auto" w:fill="FFECD5" w:val="clear"/>
      <w:spacing w:after="120" w:before="120"/>
      <w:ind w:right="0"/>
    </w:pPr>
  </w:style>
  <w:style w:customStyle="1" w:styleId="Callout" w:type="paragraph">
    <w:name w:val="Callout"/>
    <w:basedOn w:val="Normal"/>
    <w:pPr>
      <w:pBdr>
        <w:top w:color="CCCCCC" w:space="1" w:sz="4" w:val="single"/>
        <w:left w:color="CCCCCC" w:space="1" w:sz="4" w:val="single"/>
        <w:bottom w:color="CCCCCC" w:space="1" w:sz="4" w:val="single"/>
        <w:right w:color="CCCCCC" w:space="1" w:sz="4" w:val="single"/>
      </w:pBdr>
      <w:spacing w:after="240" w:before="240"/>
      <w:ind w:left="720" w:right="720"/>
    </w:pPr>
  </w:style>
  <w:style w:customStyle="1" w:styleId="Hyperlink1" w:type="character">
    <w:name w:val="Hyperlink1"/>
    <w:rPr>
      <w:color w:val="0000FF"/>
      <w:u w:val="single"/>
    </w:rPr>
  </w:style>
  <w:style w:customStyle="1" w:styleId="h5-numbers-list" w:type="paragraph">
    <w:name w:val="h5-numbers-list"/>
    <w:basedOn w:val="Normal"/>
    <w:qFormat/>
    <w:rsid w:val="008B2FF8"/>
    <w:pPr>
      <w:numPr>
        <w:numId w:val="10"/>
      </w:numPr>
    </w:pPr>
  </w:style>
  <w:style w:customStyle="1" w:styleId="h3-paragraph" w:type="paragraph">
    <w:name w:val="h3-paragraph"/>
    <w:basedOn w:val="Normal"/>
    <w:qFormat/>
    <w:rsid w:val="008B2FF8"/>
    <w:pPr>
      <w:ind w:left="288"/>
    </w:pPr>
  </w:style>
  <w:style w:customStyle="1" w:styleId="h4-paragraph" w:type="paragraph">
    <w:name w:val="h4-paragraph"/>
    <w:basedOn w:val="Normal"/>
    <w:qFormat/>
    <w:rsid w:val="00CA2E3F"/>
    <w:pPr>
      <w:ind w:left="432"/>
    </w:pPr>
  </w:style>
  <w:style w:customStyle="1" w:styleId="h3-bullets-list" w:type="paragraph">
    <w:name w:val="h3-bullets-list"/>
    <w:basedOn w:val="Normal"/>
    <w:qFormat/>
    <w:rsid w:val="008B2FF8"/>
    <w:pPr>
      <w:numPr>
        <w:numId w:val="11"/>
      </w:numPr>
      <w:ind w:left="1224"/>
    </w:pPr>
  </w:style>
  <w:style w:customStyle="1" w:styleId="h4-bullets-list" w:type="paragraph">
    <w:name w:val="h4-bullets-list"/>
    <w:basedOn w:val="Normal"/>
    <w:qFormat/>
    <w:rsid w:val="00CA2E3F"/>
    <w:pPr>
      <w:numPr>
        <w:numId w:val="11"/>
      </w:numPr>
      <w:ind w:left="1224"/>
    </w:pPr>
  </w:style>
  <w:style w:customStyle="1" w:styleId="numbers-list-title" w:type="paragraph">
    <w:name w:val="numbers-list-title"/>
    <w:basedOn w:val="Normal"/>
    <w:qFormat/>
    <w:rsid w:val="00CA2E3F"/>
    <w:pPr>
      <w:ind w:firstLine="720" w:left="576"/>
    </w:pPr>
    <w:rPr>
      <w:b/>
      <w:sz w:val="24"/>
    </w:rPr>
  </w:style>
  <w:style w:customStyle="1" w:styleId="h5-paragraph" w:type="paragraph">
    <w:name w:val="h5-paragraph"/>
    <w:basedOn w:val="Normal"/>
    <w:qFormat/>
    <w:rsid w:val="00CA2E3F"/>
    <w:pPr>
      <w:ind w:left="576"/>
    </w:p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20" Type="http://schemas.openxmlformats.org/officeDocument/2006/relationships/numbering" Target="numbering.xml"/><Relationship Id="rId19" Type="http://schemas.openxmlformats.org/officeDocument/2006/relationships/styles" Target="styles.xml"/><Relationship Id="rId18" Type="http://schemas.openxmlformats.org/officeDocument/2006/relationships/settings" Target="settings.xml"/><Relationship Id="rId17" Type="http://schemas.openxmlformats.org/officeDocument/2006/relationships/webSettings" Target="webSettings.xml"/><Relationship Id="rId16" Type="http://schemas.openxmlformats.org/officeDocument/2006/relationships/fontTable" Target="fontTable.xml"/><Relationship Id="rId15" Type="http://schemas.openxmlformats.org/officeDocument/2006/relationships/theme" Target="theme/theme1.xml"/><Relationship Id="rId14" Type="http://schemas.openxmlformats.org/officeDocument/2006/relationships/footnotes" Target="footnotes.xml"/><Relationship Id="rId13" Type="http://schemas.openxmlformats.org/officeDocument/2006/relationships/comments" Target="comments.xml"/><Relationship Id="rId8" Type="http://schemas.openxmlformats.org/officeDocument/2006/relationships/image" Target="media/image2.png"/><Relationship Id="rId7" Type="http://schemas.openxmlformats.org/officeDocument/2006/relationships/image" Target="media/image1.png"/><Relationship Id="rId12" Type="http://schemas.openxmlformats.org/officeDocument/2006/relationships/image" Target="media/image6.png"/><Relationship Id="rId11" Type="http://schemas.openxmlformats.org/officeDocument/2006/relationships/image" Target="media/image5.png"/><Relationship Id="rId10" Type="http://schemas.openxmlformats.org/officeDocument/2006/relationships/image" Target="media/image4.png"/><Relationship Id="rId9" Type="http://schemas.openxmlformats.org/officeDocument/2006/relationships/image" Target="media/image3.png"/><Relationship Id="rId34" Type="http://schemas.openxmlformats.org/officeDocument/2006/relationships/image" Target="media/rId34.png"/><Relationship Id="rId46" Type="http://schemas.openxmlformats.org/officeDocument/2006/relationships/image" Target="media/rId46.png"/><Relationship Id="rId27" Type="http://schemas.openxmlformats.org/officeDocument/2006/relationships/image" Target="media/rId27.png"/><Relationship Id="rId54" Type="http://schemas.openxmlformats.org/officeDocument/2006/relationships/image" Target="media/rId54.png"/><Relationship Id="rId49" Type="http://schemas.openxmlformats.org/officeDocument/2006/relationships/image" Target="media/rId49.png"/><Relationship Id="rId38" Type="http://schemas.openxmlformats.org/officeDocument/2006/relationships/image" Target="media/rId38.png"/><Relationship Id="rId30" Type="http://schemas.openxmlformats.org/officeDocument/2006/relationships/image" Target="media/rId30.png"/><Relationship Id="rId62" Type="http://schemas.openxmlformats.org/officeDocument/2006/relationships/hyperlink" Target="https://hemingwayapp.com/" TargetMode="External"/><Relationship Id="rId22" Type="http://schemas.openxmlformats.org/officeDocument/2006/relationships/hyperlink" Target="https://usucourses.instructure.com/courses/2879/files/1235525?verifier=mEh4U9PW1bF7Xh9xL5OU1oqpXNuwirkq8PvJE7eg&amp;wrap=1" TargetMode="External"/><Relationship Id="rId1" Type="http://schemas.openxmlformats.org/officeDocument/2006/relationships/hyperlink" Target="https://usucourses.instructure.com/courses/2879/pages/readability" TargetMode="External"/></Relationships>
</file>

<file path=word/_rels/footnotes.xml.rels><?xml version='1.0' encoding='UTF-8' standalone='yes'?>
<Relationships xmlns="http://schemas.openxmlformats.org/package/2006/relationships"><Relationship Id="rId62" Type="http://schemas.openxmlformats.org/officeDocument/2006/relationships/hyperlink" Target="https://hemingwayapp.com/" TargetMode="External"/><Relationship Id="rId22" Type="http://schemas.openxmlformats.org/officeDocument/2006/relationships/hyperlink" Target="https://usucourses.instructure.com/courses/2879/files/1235525?verifier=mEh4U9PW1bF7Xh9xL5OU1oqpXNuwirkq8PvJE7eg&amp;wrap=1"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20</TotalTime>
  <Pages>1</Pages>
  <Words>1294</Words>
  <Characters>6343</Characters>
  <Application>Microsoft Office Word</Application>
  <DocSecurity>0</DocSecurity>
  <Lines>211</Lines>
  <Paragraphs>115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7522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2025-12-15T20:04:40Z</dcterms:created>
  <dcterms:modified xsi:type="dcterms:W3CDTF">2025-12-15T20:04:40Z</dcterms:modified>
</cp:coreProperties>
</file>

<file path=docProps/custom.xml><?xml version="1.0" encoding="utf-8"?>
<Properties xmlns="http://schemas.openxmlformats.org/officeDocument/2006/custom-properties" xmlns:vt="http://schemas.openxmlformats.org/officeDocument/2006/docPropsVTypes"/>
</file>