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 xml:space="preserve">Van der Waals packing facilitates membrane protein </w:t>
      </w:r>
      <w:proofErr w:type="gramStart"/>
      <w:r>
        <w:rPr>
          <w:rFonts w:asciiTheme="minorHAnsi" w:hAnsiTheme="minorHAnsi" w:cstheme="minorHAnsi"/>
          <w:b/>
          <w:bCs/>
          <w:sz w:val="22"/>
          <w:szCs w:val="22"/>
        </w:rPr>
        <w:t>association</w:t>
      </w:r>
      <w:proofErr w:type="gramEnd"/>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3F332427" w14:textId="4320BCD5"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w:t>
      </w:r>
      <w:r w:rsidR="002B63C6">
        <w:rPr>
          <w:rFonts w:asciiTheme="minorHAnsi" w:hAnsiTheme="minorHAnsi" w:cstheme="minorHAnsi"/>
          <w:sz w:val="22"/>
          <w:szCs w:val="22"/>
        </w:rPr>
        <w:t>TBD</w:t>
      </w:r>
    </w:p>
    <w:p w14:paraId="78FF3649" w14:textId="7B36C455" w:rsidR="00682A1D" w:rsidRDefault="0080361C" w:rsidP="002B63C6">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2ECF5CEE" w14:textId="77777777" w:rsidR="002B63C6" w:rsidRPr="002B63C6" w:rsidRDefault="002B63C6" w:rsidP="002B63C6">
      <w:pPr>
        <w:pStyle w:val="Standard"/>
        <w:rPr>
          <w:rFonts w:asciiTheme="minorHAnsi" w:hAnsiTheme="minorHAnsi" w:cstheme="minorHAnsi"/>
          <w:b/>
          <w:bCs/>
          <w:sz w:val="22"/>
          <w:szCs w:val="22"/>
        </w:rPr>
      </w:pPr>
    </w:p>
    <w:p w14:paraId="71D2916B" w14:textId="08F79B12" w:rsidR="00682A1D" w:rsidRDefault="002B63C6">
      <w:pPr>
        <w:pStyle w:val="Standard"/>
        <w:rPr>
          <w:rFonts w:asciiTheme="minorHAnsi" w:hAnsiTheme="minorHAnsi" w:cstheme="minorHAnsi"/>
          <w:sz w:val="22"/>
          <w:szCs w:val="22"/>
        </w:rPr>
      </w:pPr>
      <w:r>
        <w:rPr>
          <w:noProof/>
        </w:rPr>
        <w:drawing>
          <wp:inline distT="0" distB="0" distL="0" distR="0" wp14:anchorId="4DD8AC77" wp14:editId="0BDDFD12">
            <wp:extent cx="6858000" cy="1261110"/>
            <wp:effectExtent l="0" t="0" r="0" b="0"/>
            <wp:docPr id="214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261110"/>
                    </a:xfrm>
                    <a:prstGeom prst="rect">
                      <a:avLst/>
                    </a:prstGeom>
                    <a:noFill/>
                    <a:ln>
                      <a:noFill/>
                    </a:ln>
                  </pic:spPr>
                </pic:pic>
              </a:graphicData>
            </a:graphic>
          </wp:inline>
        </w:drawing>
      </w:r>
    </w:p>
    <w:p w14:paraId="2A481471" w14:textId="077563C5" w:rsidR="002B63C6" w:rsidRDefault="002B63C6" w:rsidP="002B63C6">
      <w:pPr>
        <w:pStyle w:val="Standard"/>
        <w:numPr>
          <w:ilvl w:val="0"/>
          <w:numId w:val="11"/>
        </w:numPr>
        <w:rPr>
          <w:rFonts w:asciiTheme="minorHAnsi" w:hAnsiTheme="minorHAnsi" w:cstheme="minorHAnsi"/>
          <w:sz w:val="22"/>
          <w:szCs w:val="22"/>
        </w:rPr>
      </w:pPr>
      <w:r>
        <w:rPr>
          <w:rFonts w:asciiTheme="minorHAnsi" w:hAnsiTheme="minorHAnsi" w:cstheme="minorHAnsi"/>
          <w:sz w:val="22"/>
          <w:szCs w:val="22"/>
        </w:rPr>
        <w:t xml:space="preserve">Might need to find a way to combine 3 and 4 so I can add in fluorescence data as </w:t>
      </w:r>
      <w:proofErr w:type="gramStart"/>
      <w:r>
        <w:rPr>
          <w:rFonts w:asciiTheme="minorHAnsi" w:hAnsiTheme="minorHAnsi" w:cstheme="minorHAnsi"/>
          <w:sz w:val="22"/>
          <w:szCs w:val="22"/>
        </w:rPr>
        <w:t>well</w:t>
      </w:r>
      <w:proofErr w:type="gramEnd"/>
    </w:p>
    <w:p w14:paraId="085BA42D" w14:textId="734D4018" w:rsidR="00B3487B" w:rsidRPr="0093511B"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69AF6FA4" w14:textId="77777777"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Membrane proteins comprise 25-30% of the proteins found within protein-coding genes of various organisms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&lt;EndNote&gt;&lt;Cite&gt;&lt;Author&gt;Fagerberg&lt;/Author&gt;&lt;Year&gt;2010&lt;/Year&gt;&lt;IDText&gt;Prediction of the human membrane proteome&lt;/IDText&gt;&lt;DisplayText&gt;(Fagerberg et al., 2010)&lt;/DisplayText&gt;&lt;record&gt;&lt;dates&gt;&lt;pub-dates&gt;&lt;date&gt;Mar&lt;/date&gt;&lt;/pub-dates&gt;&lt;year&gt;2010&lt;/year&gt;&lt;/dates&gt;&lt;keywords&gt;&lt;keyword&gt;Algorithms&lt;/keyword&gt;&lt;keyword&gt;Computational Biology&lt;/keyword&gt;&lt;keyword&gt;Databases, Protein&lt;/keyword&gt;&lt;keyword&gt;Genome, Human&lt;/keyword&gt;&lt;keyword&gt;Humans&lt;/keyword&gt;&lt;keyword&gt;Membrane Proteins&lt;/keyword&gt;&lt;keyword&gt;Protein Structure, Secondary&lt;/keyword&gt;&lt;keyword&gt;Protein Structure, Tertiary&lt;/keyword&gt;&lt;keyword&gt;Proteome&lt;/keyword&gt;&lt;/keywords&gt;&lt;urls&gt;&lt;related-urls&gt;&lt;url&gt;https://www.ncbi.nlm.nih.gov/pubmed/20175080&lt;/url&gt;&lt;/related-urls&gt;&lt;/urls&gt;&lt;isbn&gt;1615-9861&lt;/isbn&gt;&lt;titles&gt;&lt;title&gt;Prediction of the human membrane proteome&lt;/title&gt;&lt;secondary-title&gt;Proteomics&lt;/secondary-title&gt;&lt;/titles&gt;&lt;pages&gt;1141-9&lt;/pages&gt;&lt;number&gt;6&lt;/number&gt;&lt;contributors&gt;&lt;authors&gt;&lt;author&gt;Fagerberg, L.&lt;/author&gt;&lt;author&gt;Jonasson, K.&lt;/author&gt;&lt;author&gt;von Heijne, G.&lt;/author&gt;&lt;author&gt;Uhlén, M.&lt;/author&gt;&lt;author&gt;Berglund, L.&lt;/author&gt;&lt;/authors&gt;&lt;/contributors&gt;&lt;language&gt;eng&lt;/language&gt;&lt;added-date format="utc"&gt;1705533759&lt;/added-date&gt;&lt;ref-type name="Journal Article"&gt;17&lt;/ref-type&gt;&lt;auth-address&gt;School of Biotechnology, AlbaNova University Center, Royal Institute of Technology (KTH), Stockholm, Sweden.&lt;/auth-address&gt;&lt;rec-number&gt;25&lt;/rec-number&gt;&lt;last-updated-date format="utc"&gt;1705533759&lt;/last-updated-date&gt;&lt;accession-num&gt;20175080&lt;/accession-num&gt;&lt;electronic-resource-num&gt;10.1002/pmic.200900258&lt;/electronic-resource-num&gt;&lt;volume&gt;10&lt;/volume&gt;&lt;/record&gt;&lt;/Cite&gt;&lt;/EndNote&gt;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(Fagerberg et al., 2010)</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Proper membrane protein folding is critical for essential biological functions, including cell signaling, ion balance, and gene regulation. Misfolding of membrane proteins has been found to be involved in several human diseases such as Parkinson’s, cystic fibrosis, and cancer </w: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(Gregersen et al., 2006; Sanders &amp; Myers, 2004)</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understand how protein misfolding plays a role in disease states and progression, it is necessary to investigate how these proteins fold. However, studying membrane protein folding is inherently a difficult challenge because of their hydrophobic nature. Membrane proteins are difficult to express in yields high enough for biophysical experiments, and purification and solubilization of these proteins often lead to aggregation or unfolding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format="utc"&gt;1705697077&lt;/last-updated-date&gt;&lt;accession-num&gt;18674618&lt;/accession-num&gt;&lt;electronic-resource-num&gt;10.1016/j.sbi.2008.07.001&lt;/electronic-resource-num&gt;&lt;volume&gt;18&lt;/volume&gt;&lt;/record&gt;&lt;/Cite&gt;&lt;/EndNote&gt;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(Carpenter et al., 2008)</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combat these challenges, much of the research studying membrane protein folding is focused on understanding the biophysical forces that govern the folding process. Investigation of the biophysical forces that govern protein folding will allow us to determine why specific mutations result in diseases caused by misfolding. In addition, this knowledge can be applied to design new therapeutics that specifically target proteins in these misfolded states. Understanding the forces that enable membrane proteins to fold will contribute to our knowledge of how these fundamental forces are involved in human health and disease. </w:t>
      </w:r>
    </w:p>
    <w:p w14:paraId="5C2C1A23" w14:textId="77777777" w:rsidR="00B3487B" w:rsidRDefault="00B3487B" w:rsidP="00B3487B">
      <w:pPr>
        <w:pStyle w:val="Standard"/>
        <w:jc w:val="both"/>
        <w:rPr>
          <w:rFonts w:asciiTheme="minorHAnsi" w:hAnsiTheme="minorHAnsi" w:cstheme="minorHAnsi"/>
          <w:sz w:val="22"/>
          <w:szCs w:val="22"/>
        </w:rPr>
      </w:pPr>
    </w:p>
    <w:p w14:paraId="76EB9AAA" w14:textId="61943D68"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Proper membrane protein folding is regulated by a distribution of stabilizing hydrogen bonds, weak polar interactions, and van der Waals forces between the unfolded and folded states., but research is lacking on the contribution of van der Waals packing. This force is particularly important due to the nature of van der Waals interactions: Even if hydrogen bonding or polar interactions play a significant stabilizing </w:t>
      </w:r>
      <w:proofErr w:type="gramStart"/>
      <w:r w:rsidRPr="00B3487B">
        <w:rPr>
          <w:rFonts w:asciiTheme="minorHAnsi" w:hAnsiTheme="minorHAnsi" w:cstheme="minorHAnsi"/>
          <w:sz w:val="22"/>
          <w:szCs w:val="22"/>
        </w:rPr>
        <w:t>role, because</w:t>
      </w:r>
      <w:proofErr w:type="gramEnd"/>
      <w:r w:rsidRPr="00B3487B">
        <w:rPr>
          <w:rFonts w:asciiTheme="minorHAnsi" w:hAnsiTheme="minorHAnsi" w:cstheme="minorHAnsi"/>
          <w:sz w:val="22"/>
          <w:szCs w:val="22"/>
        </w:rPr>
        <w:t xml:space="preserve"> van der Waals occurs between any nonbonded atoms in close contact, it is a necessary force that is always present within the folded state. This means that van der Waals packing is essential for folding, but the extent </w:t>
      </w:r>
      <w:proofErr w:type="gramStart"/>
      <w:r w:rsidRPr="00B3487B">
        <w:rPr>
          <w:rFonts w:asciiTheme="minorHAnsi" w:hAnsiTheme="minorHAnsi" w:cstheme="minorHAnsi"/>
          <w:sz w:val="22"/>
          <w:szCs w:val="22"/>
        </w:rPr>
        <w:t>at</w:t>
      </w:r>
      <w:proofErr w:type="gramEnd"/>
      <w:r w:rsidRPr="00B3487B">
        <w:rPr>
          <w:rFonts w:asciiTheme="minorHAnsi" w:hAnsiTheme="minorHAnsi" w:cstheme="minorHAnsi"/>
          <w:sz w:val="22"/>
          <w:szCs w:val="22"/>
        </w:rPr>
        <w:t xml:space="preserve"> which packing can be a driving force for membrane protein folding is unclear. Without understanding the extent at which van der Waals packing contributes to folding, we cannot complete our understanding of how these other forces contribute to membrane protein association and folding. </w:t>
      </w:r>
    </w:p>
    <w:p w14:paraId="6356D38B" w14:textId="77777777" w:rsidR="00B3487B" w:rsidRDefault="00B3487B" w:rsidP="00B3487B">
      <w:pPr>
        <w:pStyle w:val="Standard"/>
        <w:jc w:val="both"/>
        <w:rPr>
          <w:rFonts w:asciiTheme="minorHAnsi" w:hAnsiTheme="minorHAnsi" w:cstheme="minorHAnsi"/>
          <w:sz w:val="22"/>
          <w:szCs w:val="22"/>
        </w:rPr>
      </w:pPr>
    </w:p>
    <w:p w14:paraId="655ABA99" w14:textId="41C05DDF" w:rsidR="00DC521D" w:rsidRDefault="00B3487B" w:rsidP="002B63C6">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The contribution of van der Waals packing to membrane protein folding can be broken down into three distinct interactions: lipid-lipid packing, lipid-protein packing, and protein-protein packing. </w:t>
      </w:r>
      <w:proofErr w:type="gramStart"/>
      <w:r w:rsidRPr="00B3487B">
        <w:rPr>
          <w:rFonts w:asciiTheme="minorHAnsi" w:hAnsiTheme="minorHAnsi" w:cstheme="minorHAnsi"/>
          <w:sz w:val="22"/>
          <w:szCs w:val="22"/>
        </w:rPr>
        <w:t>Protein-protein (or sidechain) packing,</w:t>
      </w:r>
      <w:proofErr w:type="gramEnd"/>
      <w:r w:rsidRPr="00B3487B">
        <w:rPr>
          <w:rFonts w:asciiTheme="minorHAnsi" w:hAnsiTheme="minorHAnsi" w:cstheme="minorHAnsi"/>
          <w:sz w:val="22"/>
          <w:szCs w:val="22"/>
        </w:rPr>
        <w:t xml:space="preserve"> is a technically feasible starting point because of the ability to manipulate sequences and determine changes in stability due to mutation. Previous research has demonstrated that disruption of packing within the core of bacteriorhodopsin destabilizes protein structure </w: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(Faham et al., 2004; Joh et al., 2009)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In addition, a recent study using membrane protein design has shown that optimized sidechain packing can stabilize the folded state of </w:t>
      </w:r>
      <w:proofErr w:type="spellStart"/>
      <w:r w:rsidRPr="00B3487B">
        <w:rPr>
          <w:rFonts w:asciiTheme="minorHAnsi" w:hAnsiTheme="minorHAnsi" w:cstheme="minorHAnsi"/>
          <w:sz w:val="22"/>
          <w:szCs w:val="22"/>
        </w:rPr>
        <w:t>phospholamban</w:t>
      </w:r>
      <w:proofErr w:type="spellEnd"/>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(Mravic et al., 2019)</w:t>
      </w:r>
      <w:r>
        <w:rPr>
          <w:rFonts w:asciiTheme="minorHAnsi" w:hAnsiTheme="minorHAnsi" w:cstheme="minorHAnsi"/>
          <w:sz w:val="22"/>
          <w:szCs w:val="22"/>
        </w:rPr>
        <w:fldChar w:fldCharType="end"/>
      </w:r>
      <w:r w:rsidRPr="00B3487B">
        <w:rPr>
          <w:rFonts w:asciiTheme="minorHAnsi" w:hAnsiTheme="minorHAnsi" w:cstheme="minorHAnsi"/>
          <w:sz w:val="22"/>
          <w:szCs w:val="22"/>
        </w:rPr>
        <w:t>. Although it is known that sidechain packing plays a role in stabilizing membrane protein structure in these individual systems, the energetic contribution of sidechain packing to the folded state of membrane proteins more generally has not yet been determined</w:t>
      </w:r>
      <w:r w:rsidR="004232C8">
        <w:rPr>
          <w:rFonts w:asciiTheme="minorHAnsi" w:hAnsiTheme="minorHAnsi" w:cstheme="minorHAnsi"/>
          <w:sz w:val="22"/>
          <w:szCs w:val="22"/>
        </w:rPr>
        <w:t xml:space="preserve"> </w:t>
      </w:r>
      <w:r w:rsidR="004232C8">
        <w:rPr>
          <w:rFonts w:asciiTheme="minorHAnsi" w:hAnsiTheme="minorHAnsi" w:cstheme="minorHAnsi"/>
          <w:sz w:val="22"/>
          <w:szCs w:val="22"/>
        </w:rPr>
        <w:fldChar w:fldCharType="begin"/>
      </w:r>
      <w:r w:rsidR="004232C8">
        <w:rPr>
          <w:rFonts w:asciiTheme="minorHAnsi" w:hAnsiTheme="minorHAnsi" w:cstheme="minorHAnsi"/>
          <w:sz w:val="22"/>
          <w:szCs w:val="22"/>
        </w:rPr>
        <w:instrText xml:space="preserve"> ADDIN EN.CITE &lt;EndNote&gt;&lt;Cite&gt;&lt;Author&gt;Hong&lt;/Author&gt;&lt;Year&gt;2014&lt;/Year&gt;&lt;IDText&gt;Toward understanding driving forces in membrane protein folding&lt;/IDText&gt;&lt;DisplayText&gt;(Hong, 2014)&lt;/DisplayText&gt;&lt;record&gt;&lt;dates&gt;&lt;pub-dates&gt;&lt;date&gt;Dec 15&lt;/date&gt;&lt;/pub-dates&gt;&lt;year&gt;2014&lt;/year&gt;&lt;/dates&gt;&lt;keywords&gt;&lt;keyword&gt;Cell Membrane&lt;/keyword&gt;&lt;keyword&gt;Lipid Bilayers&lt;/keyword&gt;&lt;keyword&gt;Membrane Proteins&lt;/keyword&gt;&lt;keyword&gt;Protein Folding&lt;/keyword&gt;&lt;keyword&gt;Aromatic–aromatic interaction&lt;/keyword&gt;&lt;keyword&gt;Cation–π interaction&lt;/keyword&gt;&lt;keyword&gt;Hydrogen bonding&lt;/keyword&gt;&lt;keyword&gt;Membrane protein folding&lt;/keyword&gt;&lt;keyword&gt;Membrane protein stability&lt;/keyword&gt;&lt;keyword&gt;Packing interaction&lt;/keyword&gt;&lt;keyword&gt;Salt–bridge&lt;/keyword&gt;&lt;/keywords&gt;&lt;urls&gt;&lt;related-urls&gt;&lt;url&gt;https://www.ncbi.nlm.nih.gov/pubmed/25107533&lt;/url&gt;&lt;/related-urls&gt;&lt;/urls&gt;&lt;isbn&gt;1096-0384&lt;/isbn&gt;&lt;titles&gt;&lt;title&gt;Toward understanding driving forces in membrane protein folding&lt;/title&gt;&lt;secondary-title&gt;Arch Biochem Biophys&lt;/secondary-title&gt;&lt;/titles&gt;&lt;pages&gt;297-313&lt;/pages&gt;&lt;contributors&gt;&lt;authors&gt;&lt;author&gt;Hong, H.&lt;/author&gt;&lt;/authors&gt;&lt;/contributors&gt;&lt;edition&gt;20140806&lt;/edition&gt;&lt;language&gt;eng&lt;/language&gt;&lt;added-date format="utc"&gt;1705697758&lt;/added-date&gt;&lt;ref-type name="Journal Article"&gt;17&lt;/ref-type&gt;&lt;auth-address&gt;Department of Chemistry and Department of Biochemistry &amp;amp; Molecular Biology, Michigan State University, East Lansing, MI 48824, USA. Electronic address: honghd@msu.edu.&lt;/auth-address&gt;&lt;rec-number&gt;38&lt;/rec-number&gt;&lt;last-updated-date format="utc"&gt;1705697758&lt;/last-updated-date&gt;&lt;accession-num&gt;25107533&lt;/accession-num&gt;&lt;electronic-resource-num&gt;10.1016/j.abb.2014.07.031&lt;/electronic-resource-num&gt;&lt;volume&gt;564&lt;/volume&gt;&lt;/record&gt;&lt;/Cite&gt;&lt;/EndNote&gt;</w:instrText>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(Hong, 2014)</w:t>
      </w:r>
      <w:r w:rsidR="004232C8">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4232C8">
        <w:rPr>
          <w:rFonts w:asciiTheme="minorHAnsi" w:hAnsiTheme="minorHAnsi" w:cstheme="minorHAnsi"/>
          <w:sz w:val="22"/>
          <w:szCs w:val="22"/>
        </w:rPr>
        <w:t xml:space="preserve">In this study, we use homodimerization as a simple and tractable model system to characterize the extent at which </w:t>
      </w:r>
      <w:r w:rsidRPr="00B3487B">
        <w:rPr>
          <w:rFonts w:asciiTheme="minorHAnsi" w:hAnsiTheme="minorHAnsi" w:cstheme="minorHAnsi"/>
          <w:sz w:val="22"/>
          <w:szCs w:val="22"/>
        </w:rPr>
        <w:t xml:space="preserve">sidechain packing is a driving force for membrane protein association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&lt;EndNote&gt;&lt;Cite&gt;&lt;Author&gt;Popot&lt;/Author&gt;&lt;Year&gt;1990&lt;/Year&gt;&lt;IDText&gt;Membrane protein folding and oligomerization: the two-stage model&lt;/IDText&gt;&lt;DisplayText&gt;(Popot &amp;amp; Engelman, 1990)&lt;/DisplayText&gt;&lt;record&gt;&lt;dates&gt;&lt;pub-dates&gt;&lt;date&gt;May 01&lt;/date&gt;&lt;/pub-dates&gt;&lt;year&gt;1990&lt;/year&gt;&lt;/dates&gt;&lt;keywords&gt;&lt;keyword&gt;Bacteriorhodopsins&lt;/keyword&gt;&lt;keyword&gt;Ion Channels&lt;/keyword&gt;&lt;keyword&gt;Lipid Bilayers&lt;/keyword&gt;&lt;keyword&gt;Membrane Proteins&lt;/keyword&gt;&lt;keyword&gt;Models, Chemical&lt;/keyword&gt;&lt;keyword&gt;Protein Conformation&lt;/keyword&gt;&lt;keyword&gt;Solubility&lt;/keyword&gt;&lt;/keywords&gt;&lt;urls&gt;&lt;related-urls&gt;&lt;url&gt;https://www.ncbi.nlm.nih.gov/pubmed/1694455&lt;/url&gt;&lt;/related-urls&gt;&lt;/urls&gt;&lt;isbn&gt;0006-2960&lt;/isbn&gt;&lt;titles&gt;&lt;title&gt;Membrane protein folding and oligomerization: the two-stage model&lt;/title&gt;&lt;secondary-title&gt;Biochemistry&lt;/secondary-title&gt;&lt;/titles&gt;&lt;pages&gt;4031-7&lt;/pages&gt;&lt;number&gt;17&lt;/number&gt;&lt;contributors&gt;&lt;authors&gt;&lt;author&gt;Popot, J. L.&lt;/author&gt;&lt;author&gt;Engelman, D. M.&lt;/author&gt;&lt;/authors&gt;&lt;/contributors&gt;&lt;language&gt;eng&lt;/language&gt;&lt;added-date format="utc"&gt;1705697270&lt;/added-date&gt;&lt;ref-type name="Journal Article"&gt;17&lt;/ref-type&gt;&lt;auth-address&gt;Institut de Biologie Physico-Chimique, Collège de France, Paris, France.&lt;/auth-address&gt;&lt;rec-number&gt;37&lt;/rec-number&gt;&lt;last-updated-date format="utc"&gt;1705697270&lt;/last-updated-date&gt;&lt;accession-num&gt;1694455&lt;/accession-num&gt;&lt;electronic-resource-num&gt;10.1021/bi00469a001&lt;/electronic-resource-num&gt;&lt;volume&gt;29&lt;/volume&gt;&lt;/record&gt;&lt;/Cite&gt;&lt;/EndNote&gt;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(Popot &amp; Engelman, 1990)</w:t>
      </w:r>
      <w:r>
        <w:rPr>
          <w:rFonts w:asciiTheme="minorHAnsi" w:hAnsiTheme="minorHAnsi" w:cstheme="minorHAnsi"/>
          <w:sz w:val="22"/>
          <w:szCs w:val="22"/>
        </w:rPr>
        <w:fldChar w:fldCharType="end"/>
      </w:r>
      <w:r w:rsidRPr="00B3487B">
        <w:rPr>
          <w:rFonts w:asciiTheme="minorHAnsi" w:hAnsiTheme="minorHAnsi" w:cstheme="minorHAnsi"/>
          <w:sz w:val="22"/>
          <w:szCs w:val="22"/>
        </w:rPr>
        <w:t>.</w:t>
      </w:r>
      <w:r w:rsidR="004232C8">
        <w:rPr>
          <w:rFonts w:asciiTheme="minorHAnsi" w:hAnsiTheme="minorHAnsi" w:cstheme="minorHAnsi"/>
          <w:sz w:val="22"/>
          <w:szCs w:val="22"/>
        </w:rPr>
        <w:t xml:space="preserve"> </w:t>
      </w:r>
      <w:r w:rsidR="004232C8" w:rsidRPr="00B3487B">
        <w:rPr>
          <w:rFonts w:asciiTheme="minorHAnsi" w:hAnsiTheme="minorHAnsi" w:cstheme="minorHAnsi"/>
          <w:sz w:val="22"/>
          <w:szCs w:val="22"/>
        </w:rPr>
        <w:t xml:space="preserve">Previous research </w:t>
      </w:r>
      <w:r w:rsidR="004232C8">
        <w:rPr>
          <w:rFonts w:asciiTheme="minorHAnsi" w:hAnsiTheme="minorHAnsi" w:cstheme="minorHAnsi"/>
          <w:sz w:val="22"/>
          <w:szCs w:val="22"/>
        </w:rPr>
        <w:t xml:space="preserve">using this model system </w:t>
      </w:r>
      <w:r w:rsidR="004232C8" w:rsidRPr="00B3487B">
        <w:rPr>
          <w:rFonts w:asciiTheme="minorHAnsi" w:hAnsiTheme="minorHAnsi" w:cstheme="minorHAnsi"/>
          <w:sz w:val="22"/>
          <w:szCs w:val="22"/>
        </w:rPr>
        <w:t xml:space="preserve">has measured the contributions of both hydrogen bonding and weak polar interactions in the membrane and determined that these forces can drive membrane protein folding </w: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 </w:instrTex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EN.CITE.DATA </w:instrText>
      </w:r>
      <w:r w:rsidR="004232C8">
        <w:rPr>
          <w:rFonts w:asciiTheme="minorHAnsi" w:hAnsiTheme="minorHAnsi" w:cstheme="minorHAnsi"/>
          <w:sz w:val="22"/>
          <w:szCs w:val="22"/>
        </w:rPr>
      </w:r>
      <w:r w:rsidR="004232C8">
        <w:rPr>
          <w:rFonts w:asciiTheme="minorHAnsi" w:hAnsiTheme="minorHAnsi" w:cstheme="minorHAnsi"/>
          <w:sz w:val="22"/>
          <w:szCs w:val="22"/>
        </w:rPr>
        <w:fldChar w:fldCharType="end"/>
      </w:r>
      <w:r w:rsidR="004232C8">
        <w:rPr>
          <w:rFonts w:asciiTheme="minorHAnsi" w:hAnsiTheme="minorHAnsi" w:cstheme="minorHAnsi"/>
          <w:sz w:val="22"/>
          <w:szCs w:val="22"/>
        </w:rPr>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(Johnson et al., 2007; Yano et al., 2002; Zhou et al., 2001)</w:t>
      </w:r>
      <w:r w:rsidR="004232C8">
        <w:rPr>
          <w:rFonts w:asciiTheme="minorHAnsi" w:hAnsiTheme="minorHAnsi" w:cstheme="minorHAnsi"/>
          <w:sz w:val="22"/>
          <w:szCs w:val="22"/>
        </w:rPr>
        <w:fldChar w:fldCharType="end"/>
      </w:r>
      <w:r w:rsidR="00EB5B2D">
        <w:rPr>
          <w:rFonts w:asciiTheme="minorHAnsi" w:hAnsiTheme="minorHAnsi" w:cstheme="minorHAnsi"/>
          <w:sz w:val="22"/>
          <w:szCs w:val="22"/>
        </w:rPr>
        <w:t>. Using a large-scale computational design on common dimeric backbone geometries found within the PDB paired with a complementary high throughput method to measure transmembrane (TM) association, we have determined that sidechain packing is a weak driving force involved in TM association.</w:t>
      </w:r>
    </w:p>
    <w:p w14:paraId="7F3CE8FB" w14:textId="4B368AE2" w:rsidR="00682A1D" w:rsidRPr="004232C8" w:rsidRDefault="006A6841" w:rsidP="00400C76">
      <w:pPr>
        <w:pStyle w:val="Standard"/>
        <w:jc w:val="both"/>
        <w:rPr>
          <w:rFonts w:asciiTheme="minorHAnsi" w:hAnsiTheme="minorHAnsi" w:cstheme="minorHAnsi"/>
          <w:b/>
          <w:bCs/>
          <w:sz w:val="22"/>
          <w:szCs w:val="22"/>
        </w:rPr>
      </w:pPr>
      <w:r w:rsidRPr="004232C8">
        <w:rPr>
          <w:rFonts w:asciiTheme="minorHAnsi" w:hAnsiTheme="minorHAnsi" w:cstheme="minorHAnsi"/>
          <w:b/>
          <w:bCs/>
          <w:sz w:val="22"/>
          <w:szCs w:val="22"/>
        </w:rPr>
        <w:lastRenderedPageBreak/>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7D995BD5" w:rsidR="00682A1D" w:rsidRDefault="00DC521D" w:rsidP="00400C76">
      <w:pPr>
        <w:pStyle w:val="Standard"/>
        <w:jc w:val="both"/>
        <w:rPr>
          <w:rFonts w:asciiTheme="minorHAnsi" w:hAnsiTheme="minorHAnsi" w:cstheme="minorHAnsi"/>
          <w:b/>
          <w:bCs/>
          <w:sz w:val="22"/>
          <w:szCs w:val="22"/>
        </w:rPr>
      </w:pPr>
      <w:r>
        <w:rPr>
          <w:noProof/>
        </w:rPr>
        <w:drawing>
          <wp:anchor distT="0" distB="0" distL="114300" distR="114300" simplePos="0" relativeHeight="251660800" behindDoc="0" locked="0" layoutInCell="1" allowOverlap="1" wp14:anchorId="0D17BB68" wp14:editId="6EDCC1FB">
            <wp:simplePos x="0" y="0"/>
            <wp:positionH relativeFrom="column">
              <wp:posOffset>403860</wp:posOffset>
            </wp:positionH>
            <wp:positionV relativeFrom="paragraph">
              <wp:posOffset>299085</wp:posOffset>
            </wp:positionV>
            <wp:extent cx="5943600" cy="3901440"/>
            <wp:effectExtent l="0" t="0" r="0" b="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3901440"/>
                    </a:xfrm>
                    <a:prstGeom prst="rect">
                      <a:avLst/>
                    </a:prstGeom>
                  </pic:spPr>
                </pic:pic>
              </a:graphicData>
            </a:graphic>
          </wp:anchor>
        </w:drawing>
      </w:r>
      <w:r w:rsidR="0080361C">
        <w:rPr>
          <w:rFonts w:asciiTheme="minorHAnsi" w:hAnsiTheme="minorHAnsi" w:cstheme="minorHAnsi"/>
          <w:b/>
          <w:bCs/>
          <w:sz w:val="22"/>
          <w:szCs w:val="22"/>
        </w:rPr>
        <w:t xml:space="preserve">Figure </w:t>
      </w:r>
      <w:proofErr w:type="spellStart"/>
      <w:r w:rsidR="0080361C">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15DA0242" w14:textId="5F7CF271"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Orientations of Proteins in membranes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w:t>
      </w:r>
      <w:r w:rsidR="00EB5B2D">
        <w:t xml:space="preserve"> kernel</w:t>
      </w:r>
      <w:r>
        <w:t xml:space="preserve"> density</w:t>
      </w:r>
      <w:r w:rsidR="00EB5B2D">
        <w:t xml:space="preserve"> estimation</w:t>
      </w:r>
      <w:r>
        <w:t xml:space="preserve"> of the</w:t>
      </w:r>
      <w:r w:rsidR="00F43261">
        <w:t xml:space="preserve"> membrane protein contact </w:t>
      </w:r>
      <w:r>
        <w:t>space. (b) Design algorithm schematic used to design structures for this study. (c) Geometries and energy score of the designed sequences</w:t>
      </w:r>
      <w:r w:rsidR="00F43261">
        <w:t xml:space="preserve"> overlaid on the membrane protein contact space.</w:t>
      </w:r>
    </w:p>
    <w:p w14:paraId="7060B4D9" w14:textId="372CD1C0" w:rsidR="00342FB0" w:rsidRDefault="00EB5B2D"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We began by analyzing membrane protein structures found in the PDB. To do so, we extracted all membrane protein structures solved through x-ray crystallography and cryo-EM found in the Orientations of Proteins in Membranes (OPM) database in September 2019. Each of these structures was input into the molecular software library (MSL) and any two helices in close contact were extracted as a helical pair (</w:t>
      </w:r>
      <w:r w:rsidRPr="0053113A">
        <w:rPr>
          <w:rFonts w:asciiTheme="minorHAnsi" w:hAnsiTheme="minorHAnsi" w:cstheme="minorHAnsi"/>
          <w:sz w:val="22"/>
          <w:szCs w:val="22"/>
        </w:rPr>
        <w:t>Methods</w:t>
      </w:r>
      <w:r>
        <w:rPr>
          <w:rFonts w:asciiTheme="minorHAnsi" w:hAnsiTheme="minorHAnsi" w:cstheme="minorHAnsi"/>
          <w:sz w:val="22"/>
          <w:szCs w:val="22"/>
        </w:rPr>
        <w:t xml:space="preserve">)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format="utc"&gt;1705532904&lt;/last-updated-date&gt;&lt;accession-num&gt;22565567&lt;/accession-num&gt;&lt;electronic-resource-num&gt;10.1002/jcc.22968&lt;/electronic-resource-num&gt;&lt;volume&gt;33&lt;/volume&gt;&lt;/record&gt;&lt;/Cite&gt;&lt;/EndNote&gt;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(Kulp et al., 2012)</w:t>
      </w:r>
      <w:r>
        <w:rPr>
          <w:rFonts w:asciiTheme="minorHAnsi" w:hAnsiTheme="minorHAnsi" w:cstheme="minorHAnsi"/>
          <w:sz w:val="22"/>
          <w:szCs w:val="22"/>
        </w:rPr>
        <w:fldChar w:fldCharType="end"/>
      </w:r>
      <w:r>
        <w:rPr>
          <w:rFonts w:asciiTheme="minorHAnsi" w:hAnsiTheme="minorHAnsi" w:cstheme="minorHAnsi"/>
          <w:sz w:val="22"/>
          <w:szCs w:val="22"/>
        </w:rPr>
        <w:t>. The geometric parameters for each of these pairs were extracted and plotted as a scatterplot that was used to determine the density distribution in geometric space between two parameters: distance and crossing angle (</w:t>
      </w:r>
      <w:r w:rsidRPr="0085366E">
        <w:rPr>
          <w:rFonts w:asciiTheme="minorHAnsi" w:hAnsiTheme="minorHAnsi" w:cstheme="minorHAnsi"/>
          <w:b/>
          <w:bCs/>
          <w:sz w:val="22"/>
          <w:szCs w:val="22"/>
        </w:rPr>
        <w:t xml:space="preserve">Figure </w:t>
      </w:r>
      <w:proofErr w:type="spellStart"/>
      <w:r w:rsidRPr="0085366E">
        <w:rPr>
          <w:rFonts w:asciiTheme="minorHAnsi" w:hAnsiTheme="minorHAnsi" w:cstheme="minorHAnsi"/>
          <w:b/>
          <w:bCs/>
          <w:sz w:val="22"/>
          <w:szCs w:val="22"/>
        </w:rPr>
        <w:t>MP_design</w:t>
      </w:r>
      <w:proofErr w:type="spellEnd"/>
      <w:r w:rsidRPr="0085366E">
        <w:rPr>
          <w:rFonts w:asciiTheme="minorHAnsi" w:hAnsiTheme="minorHAnsi" w:cstheme="minorHAnsi"/>
          <w:b/>
          <w:bCs/>
          <w:sz w:val="22"/>
          <w:szCs w:val="22"/>
        </w:rPr>
        <w:t xml:space="preserve"> A</w:t>
      </w:r>
      <w:r>
        <w:rPr>
          <w:rFonts w:asciiTheme="minorHAnsi" w:hAnsiTheme="minorHAnsi" w:cstheme="minorHAnsi"/>
          <w:sz w:val="22"/>
          <w:szCs w:val="22"/>
        </w:rPr>
        <w:t>).</w:t>
      </w:r>
      <w:r w:rsidR="00342FB0">
        <w:rPr>
          <w:rFonts w:asciiTheme="minorHAnsi" w:hAnsiTheme="minorHAnsi" w:cstheme="minorHAnsi"/>
          <w:sz w:val="22"/>
          <w:szCs w:val="22"/>
        </w:rPr>
        <w:t xml:space="preserve"> W</w:t>
      </w:r>
      <w:r>
        <w:rPr>
          <w:rFonts w:asciiTheme="minorHAnsi" w:hAnsiTheme="minorHAnsi" w:cstheme="minorHAnsi"/>
          <w:sz w:val="22"/>
          <w:szCs w:val="22"/>
        </w:rPr>
        <w:t>e found three</w:t>
      </w:r>
      <w:r w:rsidR="00342FB0">
        <w:rPr>
          <w:rFonts w:asciiTheme="minorHAnsi" w:hAnsiTheme="minorHAnsi" w:cstheme="minorHAnsi"/>
          <w:sz w:val="22"/>
          <w:szCs w:val="22"/>
        </w:rPr>
        <w:t xml:space="preserve"> separate</w:t>
      </w:r>
      <w:r>
        <w:rPr>
          <w:rFonts w:asciiTheme="minorHAnsi" w:hAnsiTheme="minorHAnsi" w:cstheme="minorHAnsi"/>
          <w:sz w:val="22"/>
          <w:szCs w:val="22"/>
        </w:rPr>
        <w:t xml:space="preserve"> </w:t>
      </w:r>
      <w:r w:rsidR="00342FB0">
        <w:rPr>
          <w:rFonts w:asciiTheme="minorHAnsi" w:hAnsiTheme="minorHAnsi" w:cstheme="minorHAnsi"/>
          <w:sz w:val="22"/>
          <w:szCs w:val="22"/>
        </w:rPr>
        <w:t>high-density</w:t>
      </w:r>
      <w:r>
        <w:rPr>
          <w:rFonts w:asciiTheme="minorHAnsi" w:hAnsiTheme="minorHAnsi" w:cstheme="minorHAnsi"/>
          <w:sz w:val="22"/>
          <w:szCs w:val="22"/>
        </w:rPr>
        <w:t xml:space="preserve"> regions</w:t>
      </w:r>
      <w:r w:rsidR="00342FB0">
        <w:rPr>
          <w:rFonts w:asciiTheme="minorHAnsi" w:hAnsiTheme="minorHAnsi" w:cstheme="minorHAnsi"/>
          <w:sz w:val="22"/>
          <w:szCs w:val="22"/>
        </w:rPr>
        <w:t xml:space="preserve"> </w:t>
      </w:r>
      <w:r w:rsidR="00726A91">
        <w:rPr>
          <w:rFonts w:asciiTheme="minorHAnsi" w:hAnsiTheme="minorHAnsi" w:cstheme="minorHAnsi"/>
          <w:sz w:val="22"/>
          <w:szCs w:val="22"/>
        </w:rPr>
        <w:t>most shared</w:t>
      </w:r>
      <w:r w:rsidR="00342FB0">
        <w:rPr>
          <w:rFonts w:asciiTheme="minorHAnsi" w:hAnsiTheme="minorHAnsi" w:cstheme="minorHAnsi"/>
          <w:sz w:val="22"/>
          <w:szCs w:val="22"/>
        </w:rPr>
        <w:t xml:space="preserve"> between these helical pairs from membrane protein structures. </w:t>
      </w:r>
      <w:r>
        <w:rPr>
          <w:rFonts w:asciiTheme="minorHAnsi" w:hAnsiTheme="minorHAnsi" w:cstheme="minorHAnsi"/>
          <w:sz w:val="22"/>
          <w:szCs w:val="22"/>
        </w:rPr>
        <w:t xml:space="preserve"> Each of </w:t>
      </w:r>
      <w:r w:rsidR="00342FB0">
        <w:rPr>
          <w:rFonts w:asciiTheme="minorHAnsi" w:hAnsiTheme="minorHAnsi" w:cstheme="minorHAnsi"/>
          <w:sz w:val="22"/>
          <w:szCs w:val="22"/>
        </w:rPr>
        <w:t>these geometric regions were used as inputs for computational design, with the expectation that these common regions would be most amenable for protein design.</w:t>
      </w:r>
    </w:p>
    <w:p w14:paraId="0DBDC2F7" w14:textId="0AF8E307" w:rsidR="00342FB0" w:rsidRDefault="00BD054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positions along a polyleucine transmembrane helix influences its ability to dimerize </w:t>
      </w:r>
      <w:r w:rsidR="00FE01AC">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 Zhou et al., 2001)</w:t>
      </w:r>
      <w:r w:rsidR="00FE01AC">
        <w:rPr>
          <w:rFonts w:asciiTheme="minorHAnsi" w:hAnsiTheme="minorHAnsi" w:cstheme="minorHAnsi"/>
          <w:sz w:val="22"/>
          <w:szCs w:val="22"/>
        </w:rPr>
        <w:fldChar w:fldCharType="end"/>
      </w:r>
      <w:r>
        <w:rPr>
          <w:rFonts w:asciiTheme="minorHAnsi" w:hAnsiTheme="minorHAnsi" w:cstheme="minorHAnsi"/>
          <w:sz w:val="22"/>
          <w:szCs w:val="22"/>
        </w:rPr>
        <w:t xml:space="preserve">. This has been implemented successfully in the past to determine the dimerization propensity of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Pr>
          <w:rFonts w:asciiTheme="minorHAnsi" w:hAnsiTheme="minorHAnsi" w:cstheme="minorHAnsi"/>
          <w:sz w:val="22"/>
          <w:szCs w:val="22"/>
        </w:rPr>
        <w:t xml:space="preserve">, but not for the left and right design regions.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GASrights</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 allowed to alternate for design</w:t>
      </w:r>
      <w:r w:rsidR="00446D17">
        <w:rPr>
          <w:rFonts w:asciiTheme="minorHAnsi" w:hAnsiTheme="minorHAnsi" w:cstheme="minorHAnsi"/>
          <w:sz w:val="22"/>
          <w:szCs w:val="22"/>
        </w:rPr>
        <w:t xml:space="preserve">. For the </w:t>
      </w:r>
      <w:proofErr w:type="gramStart"/>
      <w:r w:rsidR="00446D17">
        <w:rPr>
          <w:rFonts w:asciiTheme="minorHAnsi" w:hAnsiTheme="minorHAnsi" w:cstheme="minorHAnsi"/>
          <w:sz w:val="22"/>
          <w:szCs w:val="22"/>
        </w:rPr>
        <w:t>right handed</w:t>
      </w:r>
      <w:proofErr w:type="gramEnd"/>
      <w:r w:rsidR="00446D17">
        <w:rPr>
          <w:rFonts w:asciiTheme="minorHAnsi" w:hAnsiTheme="minorHAnsi" w:cstheme="minorHAnsi"/>
          <w:sz w:val="22"/>
          <w:szCs w:val="22"/>
        </w:rPr>
        <w:t xml:space="preserve"> design region</w:t>
      </w:r>
      <w:r>
        <w:rPr>
          <w:rFonts w:asciiTheme="minorHAnsi" w:hAnsiTheme="minorHAnsi" w:cstheme="minorHAnsi"/>
          <w:sz w:val="22"/>
          <w:szCs w:val="22"/>
        </w:rPr>
        <w:t>, we used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GASrights</w:t>
      </w:r>
      <w:proofErr w:type="spellEnd"/>
      <w:r>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Pr>
          <w:rFonts w:asciiTheme="minorHAnsi" w:hAnsiTheme="minorHAnsi" w:cstheme="minorHAnsi"/>
          <w:sz w:val="22"/>
          <w:szCs w:val="22"/>
        </w:rPr>
        <w:t xml:space="preserve"> design.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sidR="006E72D9">
        <w:rPr>
          <w:rFonts w:asciiTheme="minorHAnsi" w:hAnsiTheme="minorHAnsi" w:cstheme="minorHAnsi"/>
          <w:sz w:val="22"/>
          <w:szCs w:val="22"/>
        </w:rPr>
        <w:t>W</w:t>
      </w:r>
      <w:r>
        <w:rPr>
          <w:rFonts w:asciiTheme="minorHAnsi" w:hAnsiTheme="minorHAnsi" w:cstheme="minorHAnsi"/>
          <w:sz w:val="22"/>
          <w:szCs w:val="22"/>
        </w:rPr>
        <w:t>e randomly generated</w:t>
      </w:r>
      <w:r w:rsidR="006E72D9">
        <w:rPr>
          <w:rFonts w:asciiTheme="minorHAnsi" w:hAnsiTheme="minorHAnsi" w:cstheme="minorHAnsi"/>
          <w:sz w:val="22"/>
          <w:szCs w:val="22"/>
        </w:rPr>
        <w:t xml:space="preserve"> 10000</w:t>
      </w:r>
      <w:r>
        <w:rPr>
          <w:rFonts w:asciiTheme="minorHAnsi" w:hAnsiTheme="minorHAnsi" w:cstheme="minorHAnsi"/>
          <w:sz w:val="22"/>
          <w:szCs w:val="22"/>
        </w:rPr>
        <w:t xml:space="preserve"> geometries as inputs for our design algorithm (Methods). 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 GAS sequences in the other regions</w:t>
      </w:r>
      <w:r>
        <w:rPr>
          <w:rFonts w:asciiTheme="minorHAnsi" w:hAnsiTheme="minorHAnsi" w:cstheme="minorHAnsi"/>
          <w:sz w:val="22"/>
          <w:szCs w:val="22"/>
        </w:rPr>
        <w:t xml:space="preserve">. </w:t>
      </w:r>
    </w:p>
    <w:p w14:paraId="5AADA0A4" w14:textId="4EDA67BD" w:rsidR="00DC521D" w:rsidRDefault="00342FB0" w:rsidP="00A56808">
      <w:pPr>
        <w:pStyle w:val="Standard"/>
        <w:ind w:firstLine="720"/>
        <w:jc w:val="both"/>
        <w:rPr>
          <w:rFonts w:asciiTheme="minorHAnsi" w:hAnsiTheme="minorHAnsi" w:cstheme="minorHAnsi"/>
          <w:sz w:val="22"/>
          <w:szCs w:val="22"/>
        </w:rPr>
      </w:pPr>
      <w:r>
        <w:rPr>
          <w:rFonts w:asciiTheme="minorHAnsi" w:hAnsiTheme="minorHAnsi" w:cstheme="minorHAnsi"/>
          <w:sz w:val="22"/>
          <w:szCs w:val="22"/>
        </w:rPr>
        <w:lastRenderedPageBreak/>
        <w:t xml:space="preserve">To computationally design our dimers of interest, we utilized a combination of fixed backbone design with iterative backbone refinement </w: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(Huang et al., 2022; Kuhlman et al., 2003; Kulp et al., 2012; Nash et al., 2015; Senes, 2011)</w:t>
      </w:r>
      <w:r>
        <w:rPr>
          <w:rFonts w:asciiTheme="minorHAnsi" w:hAnsiTheme="minorHAnsi" w:cstheme="minorHAnsi"/>
          <w:sz w:val="22"/>
          <w:szCs w:val="22"/>
        </w:rPr>
        <w:fldChar w:fldCharType="end"/>
      </w:r>
      <w:r>
        <w:rPr>
          <w:rFonts w:asciiTheme="minorHAnsi" w:hAnsiTheme="minorHAnsi" w:cstheme="minorHAnsi"/>
          <w:sz w:val="22"/>
          <w:szCs w:val="22"/>
        </w:rPr>
        <w:t xml:space="preserve">. </w:t>
      </w:r>
      <w:r w:rsidR="006018A9">
        <w:rPr>
          <w:rFonts w:asciiTheme="minorHAnsi" w:hAnsiTheme="minorHAnsi" w:cstheme="minorHAnsi"/>
          <w:sz w:val="22"/>
          <w:szCs w:val="22"/>
        </w:rPr>
        <w:t xml:space="preserve">A random geometry from the high-density region was used as the fixed backbone input, and positions on the interface were allowed to mutate between all amino acids in the given library. These mutations were </w:t>
      </w:r>
      <w:r w:rsidR="00BD0549" w:rsidRPr="00FE01AC">
        <w:rPr>
          <w:rFonts w:asciiTheme="minorHAnsi" w:hAnsiTheme="minorHAnsi" w:cstheme="minorHAnsi"/>
          <w:sz w:val="22"/>
          <w:szCs w:val="22"/>
        </w:rPr>
        <w:t>evaluated using a combination of van der Waals packing, hydrogen bonding, and implicit solvation</w:t>
      </w:r>
      <w:r w:rsidR="00BD0549"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006018A9">
        <w:rPr>
          <w:rFonts w:asciiTheme="minorHAnsi" w:hAnsiTheme="minorHAnsi" w:cstheme="minorHAnsi"/>
          <w:sz w:val="22"/>
          <w:szCs w:val="22"/>
        </w:rPr>
        <w:t xml:space="preserve">. To reduce computational expense, we developed a baseline energetic term that functioned as an estimate for the energy of the monomeric state, allowing us to accept sequences with the best stability between the dimer-monomer state. </w:t>
      </w:r>
      <w:r w:rsidR="00BD0549">
        <w:rPr>
          <w:rFonts w:asciiTheme="minorHAnsi" w:hAnsiTheme="minorHAnsi" w:cstheme="minorHAnsi"/>
          <w:sz w:val="22"/>
          <w:szCs w:val="22"/>
        </w:rPr>
        <w:t>The</w:t>
      </w:r>
      <w:r w:rsidR="006018A9">
        <w:rPr>
          <w:rFonts w:asciiTheme="minorHAnsi" w:hAnsiTheme="minorHAnsi" w:cstheme="minorHAnsi"/>
          <w:sz w:val="22"/>
          <w:szCs w:val="22"/>
        </w:rPr>
        <w:t>se</w:t>
      </w:r>
      <w:r w:rsidR="00BD0549">
        <w:rPr>
          <w:rFonts w:asciiTheme="minorHAnsi" w:hAnsiTheme="minorHAnsi" w:cstheme="minorHAnsi"/>
          <w:sz w:val="22"/>
          <w:szCs w:val="22"/>
        </w:rPr>
        <w:t xml:space="preserve">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sidR="00BD0549">
        <w:rPr>
          <w:rFonts w:asciiTheme="minorHAnsi" w:hAnsiTheme="minorHAnsi" w:cstheme="minorHAnsi"/>
          <w:sz w:val="22"/>
          <w:szCs w:val="22"/>
        </w:rPr>
        <w:t xml:space="preserve">resulted in a set of </w:t>
      </w:r>
      <w:r w:rsidR="006E72D9">
        <w:rPr>
          <w:rFonts w:asciiTheme="minorHAnsi" w:hAnsiTheme="minorHAnsi" w:cstheme="minorHAnsi"/>
          <w:sz w:val="22"/>
          <w:szCs w:val="22"/>
        </w:rPr>
        <w:t>1075</w:t>
      </w:r>
      <w:r w:rsidR="00746D6F">
        <w:rPr>
          <w:rFonts w:asciiTheme="minorHAnsi" w:hAnsiTheme="minorHAnsi" w:cstheme="minorHAnsi"/>
          <w:sz w:val="22"/>
          <w:szCs w:val="22"/>
        </w:rPr>
        <w:t xml:space="preserve"> wild type (WT) design seque</w:t>
      </w:r>
      <w:r w:rsidR="00BD0549">
        <w:rPr>
          <w:rFonts w:asciiTheme="minorHAnsi" w:hAnsiTheme="minorHAnsi" w:cstheme="minorHAnsi"/>
          <w:sz w:val="22"/>
          <w:szCs w:val="22"/>
        </w:rPr>
        <w:t>nces with a range of both energy and stability</w:t>
      </w:r>
      <w:r w:rsidR="006018A9">
        <w:rPr>
          <w:rFonts w:asciiTheme="minorHAnsi" w:hAnsiTheme="minorHAnsi" w:cstheme="minorHAnsi"/>
          <w:sz w:val="22"/>
          <w:szCs w:val="22"/>
        </w:rPr>
        <w:t xml:space="preserve"> (Figure </w:t>
      </w:r>
      <w:proofErr w:type="spellStart"/>
      <w:r w:rsidR="006018A9">
        <w:rPr>
          <w:rFonts w:asciiTheme="minorHAnsi" w:hAnsiTheme="minorHAnsi" w:cstheme="minorHAnsi"/>
          <w:sz w:val="22"/>
          <w:szCs w:val="22"/>
        </w:rPr>
        <w:t>MP_design</w:t>
      </w:r>
      <w:proofErr w:type="spellEnd"/>
      <w:r w:rsidR="006018A9">
        <w:rPr>
          <w:rFonts w:asciiTheme="minorHAnsi" w:hAnsiTheme="minorHAnsi" w:cstheme="minorHAnsi"/>
          <w:sz w:val="22"/>
          <w:szCs w:val="22"/>
        </w:rPr>
        <w:t xml:space="preserve"> C; change this figure, I think it’s the one for post filtering from </w:t>
      </w:r>
      <w:proofErr w:type="spellStart"/>
      <w:r w:rsidR="006018A9">
        <w:rPr>
          <w:rFonts w:asciiTheme="minorHAnsi" w:hAnsiTheme="minorHAnsi" w:cstheme="minorHAnsi"/>
          <w:sz w:val="22"/>
          <w:szCs w:val="22"/>
        </w:rPr>
        <w:t>ngs</w:t>
      </w:r>
      <w:proofErr w:type="spellEnd"/>
      <w:r w:rsidR="006018A9">
        <w:rPr>
          <w:rFonts w:asciiTheme="minorHAnsi" w:hAnsiTheme="minorHAnsi" w:cstheme="minorHAnsi"/>
          <w:sz w:val="22"/>
          <w:szCs w:val="22"/>
        </w:rPr>
        <w:t>)</w:t>
      </w:r>
      <w:r w:rsidR="00BD0549">
        <w:rPr>
          <w:rFonts w:asciiTheme="minorHAnsi" w:hAnsiTheme="minorHAnsi" w:cstheme="minorHAnsi"/>
          <w:sz w:val="22"/>
          <w:szCs w:val="22"/>
        </w:rPr>
        <w:t>.</w:t>
      </w:r>
      <w:r w:rsidR="006018A9">
        <w:rPr>
          <w:rFonts w:asciiTheme="minorHAnsi" w:hAnsiTheme="minorHAnsi" w:cstheme="minorHAnsi"/>
          <w:sz w:val="22"/>
          <w:szCs w:val="22"/>
        </w:rPr>
        <w:t xml:space="preserve"> </w:t>
      </w:r>
      <w:proofErr w:type="gramStart"/>
      <w:r w:rsidR="00B478FC">
        <w:rPr>
          <w:rFonts w:asciiTheme="minorHAnsi" w:hAnsiTheme="minorHAnsi" w:cstheme="minorHAnsi"/>
          <w:sz w:val="22"/>
          <w:szCs w:val="22"/>
        </w:rPr>
        <w:t>In order to</w:t>
      </w:r>
      <w:proofErr w:type="gramEnd"/>
      <w:r w:rsidR="00B478FC">
        <w:rPr>
          <w:rFonts w:asciiTheme="minorHAnsi" w:hAnsiTheme="minorHAnsi" w:cstheme="minorHAnsi"/>
          <w:sz w:val="22"/>
          <w:szCs w:val="22"/>
        </w:rPr>
        <w:t xml:space="preserve"> determine success of designed proteins, groups typically aim to structurally characterize their designs using either crystallography or </w:t>
      </w:r>
      <w:proofErr w:type="spellStart"/>
      <w:r w:rsidR="00B478FC">
        <w:rPr>
          <w:rFonts w:asciiTheme="minorHAnsi" w:hAnsiTheme="minorHAnsi" w:cstheme="minorHAnsi"/>
          <w:sz w:val="22"/>
          <w:szCs w:val="22"/>
        </w:rPr>
        <w:t>cyro</w:t>
      </w:r>
      <w:proofErr w:type="spellEnd"/>
      <w:r w:rsidR="00B478FC">
        <w:rPr>
          <w:rFonts w:asciiTheme="minorHAnsi" w:hAnsiTheme="minorHAnsi" w:cstheme="minorHAnsi"/>
          <w:sz w:val="22"/>
          <w:szCs w:val="22"/>
        </w:rPr>
        <w:t>-EM</w:t>
      </w:r>
      <w:r w:rsidR="00A56808">
        <w:rPr>
          <w:rFonts w:asciiTheme="minorHAnsi" w:hAnsiTheme="minorHAnsi" w:cstheme="minorHAnsi"/>
          <w:sz w:val="22"/>
          <w:szCs w:val="22"/>
        </w:rPr>
        <w:t xml:space="preserve"> </w:t>
      </w:r>
      <w:r w:rsidR="00A56808">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sidR="00A56808">
        <w:rPr>
          <w:rFonts w:asciiTheme="minorHAnsi" w:hAnsiTheme="minorHAnsi" w:cstheme="minorHAnsi"/>
          <w:sz w:val="22"/>
          <w:szCs w:val="22"/>
        </w:rPr>
        <w:instrText xml:space="preserve"> ADDIN EN.CITE </w:instrText>
      </w:r>
      <w:r w:rsidR="00A56808">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sidR="00A56808">
        <w:rPr>
          <w:rFonts w:asciiTheme="minorHAnsi" w:hAnsiTheme="minorHAnsi" w:cstheme="minorHAnsi"/>
          <w:sz w:val="22"/>
          <w:szCs w:val="22"/>
        </w:rPr>
        <w:instrText xml:space="preserve"> ADDIN EN.CITE.DATA </w:instrText>
      </w:r>
      <w:r w:rsidR="00A56808">
        <w:rPr>
          <w:rFonts w:asciiTheme="minorHAnsi" w:hAnsiTheme="minorHAnsi" w:cstheme="minorHAnsi"/>
          <w:sz w:val="22"/>
          <w:szCs w:val="22"/>
        </w:rPr>
      </w:r>
      <w:r w:rsidR="00A56808">
        <w:rPr>
          <w:rFonts w:asciiTheme="minorHAnsi" w:hAnsiTheme="minorHAnsi" w:cstheme="minorHAnsi"/>
          <w:sz w:val="22"/>
          <w:szCs w:val="22"/>
        </w:rPr>
        <w:fldChar w:fldCharType="end"/>
      </w:r>
      <w:r w:rsidR="00A56808">
        <w:rPr>
          <w:rFonts w:asciiTheme="minorHAnsi" w:hAnsiTheme="minorHAnsi" w:cstheme="minorHAnsi"/>
          <w:sz w:val="22"/>
          <w:szCs w:val="22"/>
        </w:rPr>
      </w:r>
      <w:r w:rsidR="00A56808">
        <w:rPr>
          <w:rFonts w:asciiTheme="minorHAnsi" w:hAnsiTheme="minorHAnsi" w:cstheme="minorHAnsi"/>
          <w:sz w:val="22"/>
          <w:szCs w:val="22"/>
        </w:rPr>
        <w:fldChar w:fldCharType="separate"/>
      </w:r>
      <w:r w:rsidR="00A56808">
        <w:rPr>
          <w:rFonts w:asciiTheme="minorHAnsi" w:hAnsiTheme="minorHAnsi" w:cstheme="minorHAnsi"/>
          <w:noProof/>
          <w:sz w:val="22"/>
          <w:szCs w:val="22"/>
        </w:rPr>
        <w:t>(Mravic et al., 2019)</w:t>
      </w:r>
      <w:r w:rsidR="00A56808">
        <w:rPr>
          <w:rFonts w:asciiTheme="minorHAnsi" w:hAnsiTheme="minorHAnsi" w:cstheme="minorHAnsi"/>
          <w:sz w:val="22"/>
          <w:szCs w:val="22"/>
        </w:rPr>
        <w:fldChar w:fldCharType="end"/>
      </w:r>
      <w:r w:rsidR="00A56808">
        <w:rPr>
          <w:rFonts w:asciiTheme="minorHAnsi" w:hAnsiTheme="minorHAnsi" w:cstheme="minorHAnsi"/>
          <w:sz w:val="22"/>
          <w:szCs w:val="22"/>
        </w:rPr>
        <w:t xml:space="preserve">. However, due to the large scale of this study it would be difficult to determine the success of our design algorithm using these methods. As an alternative, </w:t>
      </w:r>
      <w:r w:rsidR="006018A9">
        <w:rPr>
          <w:rFonts w:asciiTheme="minorHAnsi" w:hAnsiTheme="minorHAnsi" w:cstheme="minorHAnsi"/>
          <w:sz w:val="22"/>
          <w:szCs w:val="22"/>
        </w:rPr>
        <w:t>we added two types of mutants to our libraries: clashing and void mutants. For each of these mutations, each interfacial amino acid is individually mutated to either isoleucine (clash) or alanine (void) (</w:t>
      </w:r>
      <w:r w:rsidR="006018A9" w:rsidRPr="00DC521D">
        <w:rPr>
          <w:rFonts w:asciiTheme="minorHAnsi" w:hAnsiTheme="minorHAnsi" w:cstheme="minorHAnsi"/>
          <w:b/>
          <w:bCs/>
          <w:sz w:val="22"/>
          <w:szCs w:val="22"/>
        </w:rPr>
        <w:t>Figure clash dataset A</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The clashing mutations result in a significant overlap between atoms in our structures, while void mutants result in a large void at the helix-helix interface. Each of these mutations is expected to result in a significant decrease in the dimerization propensity, allowing us to filter for sequences with structures that associate as expected by our design principles.</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5680"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7CAE0509" w14:textId="0C645009" w:rsidR="000D03F1" w:rsidRDefault="000D03F1" w:rsidP="000D03F1">
      <w:pPr>
        <w:pStyle w:val="Standard"/>
        <w:jc w:val="both"/>
        <w:rPr>
          <w:rFonts w:asciiTheme="minorHAnsi" w:hAnsiTheme="minorHAnsi" w:cstheme="minorHAnsi"/>
          <w:sz w:val="22"/>
          <w:szCs w:val="22"/>
        </w:rPr>
      </w:pPr>
      <w:r>
        <w:rPr>
          <w:rFonts w:asciiTheme="minorHAnsi" w:hAnsiTheme="minorHAnsi" w:cstheme="minorHAnsi"/>
          <w:sz w:val="22"/>
          <w:szCs w:val="22"/>
        </w:rPr>
        <w:t xml:space="preserve">Figure </w:t>
      </w:r>
      <w:proofErr w:type="spellStart"/>
      <w:r>
        <w:rPr>
          <w:rFonts w:asciiTheme="minorHAnsi" w:hAnsiTheme="minorHAnsi" w:cstheme="minorHAnsi"/>
          <w:sz w:val="22"/>
          <w:szCs w:val="22"/>
        </w:rPr>
        <w:t>experimental_methodology</w:t>
      </w:r>
      <w:proofErr w:type="spellEnd"/>
      <w:r w:rsidR="00AB07A9">
        <w:rPr>
          <w:rFonts w:asciiTheme="minorHAnsi" w:hAnsiTheme="minorHAnsi" w:cstheme="minorHAnsi"/>
          <w:sz w:val="22"/>
          <w:szCs w:val="22"/>
        </w:rPr>
        <w:t xml:space="preserve">: Experimental methods from the cellular level to the interpreted fluorescent data. Plasmids coding for the transmembrane sequence of interest are expressed in </w:t>
      </w:r>
      <w:r w:rsidR="00AB07A9" w:rsidRPr="00AB07A9">
        <w:rPr>
          <w:rFonts w:asciiTheme="minorHAnsi" w:hAnsiTheme="minorHAnsi" w:cstheme="minorHAnsi"/>
          <w:i/>
          <w:iCs/>
          <w:sz w:val="22"/>
          <w:szCs w:val="22"/>
        </w:rPr>
        <w:t>E. coli</w:t>
      </w:r>
      <w:r w:rsidR="00AB07A9">
        <w:rPr>
          <w:rFonts w:asciiTheme="minorHAnsi" w:hAnsiTheme="minorHAnsi" w:cstheme="minorHAnsi"/>
          <w:sz w:val="22"/>
          <w:szCs w:val="22"/>
        </w:rPr>
        <w:t xml:space="preserve"> cells. These are then grown overnight and can be evaluated for fluorescence using both a high and low throughput method. Using high throughput fluorescence activated cell sorting in combination with next generation sequencing, we </w:t>
      </w:r>
      <w:proofErr w:type="gramStart"/>
      <w:r w:rsidR="00AB07A9">
        <w:rPr>
          <w:rFonts w:asciiTheme="minorHAnsi" w:hAnsiTheme="minorHAnsi" w:cstheme="minorHAnsi"/>
          <w:sz w:val="22"/>
          <w:szCs w:val="22"/>
        </w:rPr>
        <w:t>are able to</w:t>
      </w:r>
      <w:proofErr w:type="gramEnd"/>
      <w:r w:rsidR="00AB07A9">
        <w:rPr>
          <w:rFonts w:asciiTheme="minorHAnsi" w:hAnsiTheme="minorHAnsi" w:cstheme="minorHAnsi"/>
          <w:sz w:val="22"/>
          <w:szCs w:val="22"/>
        </w:rPr>
        <w:t xml:space="preserve"> get fluorescence data for 1000s of sequences at a time. A subset of those sequences is evaluated using low throughput TOXGREEN run in a fluorescence plate reader. These sequences are normalized to our positive control </w:t>
      </w:r>
      <w:proofErr w:type="spellStart"/>
      <w:r w:rsidR="00AB07A9">
        <w:rPr>
          <w:rFonts w:asciiTheme="minorHAnsi" w:hAnsiTheme="minorHAnsi" w:cstheme="minorHAnsi"/>
          <w:sz w:val="22"/>
          <w:szCs w:val="22"/>
        </w:rPr>
        <w:t>GpA</w:t>
      </w:r>
      <w:proofErr w:type="spellEnd"/>
      <w:r w:rsidR="00AB07A9">
        <w:rPr>
          <w:rFonts w:asciiTheme="minorHAnsi" w:hAnsiTheme="minorHAnsi" w:cstheme="minorHAnsi"/>
          <w:sz w:val="22"/>
          <w:szCs w:val="22"/>
        </w:rPr>
        <w:t>, allowing us to transform and normalize the data by our positive control.</w:t>
      </w:r>
    </w:p>
    <w:p w14:paraId="30A9FE77" w14:textId="278D4152" w:rsidR="00682A1D" w:rsidRDefault="006018A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C55CE2">
        <w:rPr>
          <w:rFonts w:asciiTheme="minorHAnsi" w:hAnsiTheme="minorHAnsi" w:cstheme="minorHAnsi"/>
          <w:sz w:val="22"/>
          <w:szCs w:val="22"/>
        </w:rPr>
        <w:t xml:space="preserve"> assess the dimerization propensity of our designs, we used sort-seq (</w:t>
      </w:r>
      <w:r w:rsidR="00C55CE2" w:rsidRPr="00D82B47">
        <w:rPr>
          <w:rFonts w:asciiTheme="minorHAnsi" w:hAnsiTheme="minorHAnsi" w:cstheme="minorHAnsi"/>
          <w:b/>
          <w:bCs/>
          <w:sz w:val="22"/>
          <w:szCs w:val="22"/>
        </w:rPr>
        <w:t>cite sort-seq</w:t>
      </w:r>
      <w:r w:rsidR="00C55CE2">
        <w:rPr>
          <w:rFonts w:asciiTheme="minorHAnsi" w:hAnsiTheme="minorHAnsi" w:cstheme="minorHAnsi"/>
          <w:sz w:val="22"/>
          <w:szCs w:val="22"/>
        </w:rPr>
        <w:t xml:space="preserve">). </w:t>
      </w:r>
      <w:r w:rsidR="0086080D">
        <w:rPr>
          <w:rFonts w:asciiTheme="minorHAnsi" w:hAnsiTheme="minorHAnsi" w:cstheme="minorHAnsi"/>
          <w:sz w:val="22"/>
          <w:szCs w:val="22"/>
        </w:rPr>
        <w:t>This</w:t>
      </w:r>
      <w:r>
        <w:rPr>
          <w:rFonts w:asciiTheme="minorHAnsi" w:hAnsiTheme="minorHAnsi" w:cstheme="minorHAnsi"/>
          <w:sz w:val="22"/>
          <w:szCs w:val="22"/>
        </w:rPr>
        <w:t xml:space="preserve"> high throughput</w:t>
      </w:r>
      <w:r w:rsidR="0086080D">
        <w:rPr>
          <w:rFonts w:asciiTheme="minorHAnsi" w:hAnsiTheme="minorHAnsi" w:cstheme="minorHAnsi"/>
          <w:sz w:val="22"/>
          <w:szCs w:val="22"/>
        </w:rPr>
        <w:t xml:space="preserve"> assay utilizes a combination of fluorescent activated cell sorting (FACS) and next generation sequencing (NGS) to determine the fluorescence profile of a library of </w:t>
      </w:r>
      <w:r>
        <w:rPr>
          <w:rFonts w:asciiTheme="minorHAnsi" w:hAnsiTheme="minorHAnsi" w:cstheme="minorHAnsi"/>
          <w:sz w:val="22"/>
          <w:szCs w:val="22"/>
        </w:rPr>
        <w:t>plasmids coding for our designs</w:t>
      </w:r>
      <w:r w:rsidR="0086080D">
        <w:rPr>
          <w:rFonts w:asciiTheme="minorHAnsi" w:hAnsiTheme="minorHAnsi" w:cstheme="minorHAnsi"/>
          <w:sz w:val="22"/>
          <w:szCs w:val="22"/>
        </w:rPr>
        <w:t xml:space="preserve">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xml:space="preserve">). To evaluate the dimerization propensity of our designs, we use a linear transformation using a set of controls </w:t>
      </w:r>
      <w:r w:rsidR="0086080D">
        <w:rPr>
          <w:rFonts w:asciiTheme="minorHAnsi" w:hAnsiTheme="minorHAnsi" w:cstheme="minorHAnsi"/>
          <w:sz w:val="22"/>
          <w:szCs w:val="22"/>
        </w:rPr>
        <w:lastRenderedPageBreak/>
        <w:t>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xml:space="preserve">). </w:t>
      </w:r>
      <w:r w:rsidR="00A56808">
        <w:rPr>
          <w:rFonts w:asciiTheme="minorHAnsi" w:hAnsiTheme="minorHAnsi" w:cstheme="minorHAnsi"/>
          <w:sz w:val="22"/>
          <w:szCs w:val="22"/>
        </w:rPr>
        <w:t>This transformation normalizes the association strength for each of our libraries, allowing us to compare their association strength.</w:t>
      </w:r>
    </w:p>
    <w:p w14:paraId="2AC7CFE2" w14:textId="58D64971" w:rsidR="006037CC" w:rsidRDefault="006037CC"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x sequences</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220E5B39" w14:textId="65C1A025" w:rsidR="00577B05" w:rsidRPr="00A45F58"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955604">
        <w:rPr>
          <w:rFonts w:asciiTheme="minorHAnsi" w:hAnsiTheme="minorHAnsi" w:cstheme="minorHAnsi"/>
          <w:sz w:val="22"/>
          <w:szCs w:val="22"/>
        </w:rPr>
        <w:t xml:space="preserve"> </w:t>
      </w:r>
      <w:r w:rsidR="002F5687">
        <w:rPr>
          <w:rFonts w:asciiTheme="minorHAnsi" w:hAnsiTheme="minorHAnsi" w:cstheme="minorHAnsi"/>
          <w:sz w:val="22"/>
          <w:szCs w:val="22"/>
        </w:rPr>
        <w:t xml:space="preserve">Clashing mutations significantly decrease the association of their respective WTs, as shown by their respective p-values &lt; 0.005.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D77208">
        <w:rPr>
          <w:rFonts w:asciiTheme="minorHAnsi" w:hAnsiTheme="minorHAnsi" w:cstheme="minorHAnsi"/>
          <w:sz w:val="22"/>
          <w:szCs w:val="22"/>
        </w:rPr>
        <w:t>left- and right-handed</w:t>
      </w:r>
      <w:r w:rsidR="00A45F58">
        <w:rPr>
          <w:rFonts w:asciiTheme="minorHAnsi" w:hAnsiTheme="minorHAnsi" w:cstheme="minorHAnsi"/>
          <w:sz w:val="22"/>
          <w:szCs w:val="22"/>
        </w:rPr>
        <w:t xml:space="preserve"> designs show an increase in their void </w:t>
      </w:r>
      <w:r w:rsidR="00D77208">
        <w:rPr>
          <w:rFonts w:asciiTheme="minorHAnsi" w:hAnsiTheme="minorHAnsi" w:cstheme="minorHAnsi"/>
          <w:sz w:val="22"/>
          <w:szCs w:val="22"/>
        </w:rPr>
        <w:t>mutants’</w:t>
      </w:r>
      <w:r w:rsidR="00A45F58">
        <w:rPr>
          <w:rFonts w:asciiTheme="minorHAnsi" w:hAnsiTheme="minorHAnsi" w:cstheme="minorHAnsi"/>
          <w:sz w:val="22"/>
          <w:szCs w:val="22"/>
        </w:rPr>
        <w:t xml:space="preserve"> respective fluorescence. </w:t>
      </w:r>
      <w:r w:rsidR="00235DFD">
        <w:rPr>
          <w:rFonts w:asciiTheme="minorHAnsi" w:hAnsiTheme="minorHAnsi" w:cstheme="minorHAnsi"/>
          <w:sz w:val="22"/>
          <w:szCs w:val="22"/>
        </w:rPr>
        <w:t xml:space="preserve">We speculate that creating these voids in dimers may not necessarily be destabilizing because of the potential for these sequences to undergo dimerization with an alternative structure that fills the void, resulting in structures that are stabilized more favorably than their WTs. </w:t>
      </w:r>
    </w:p>
    <w:p w14:paraId="58AB1933" w14:textId="6D9FD04B" w:rsidR="00A45F58" w:rsidRPr="00A45F58" w:rsidRDefault="00A45F58" w:rsidP="00400C76">
      <w:pPr>
        <w:pStyle w:val="Standard"/>
        <w:ind w:firstLine="720"/>
        <w:jc w:val="both"/>
        <w:rPr>
          <w:rFonts w:asciiTheme="minorHAnsi" w:hAnsiTheme="minorHAnsi" w:cstheme="minorHAnsi"/>
          <w:sz w:val="22"/>
          <w:szCs w:val="22"/>
        </w:rPr>
      </w:pPr>
    </w:p>
    <w:p w14:paraId="26404785" w14:textId="2CBAE5E5" w:rsidR="00682A1D" w:rsidRDefault="00DC521D" w:rsidP="00400C76">
      <w:pPr>
        <w:jc w:val="both"/>
        <w:rPr>
          <w:rFonts w:cstheme="minorHAnsi"/>
          <w:b/>
          <w:bCs/>
        </w:rPr>
      </w:pPr>
      <w:r>
        <w:rPr>
          <w:rFonts w:cstheme="minorHAnsi"/>
          <w:noProof/>
        </w:rPr>
        <w:drawing>
          <wp:anchor distT="0" distB="0" distL="114300" distR="114300" simplePos="0" relativeHeight="251662848" behindDoc="0" locked="0" layoutInCell="1" allowOverlap="1" wp14:anchorId="09F7D490" wp14:editId="62519503">
            <wp:simplePos x="0" y="0"/>
            <wp:positionH relativeFrom="column">
              <wp:posOffset>457200</wp:posOffset>
            </wp:positionH>
            <wp:positionV relativeFrom="paragraph">
              <wp:posOffset>384810</wp:posOffset>
            </wp:positionV>
            <wp:extent cx="5943600" cy="3286125"/>
            <wp:effectExtent l="0" t="0" r="0" b="0"/>
            <wp:wrapTopAndBottom/>
            <wp:docPr id="203232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3697"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rsidR="0080361C">
        <w:rPr>
          <w:rFonts w:cstheme="minorHAnsi"/>
          <w:b/>
          <w:bCs/>
        </w:rPr>
        <w:t xml:space="preserve">Figure clash dataset </w:t>
      </w:r>
    </w:p>
    <w:p w14:paraId="0B0485F9" w14:textId="6BEE36D8" w:rsidR="00682A1D" w:rsidRDefault="00682A1D" w:rsidP="00400C76">
      <w:pPr>
        <w:jc w:val="both"/>
        <w:rPr>
          <w:rFonts w:cstheme="minorHAnsi"/>
        </w:rPr>
      </w:pPr>
    </w:p>
    <w:p w14:paraId="47944DF7" w14:textId="037D4168" w:rsidR="00682A1D" w:rsidRDefault="0080361C" w:rsidP="00400C76">
      <w:pPr>
        <w:jc w:val="both"/>
        <w:rPr>
          <w:rFonts w:cstheme="minorHAnsi"/>
        </w:rPr>
      </w:pPr>
      <w:r>
        <w:rPr>
          <w:rFonts w:cstheme="minorHAnsi"/>
        </w:rPr>
        <w:t xml:space="preserve">Figure </w:t>
      </w:r>
      <w:r w:rsidR="006E72D9">
        <w:rPr>
          <w:rFonts w:cstheme="minorHAnsi"/>
        </w:rPr>
        <w:t>clash dataset</w:t>
      </w:r>
      <w:r>
        <w:rPr>
          <w:rFonts w:cstheme="minorHAnsi"/>
        </w:rPr>
        <w:t xml:space="preserve">.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rsidP="00400C76">
      <w:pPr>
        <w:jc w:val="both"/>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w:t>
      </w:r>
      <w:proofErr w:type="gramStart"/>
      <w:r w:rsidRPr="006F381E">
        <w:rPr>
          <w:rFonts w:cstheme="minorHAnsi"/>
          <w:b/>
          <w:bCs/>
        </w:rPr>
        <w:t>mutations</w:t>
      </w:r>
      <w:proofErr w:type="gramEnd"/>
    </w:p>
    <w:p w14:paraId="4D70AAFE" w14:textId="784D7AAD"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w:t>
      </w:r>
      <w:r w:rsidR="00746D6F">
        <w:rPr>
          <w:rFonts w:cstheme="minorHAnsi"/>
        </w:rPr>
        <w:t>(&lt;</w:t>
      </w:r>
      <w:r>
        <w:rPr>
          <w:rFonts w:cstheme="minorHAnsi"/>
        </w:rPr>
        <w:t xml:space="preserve"> 35% </w:t>
      </w:r>
      <w:proofErr w:type="spellStart"/>
      <w:r>
        <w:rPr>
          <w:rFonts w:cstheme="minorHAnsi"/>
        </w:rPr>
        <w:t>GpA</w:t>
      </w:r>
      <w:proofErr w:type="spellEnd"/>
      <w:r w:rsidR="00746D6F">
        <w:rPr>
          <w:rFonts w:cstheme="minorHAnsi"/>
        </w:rPr>
        <w:t>)</w:t>
      </w:r>
      <w:r>
        <w:rPr>
          <w:rFonts w:cstheme="minorHAnsi"/>
        </w:rPr>
        <w:t xml:space="preserve"> or</w:t>
      </w:r>
      <w:r w:rsidR="00746D6F">
        <w:rPr>
          <w:rFonts w:cstheme="minorHAnsi"/>
        </w:rPr>
        <w:t xml:space="preserve"> with fluorescence</w:t>
      </w:r>
      <w:r>
        <w:rPr>
          <w:rFonts w:cstheme="minorHAnsi"/>
        </w:rPr>
        <w:t xml:space="preserve"> 50% less than the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Figure clash dataset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much more stable and appear to follow our design principles better than the other regions</w:t>
      </w:r>
      <w:r w:rsidR="00076FBA">
        <w:rPr>
          <w:rFonts w:cstheme="minorHAnsi"/>
        </w:rPr>
        <w:t xml:space="preserve">. </w:t>
      </w:r>
      <w:proofErr w:type="spellStart"/>
      <w:r w:rsidR="00746D6F">
        <w:rPr>
          <w:rFonts w:cstheme="minorHAnsi"/>
        </w:rPr>
        <w:t>GASright</w:t>
      </w:r>
      <w:proofErr w:type="spellEnd"/>
      <w:r w:rsidR="00746D6F">
        <w:rPr>
          <w:rFonts w:cstheme="minorHAnsi"/>
        </w:rPr>
        <w:t xml:space="preserve"> sequences expressed the most fluorescence of all three design regions, suggesting that interhelical hydrogen bonding is necessary for high level association in membrane proteins. However, many proteins in both the left- and right-handed </w:t>
      </w:r>
      <w:r w:rsidR="00746D6F">
        <w:rPr>
          <w:rFonts w:cstheme="minorHAnsi"/>
        </w:rPr>
        <w:lastRenderedPageBreak/>
        <w:t xml:space="preserve">designs are above the fluorescence of our monomeric control (25% </w:t>
      </w:r>
      <w:proofErr w:type="spellStart"/>
      <w:r w:rsidR="00746D6F">
        <w:rPr>
          <w:rFonts w:cstheme="minorHAnsi"/>
        </w:rPr>
        <w:t>GpA</w:t>
      </w:r>
      <w:proofErr w:type="spellEnd"/>
      <w:r w:rsidR="00746D6F">
        <w:rPr>
          <w:rFonts w:cstheme="minorHAnsi"/>
        </w:rPr>
        <w:t xml:space="preserve">), meaning that we have successfully designed sequences that associate in those regions. Additionally, our design energy score expected many of the left-handed structures to be more stable than right-handed, which can be seen in Figure clash dataset B. However, it doesn’t appear that our design energy score is able to capture differences between </w:t>
      </w:r>
      <w:r w:rsidR="00E530D3">
        <w:rPr>
          <w:rFonts w:cstheme="minorHAnsi"/>
        </w:rPr>
        <w:t>many structures in the lower threshold of association (0.25-0.4). This</w:t>
      </w:r>
      <w:r w:rsidR="00746D6F">
        <w:rPr>
          <w:rFonts w:cstheme="minorHAnsi"/>
        </w:rPr>
        <w:t xml:space="preserve"> suggest</w:t>
      </w:r>
      <w:r w:rsidR="00E530D3">
        <w:rPr>
          <w:rFonts w:cstheme="minorHAnsi"/>
        </w:rPr>
        <w:t>s</w:t>
      </w:r>
      <w:r w:rsidR="00746D6F">
        <w:rPr>
          <w:rFonts w:cstheme="minorHAnsi"/>
        </w:rPr>
        <w:t xml:space="preserve"> that our energetic parameters are not well tuned to evaluate </w:t>
      </w:r>
      <w:r w:rsidR="00E530D3">
        <w:rPr>
          <w:rFonts w:cstheme="minorHAnsi"/>
        </w:rPr>
        <w:t>low levels of homodimer association.</w:t>
      </w:r>
      <w:r w:rsidR="00746D6F">
        <w:rPr>
          <w:rFonts w:cstheme="minorHAnsi"/>
        </w:rPr>
        <w:t xml:space="preserve">  </w:t>
      </w:r>
    </w:p>
    <w:p w14:paraId="0B31EDDE" w14:textId="0078EE2F" w:rsidR="00C4534B" w:rsidRPr="000D03F1" w:rsidRDefault="00C4534B" w:rsidP="000D03F1">
      <w:pPr>
        <w:pStyle w:val="ListParagraph"/>
        <w:numPr>
          <w:ilvl w:val="0"/>
          <w:numId w:val="10"/>
        </w:numPr>
        <w:jc w:val="both"/>
        <w:rPr>
          <w:rFonts w:cstheme="minorHAnsi"/>
        </w:rPr>
      </w:pPr>
      <w:r w:rsidRPr="000D03F1">
        <w:rPr>
          <w:rFonts w:cstheme="minorHAnsi"/>
        </w:rPr>
        <w:t xml:space="preserve">If wanted more info here, could also have a dataset where we get rid of the clashing data (below 25%) and analyze </w:t>
      </w:r>
      <w:proofErr w:type="gramStart"/>
      <w:r w:rsidRPr="000D03F1">
        <w:rPr>
          <w:rFonts w:cstheme="minorHAnsi"/>
        </w:rPr>
        <w:t>that</w:t>
      </w:r>
      <w:proofErr w:type="gramEnd"/>
    </w:p>
    <w:p w14:paraId="4472D536" w14:textId="1FDD73C5" w:rsidR="00C4534B" w:rsidRPr="00C247BF" w:rsidRDefault="00C4534B" w:rsidP="00C4534B">
      <w:pPr>
        <w:jc w:val="both"/>
        <w:rPr>
          <w:rFonts w:cstheme="minorHAnsi"/>
          <w:b/>
          <w:bCs/>
        </w:rPr>
      </w:pPr>
      <w:r w:rsidRPr="00C247BF">
        <w:rPr>
          <w:rFonts w:cstheme="minorHAnsi"/>
          <w:b/>
          <w:bCs/>
        </w:rPr>
        <w:t xml:space="preserve">top 5 </w:t>
      </w:r>
    </w:p>
    <w:p w14:paraId="046A4533" w14:textId="334A9656" w:rsidR="00C4534B" w:rsidRDefault="00FD7A19" w:rsidP="00C4534B">
      <w:pPr>
        <w:jc w:val="both"/>
        <w:rPr>
          <w:rFonts w:cstheme="minorHAnsi"/>
        </w:rPr>
      </w:pPr>
      <w:r>
        <w:rPr>
          <w:noProof/>
        </w:rPr>
        <w:drawing>
          <wp:inline distT="0" distB="0" distL="0" distR="0" wp14:anchorId="55A1AA8B" wp14:editId="5F7F03C3">
            <wp:extent cx="6858000" cy="6443345"/>
            <wp:effectExtent l="0" t="0" r="0" b="0"/>
            <wp:docPr id="2140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28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6443345"/>
                    </a:xfrm>
                    <a:prstGeom prst="rect">
                      <a:avLst/>
                    </a:prstGeom>
                    <a:noFill/>
                    <a:ln>
                      <a:noFill/>
                    </a:ln>
                  </pic:spPr>
                </pic:pic>
              </a:graphicData>
            </a:graphic>
          </wp:inline>
        </w:drawing>
      </w:r>
    </w:p>
    <w:p w14:paraId="7BED5B10" w14:textId="509778E2" w:rsidR="00C4534B" w:rsidRPr="001E1D02" w:rsidRDefault="00C4534B" w:rsidP="00C4534B">
      <w:pPr>
        <w:jc w:val="both"/>
        <w:rPr>
          <w:rFonts w:cstheme="minorHAnsi"/>
        </w:rPr>
      </w:pPr>
      <w:r>
        <w:rPr>
          <w:rFonts w:cstheme="minorHAnsi"/>
        </w:rPr>
        <w:t>Figure</w:t>
      </w:r>
      <w:r w:rsidR="00591C24">
        <w:rPr>
          <w:rFonts w:cstheme="minorHAnsi"/>
        </w:rPr>
        <w:t xml:space="preserve"> top 5</w:t>
      </w:r>
      <w:r>
        <w:rPr>
          <w:rFonts w:cstheme="minorHAnsi"/>
        </w:rPr>
        <w:t>: Frontal and side view of predicted structures for the top 5 fluorescent sequences for each region.</w:t>
      </w:r>
    </w:p>
    <w:p w14:paraId="0CF59571" w14:textId="72E730D4" w:rsidR="00C4534B" w:rsidRDefault="00C4534B" w:rsidP="00591C24">
      <w:pPr>
        <w:ind w:firstLine="720"/>
        <w:jc w:val="both"/>
        <w:rPr>
          <w:rFonts w:cstheme="minorHAnsi"/>
        </w:rPr>
      </w:pPr>
      <w:r>
        <w:rPr>
          <w:rFonts w:cstheme="minorHAnsi"/>
        </w:rPr>
        <w:t xml:space="preserve">As a representation of our structures, we’ve extracted the top 5 structures from each region (figure top 5). Each of these sequences are quite well packed, with the left- and right-handed sequences having small voids at the interface </w:t>
      </w:r>
      <w:r>
        <w:rPr>
          <w:rFonts w:cstheme="minorHAnsi"/>
        </w:rPr>
        <w:lastRenderedPageBreak/>
        <w:t xml:space="preserve">compared to </w:t>
      </w:r>
      <w:proofErr w:type="spellStart"/>
      <w:r>
        <w:rPr>
          <w:rFonts w:cstheme="minorHAnsi"/>
        </w:rPr>
        <w:t>GASrights</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 accompanied by the increased stability with interhelical hydrogen bonding.</w:t>
      </w:r>
      <w:r w:rsidR="00C22D36">
        <w:rPr>
          <w:rFonts w:cstheme="minorHAnsi"/>
        </w:rPr>
        <w:t xml:space="preserve"> </w:t>
      </w:r>
      <w:r w:rsidR="000D03F1">
        <w:rPr>
          <w:rFonts w:cstheme="minorHAnsi"/>
        </w:rPr>
        <w:t>To verify the structures of these sequences, w</w:t>
      </w:r>
      <w:r w:rsidR="00C22D36">
        <w:rPr>
          <w:rFonts w:cstheme="minorHAnsi"/>
        </w:rPr>
        <w:t>e r</w:t>
      </w:r>
      <w:r w:rsidR="000D03F1">
        <w:rPr>
          <w:rFonts w:cstheme="minorHAnsi"/>
        </w:rPr>
        <w:t>an</w:t>
      </w:r>
      <w:r w:rsidR="00C22D36">
        <w:rPr>
          <w:rFonts w:cstheme="minorHAnsi"/>
        </w:rPr>
        <w:t xml:space="preserve"> the</w:t>
      </w:r>
      <w:r w:rsidR="000D03F1">
        <w:rPr>
          <w:rFonts w:cstheme="minorHAnsi"/>
        </w:rPr>
        <w:t>se</w:t>
      </w:r>
      <w:r w:rsidR="00C22D36">
        <w:rPr>
          <w:rFonts w:cstheme="minorHAnsi"/>
        </w:rPr>
        <w:t xml:space="preserve"> through </w:t>
      </w:r>
      <w:r w:rsidR="00FD7A19">
        <w:rPr>
          <w:rFonts w:cstheme="minorHAnsi"/>
        </w:rPr>
        <w:t xml:space="preserve">TMDOCK </w:t>
      </w:r>
      <w:r w:rsidR="00FD7A19">
        <w:rPr>
          <w:rFonts w:cstheme="minorHAnsi"/>
        </w:rPr>
        <w:fldChar w:fldCharType="begin"/>
      </w:r>
      <w:r w:rsidR="00FD7A19">
        <w:rPr>
          <w:rFonts w:cstheme="minorHAns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format="utc"&gt;1705635643&lt;/last-updated-date&gt;&lt;accession-num&gt;27622289&lt;/accession-num&gt;&lt;electronic-resource-num&gt;10.1016/j.jmb.2016.09.005&lt;/electronic-resource-num&gt;&lt;volume&gt;429&lt;/volume&gt;&lt;/record&gt;&lt;/Cite&gt;&lt;/EndNote&gt;</w:instrText>
      </w:r>
      <w:r w:rsidR="00FD7A19">
        <w:rPr>
          <w:rFonts w:cstheme="minorHAnsi"/>
        </w:rPr>
        <w:fldChar w:fldCharType="separate"/>
      </w:r>
      <w:r w:rsidR="00FD7A19">
        <w:rPr>
          <w:rFonts w:cstheme="minorHAnsi"/>
          <w:noProof/>
        </w:rPr>
        <w:t>(Lomize &amp; Pogozheva, 2017)</w:t>
      </w:r>
      <w:r w:rsidR="00FD7A19">
        <w:rPr>
          <w:rFonts w:cstheme="minorHAnsi"/>
        </w:rPr>
        <w:fldChar w:fldCharType="end"/>
      </w:r>
      <w:r w:rsidR="00FD7A19">
        <w:rPr>
          <w:rFonts w:cstheme="minorHAnsi"/>
        </w:rPr>
        <w:t xml:space="preserve">, an online membrane protein modeling tool. 10 </w:t>
      </w:r>
      <w:r w:rsidR="000D03F1">
        <w:rPr>
          <w:rFonts w:cstheme="minorHAnsi"/>
        </w:rPr>
        <w:t>of the 15 sequences have a C</w:t>
      </w:r>
      <w:r w:rsidR="000D03F1">
        <w:t>α</w:t>
      </w:r>
      <w:r w:rsidR="000D03F1">
        <w:rPr>
          <w:rFonts w:cstheme="minorHAnsi"/>
        </w:rPr>
        <w:t xml:space="preserve"> RMSD below 1.5 angstroms, showing good agreement between our designed structure and the TMDOCK predictions. </w:t>
      </w:r>
    </w:p>
    <w:p w14:paraId="19F10277" w14:textId="7481019B" w:rsidR="000D03F1" w:rsidRPr="000D03F1" w:rsidRDefault="000D03F1" w:rsidP="000D03F1">
      <w:pPr>
        <w:pStyle w:val="ListParagraph"/>
        <w:numPr>
          <w:ilvl w:val="0"/>
          <w:numId w:val="10"/>
        </w:numPr>
        <w:jc w:val="both"/>
        <w:rPr>
          <w:rFonts w:cstheme="minorHAnsi"/>
        </w:rPr>
      </w:pPr>
      <w:r>
        <w:rPr>
          <w:rFonts w:cstheme="minorHAnsi"/>
        </w:rPr>
        <w:t xml:space="preserve">Could make graphs for any of the data in the </w:t>
      </w:r>
      <w:proofErr w:type="gramStart"/>
      <w:r>
        <w:rPr>
          <w:rFonts w:cstheme="minorHAnsi"/>
        </w:rPr>
        <w:t>table</w:t>
      </w:r>
      <w:proofErr w:type="gramEnd"/>
    </w:p>
    <w:p w14:paraId="61D8E21B" w14:textId="77777777" w:rsidR="00C4534B" w:rsidRPr="00C247BF" w:rsidRDefault="00C4534B" w:rsidP="00C4534B">
      <w:pPr>
        <w:jc w:val="both"/>
        <w:rPr>
          <w:rFonts w:cstheme="minorHAnsi"/>
          <w:b/>
          <w:bCs/>
        </w:rPr>
      </w:pPr>
      <w:r w:rsidRPr="00C247BF">
        <w:rPr>
          <w:rFonts w:cstheme="minorHAnsi"/>
          <w:b/>
          <w:bCs/>
        </w:rPr>
        <w:t>Delta G data</w:t>
      </w:r>
    </w:p>
    <w:p w14:paraId="58670172" w14:textId="77777777" w:rsidR="00C4534B" w:rsidRDefault="00C4534B" w:rsidP="00C4534B">
      <w:pPr>
        <w:jc w:val="both"/>
        <w:rPr>
          <w:rFonts w:cstheme="minorHAnsi"/>
        </w:rPr>
      </w:pPr>
      <w:r>
        <w:rPr>
          <w:noProof/>
        </w:rPr>
        <w:drawing>
          <wp:inline distT="0" distB="0" distL="0" distR="0" wp14:anchorId="1AE4C197" wp14:editId="54E36EB6">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78F4C93B" w14:textId="0D6E4725" w:rsidR="00C4534B" w:rsidRDefault="00C4534B" w:rsidP="00C4534B">
      <w:pPr>
        <w:jc w:val="both"/>
        <w:rPr>
          <w:rFonts w:cstheme="minorHAnsi"/>
        </w:rPr>
      </w:pPr>
      <w:r>
        <w:rPr>
          <w:rFonts w:cstheme="minorHAnsi"/>
        </w:rPr>
        <w:t xml:space="preserve">Figure </w:t>
      </w:r>
      <w:proofErr w:type="spellStart"/>
      <w:r>
        <w:rPr>
          <w:rFonts w:cstheme="minorHAnsi"/>
        </w:rPr>
        <w:t>DeltaG</w:t>
      </w:r>
      <w:proofErr w:type="spellEnd"/>
      <w:r>
        <w:rPr>
          <w:rFonts w:cstheme="minorHAnsi"/>
        </w:rPr>
        <w:t xml:space="preserve">. </w:t>
      </w:r>
      <w:proofErr w:type="spellStart"/>
      <w:proofErr w:type="gramStart"/>
      <w:r>
        <w:rPr>
          <w:rFonts w:cstheme="minorHAnsi"/>
        </w:rPr>
        <w:t>Top:DeltaG</w:t>
      </w:r>
      <w:proofErr w:type="spellEnd"/>
      <w:proofErr w:type="gramEnd"/>
      <w:r>
        <w:rPr>
          <w:rFonts w:cstheme="minorHAnsi"/>
        </w:rPr>
        <w:t xml:space="preserve"> vs the predicted total energy of all of our structures. Bottom: </w:t>
      </w:r>
      <w:proofErr w:type="spellStart"/>
      <w:r>
        <w:rPr>
          <w:rFonts w:cstheme="minorHAnsi"/>
        </w:rPr>
        <w:t>DeltaG</w:t>
      </w:r>
      <w:proofErr w:type="spellEnd"/>
      <w:r>
        <w:rPr>
          <w:rFonts w:cstheme="minorHAnsi"/>
        </w:rPr>
        <w:t xml:space="preserve"> vs the predicted van der Waals energy.</w:t>
      </w:r>
    </w:p>
    <w:p w14:paraId="62572B9A" w14:textId="2E3C3D4A" w:rsidR="00E530D3" w:rsidRDefault="002B7D7D" w:rsidP="00D22CE8">
      <w:pPr>
        <w:ind w:firstLine="720"/>
        <w:jc w:val="both"/>
        <w:rPr>
          <w:rFonts w:cstheme="minorHAnsi"/>
        </w:rPr>
      </w:pPr>
      <w:r>
        <w:rPr>
          <w:rFonts w:cstheme="minorHAnsi"/>
        </w:rPr>
        <w:t xml:space="preserve">Finally, we converted the fluorescence to </w:t>
      </w:r>
      <w:r w:rsidR="00E530D3">
        <w:rPr>
          <w:rFonts w:cstheme="minorHAnsi"/>
        </w:rPr>
        <w:t xml:space="preserve">biophysical </w:t>
      </w:r>
      <w:r w:rsidR="00E530D3" w:rsidRPr="00E530D3">
        <w:rPr>
          <w:rFonts w:cstheme="minorHAnsi"/>
        </w:rPr>
        <w:t>Δ</w:t>
      </w:r>
      <w:r w:rsidR="00E530D3">
        <w:rPr>
          <w:rFonts w:cstheme="minorHAnsi"/>
        </w:rPr>
        <w:t xml:space="preserve">G </w:t>
      </w:r>
      <w:r>
        <w:rPr>
          <w:rFonts w:cstheme="minorHAnsi"/>
        </w:rPr>
        <w:t xml:space="preserve">using a method from an </w:t>
      </w:r>
      <w:r w:rsidRPr="00C4534B">
        <w:rPr>
          <w:rFonts w:cstheme="minorHAnsi"/>
          <w:i/>
          <w:iCs/>
        </w:rPr>
        <w:t>in vitro</w:t>
      </w:r>
      <w:r>
        <w:rPr>
          <w:rFonts w:cstheme="minorHAnsi"/>
        </w:rPr>
        <w:t xml:space="preserve">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r w:rsidR="00E530D3" w:rsidRPr="00E530D3">
        <w:rPr>
          <w:rFonts w:cstheme="minorHAnsi"/>
        </w:rPr>
        <w:t>Δ</w:t>
      </w:r>
      <w:r w:rsidR="00E530D3">
        <w:rPr>
          <w:rFonts w:cstheme="minorHAnsi"/>
        </w:rPr>
        <w:t xml:space="preserve">G </w:t>
      </w:r>
      <w:r>
        <w:rPr>
          <w:rFonts w:cstheme="minorHAnsi"/>
        </w:rPr>
        <w:t>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Although our energetics do not seem to capture the overall trend of stability, it allows us to visualize the distribution of the</w:t>
      </w:r>
      <w:r w:rsidR="00E530D3">
        <w:rPr>
          <w:rFonts w:cstheme="minorHAnsi"/>
        </w:rPr>
        <w:t xml:space="preserve"> </w:t>
      </w:r>
      <w:proofErr w:type="gramStart"/>
      <w:r w:rsidR="00E530D3">
        <w:rPr>
          <w:rFonts w:cstheme="minorHAnsi"/>
        </w:rPr>
        <w:t>calculate</w:t>
      </w:r>
      <w:proofErr w:type="gramEnd"/>
      <w:r w:rsidR="00E530D3">
        <w:rPr>
          <w:rFonts w:cstheme="minorHAnsi"/>
        </w:rPr>
        <w:t xml:space="preserve"> biophysical stability of these sequences</w:t>
      </w:r>
      <w:r>
        <w:rPr>
          <w:rFonts w:cstheme="minorHAnsi"/>
        </w:rPr>
        <w:t>.</w:t>
      </w:r>
      <w:r w:rsidR="00E530D3">
        <w:rPr>
          <w:rFonts w:cstheme="minorHAnsi"/>
        </w:rPr>
        <w:t xml:space="preserve"> This data shows that both left- and right-handed structures, stabilized to a </w:t>
      </w:r>
      <w:r w:rsidR="00E530D3" w:rsidRPr="00E530D3">
        <w:rPr>
          <w:rFonts w:cstheme="minorHAnsi"/>
        </w:rPr>
        <w:t>Δ</w:t>
      </w:r>
      <w:r w:rsidR="00E530D3">
        <w:rPr>
          <w:rFonts w:cstheme="minorHAnsi"/>
        </w:rPr>
        <w:t xml:space="preserve">G around -3 to -3.5 while many of the most stable </w:t>
      </w:r>
      <w:proofErr w:type="spellStart"/>
      <w:r w:rsidR="00E530D3">
        <w:rPr>
          <w:rFonts w:cstheme="minorHAnsi"/>
        </w:rPr>
        <w:t>GASrights</w:t>
      </w:r>
      <w:proofErr w:type="spellEnd"/>
      <w:r w:rsidR="00E530D3">
        <w:rPr>
          <w:rFonts w:cstheme="minorHAnsi"/>
        </w:rPr>
        <w:t xml:space="preserve"> are calculated to have a </w:t>
      </w:r>
      <w:r w:rsidR="00E530D3" w:rsidRPr="00E530D3">
        <w:rPr>
          <w:rFonts w:cstheme="minorHAnsi"/>
        </w:rPr>
        <w:t>Δ</w:t>
      </w:r>
      <w:r w:rsidR="00E530D3">
        <w:rPr>
          <w:rFonts w:cstheme="minorHAnsi"/>
        </w:rPr>
        <w:t>G -4 to -5</w:t>
      </w:r>
      <w:r w:rsidR="00D22CE8">
        <w:rPr>
          <w:rFonts w:cstheme="minorHAnsi"/>
        </w:rPr>
        <w:t xml:space="preserve">. This data suggests that interactions that stabilize the left- and right-handed structures result in around 60% of the stability found in </w:t>
      </w:r>
      <w:proofErr w:type="spellStart"/>
      <w:r w:rsidR="00D22CE8">
        <w:rPr>
          <w:rFonts w:cstheme="minorHAnsi"/>
        </w:rPr>
        <w:t>GASrights</w:t>
      </w:r>
      <w:proofErr w:type="spellEnd"/>
      <w:r w:rsidR="00D22CE8">
        <w:rPr>
          <w:rFonts w:cstheme="minorHAnsi"/>
        </w:rPr>
        <w:t xml:space="preserve">. </w:t>
      </w:r>
      <w:r w:rsidR="00D22CE8" w:rsidRPr="00D847BF">
        <w:rPr>
          <w:rFonts w:cstheme="minorHAnsi"/>
          <w:b/>
          <w:bCs/>
        </w:rPr>
        <w:t xml:space="preserve">… I think we need some way here to say that these proteins are likely to be stabilized just by </w:t>
      </w:r>
      <w:proofErr w:type="spellStart"/>
      <w:r w:rsidR="00D22CE8" w:rsidRPr="00D847BF">
        <w:rPr>
          <w:rFonts w:cstheme="minorHAnsi"/>
          <w:b/>
          <w:bCs/>
        </w:rPr>
        <w:t>vdW</w:t>
      </w:r>
      <w:proofErr w:type="spellEnd"/>
      <w:r w:rsidR="00D22CE8" w:rsidRPr="00D847BF">
        <w:rPr>
          <w:rFonts w:cstheme="minorHAnsi"/>
          <w:b/>
          <w:bCs/>
        </w:rPr>
        <w:t xml:space="preserve"> and nothing else… </w:t>
      </w:r>
      <w:r w:rsidR="00D22CE8">
        <w:rPr>
          <w:rFonts w:cstheme="minorHAnsi"/>
        </w:rPr>
        <w:t xml:space="preserve">Suggesting that </w:t>
      </w:r>
      <w:r w:rsidR="00E530D3">
        <w:rPr>
          <w:rFonts w:cstheme="minorHAnsi"/>
        </w:rPr>
        <w:t xml:space="preserve">packing has a major impact on stability, but other contributions from hydrogen bonding to polar interactions are necessary for </w:t>
      </w:r>
      <w:r w:rsidR="00D22CE8">
        <w:rPr>
          <w:rFonts w:cstheme="minorHAnsi"/>
        </w:rPr>
        <w:t>many interactions that result in highly stable structures.</w:t>
      </w:r>
      <w:r w:rsidR="00E530D3">
        <w:rPr>
          <w:rFonts w:cstheme="minorHAnsi"/>
        </w:rPr>
        <w:t xml:space="preserve"> </w:t>
      </w:r>
    </w:p>
    <w:p w14:paraId="656FDCAD" w14:textId="70FAFC94" w:rsidR="00E530D3" w:rsidRPr="00E530D3" w:rsidRDefault="00E530D3" w:rsidP="00E530D3">
      <w:pPr>
        <w:pStyle w:val="ListParagraph"/>
        <w:numPr>
          <w:ilvl w:val="0"/>
          <w:numId w:val="10"/>
        </w:numPr>
        <w:jc w:val="both"/>
        <w:rPr>
          <w:rFonts w:cstheme="minorHAnsi"/>
        </w:rPr>
      </w:pPr>
      <w:r>
        <w:rPr>
          <w:rFonts w:cstheme="minorHAnsi"/>
        </w:rPr>
        <w:t>Maybe just bin this data instead of showing it against energetics?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1F7F3315" w:rsidR="001E1D02" w:rsidRDefault="000D03F1" w:rsidP="00C247BF">
      <w:pPr>
        <w:rPr>
          <w:rFonts w:cstheme="minorHAnsi"/>
          <w:b/>
          <w:bCs/>
        </w:rPr>
      </w:pPr>
      <w:r>
        <w:rPr>
          <w:rFonts w:cstheme="minorHAnsi"/>
          <w:b/>
          <w:bCs/>
        </w:rPr>
        <w:t>…</w:t>
      </w:r>
    </w:p>
    <w:p w14:paraId="5D206904" w14:textId="77777777" w:rsidR="001E1D02" w:rsidRDefault="001E1D02" w:rsidP="00C247BF">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lastRenderedPageBreak/>
        <w:t>Other things that can be included:</w:t>
      </w:r>
    </w:p>
    <w:p w14:paraId="096D7256" w14:textId="2DA88E5E" w:rsidR="00682A1D" w:rsidRDefault="001E1D02">
      <w:pPr>
        <w:rPr>
          <w:rFonts w:cstheme="minorHAnsi"/>
          <w:b/>
          <w:bCs/>
        </w:rPr>
      </w:pPr>
      <w:r>
        <w:rPr>
          <w:noProof/>
        </w:rPr>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 xml:space="preserve">In all regions, isoleucine is more prevalently found in sequences with lower </w:t>
      </w:r>
      <w:proofErr w:type="gramStart"/>
      <w:r>
        <w:rPr>
          <w:rFonts w:cstheme="minorHAnsi"/>
        </w:rPr>
        <w:t>fluorescence</w:t>
      </w:r>
      <w:proofErr w:type="gramEnd"/>
    </w:p>
    <w:p w14:paraId="0CA5C4E1" w14:textId="1466E552" w:rsidR="00682A1D" w:rsidRDefault="0080361C">
      <w:pPr>
        <w:pStyle w:val="ListParagraph"/>
        <w:numPr>
          <w:ilvl w:val="0"/>
          <w:numId w:val="1"/>
        </w:numPr>
        <w:rPr>
          <w:rFonts w:cstheme="minorHAnsi"/>
        </w:rPr>
      </w:pPr>
      <w:r>
        <w:rPr>
          <w:rFonts w:cstheme="minorHAnsi"/>
        </w:rPr>
        <w:t xml:space="preserve">Phenylalanine is also more prevalently found in mutant sequences with lower </w:t>
      </w:r>
      <w:proofErr w:type="gramStart"/>
      <w:r>
        <w:rPr>
          <w:rFonts w:cstheme="minorHAnsi"/>
        </w:rPr>
        <w:t>fluorescence</w:t>
      </w:r>
      <w:proofErr w:type="gramEnd"/>
    </w:p>
    <w:p w14:paraId="4E7E9240" w14:textId="67867E4F" w:rsidR="00682A1D" w:rsidRDefault="0080361C">
      <w:pPr>
        <w:pStyle w:val="ListParagraph"/>
        <w:numPr>
          <w:ilvl w:val="0"/>
          <w:numId w:val="1"/>
        </w:numPr>
        <w:rPr>
          <w:rFonts w:cstheme="minorHAnsi"/>
        </w:rPr>
      </w:pPr>
      <w:r>
        <w:rPr>
          <w:rFonts w:cstheme="minorHAnsi"/>
        </w:rPr>
        <w:t xml:space="preserve">Tyrosine is kind of variable, but more prevalently found in mutant sequences with lower </w:t>
      </w:r>
      <w:proofErr w:type="gramStart"/>
      <w:r>
        <w:rPr>
          <w:rFonts w:cstheme="minorHAnsi"/>
        </w:rPr>
        <w:t>fluorescence</w:t>
      </w:r>
      <w:proofErr w:type="gramEnd"/>
    </w:p>
    <w:p w14:paraId="68BD8906" w14:textId="77777777" w:rsidR="00682A1D" w:rsidRDefault="0080361C">
      <w:pPr>
        <w:pStyle w:val="ListParagraph"/>
        <w:numPr>
          <w:ilvl w:val="1"/>
          <w:numId w:val="1"/>
        </w:numPr>
        <w:rPr>
          <w:rFonts w:cstheme="minorHAnsi"/>
        </w:rPr>
      </w:pPr>
      <w:r>
        <w:rPr>
          <w:rFonts w:cstheme="minorHAnsi"/>
        </w:rPr>
        <w:t xml:space="preserve">Suggest that these AAs disrupt </w:t>
      </w:r>
      <w:proofErr w:type="gramStart"/>
      <w:r>
        <w:rPr>
          <w:rFonts w:cstheme="minorHAnsi"/>
        </w:rPr>
        <w:t>association</w:t>
      </w:r>
      <w:proofErr w:type="gramEnd"/>
    </w:p>
    <w:p w14:paraId="4A3E9AF9" w14:textId="5306E6CA" w:rsidR="00682A1D" w:rsidRDefault="0080361C">
      <w:pPr>
        <w:pStyle w:val="ListParagraph"/>
        <w:numPr>
          <w:ilvl w:val="0"/>
          <w:numId w:val="1"/>
        </w:numPr>
        <w:rPr>
          <w:rFonts w:cstheme="minorHAnsi"/>
        </w:rPr>
      </w:pPr>
      <w:r>
        <w:rPr>
          <w:rFonts w:cstheme="minorHAnsi"/>
        </w:rPr>
        <w:t xml:space="preserve">Alanine is more prevalent in sequences with higher </w:t>
      </w:r>
      <w:proofErr w:type="gramStart"/>
      <w:r>
        <w:rPr>
          <w:rFonts w:cstheme="minorHAnsi"/>
        </w:rPr>
        <w:t>fluorescence</w:t>
      </w:r>
      <w:proofErr w:type="gramEnd"/>
    </w:p>
    <w:p w14:paraId="5ECC1C98" w14:textId="0F094CD0" w:rsidR="00682A1D" w:rsidRDefault="0080361C">
      <w:pPr>
        <w:pStyle w:val="ListParagraph"/>
        <w:numPr>
          <w:ilvl w:val="1"/>
          <w:numId w:val="1"/>
        </w:numPr>
        <w:rPr>
          <w:rFonts w:cstheme="minorHAnsi"/>
        </w:rPr>
      </w:pPr>
      <w:r>
        <w:rPr>
          <w:rFonts w:cstheme="minorHAnsi"/>
        </w:rPr>
        <w:t xml:space="preserve">Suggests that it helps facilitate </w:t>
      </w:r>
      <w:proofErr w:type="gramStart"/>
      <w:r>
        <w:rPr>
          <w:rFonts w:cstheme="minorHAnsi"/>
        </w:rPr>
        <w:t>association</w:t>
      </w:r>
      <w:proofErr w:type="gramEnd"/>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w:t>
      </w:r>
      <w:proofErr w:type="gramStart"/>
      <w:r>
        <w:rPr>
          <w:rFonts w:cstheme="minorHAnsi"/>
        </w:rPr>
        <w:t>association</w:t>
      </w:r>
      <w:proofErr w:type="gramEnd"/>
      <w:r>
        <w:rPr>
          <w:rFonts w:cstheme="minorHAnsi"/>
        </w:rPr>
        <w:t xml:space="preserve">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2"/>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3"/>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w:t>
      </w:r>
      <w:proofErr w:type="gramStart"/>
      <w:r>
        <w:t>Controlling for</w:t>
      </w:r>
      <w:proofErr w:type="gramEnd"/>
      <w:r>
        <w:t xml:space="preserve">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3018E531" w14:textId="77777777" w:rsidR="002B7D7D" w:rsidRDefault="002B7D7D">
      <w:pPr>
        <w:jc w:val="both"/>
      </w:pPr>
    </w:p>
    <w:p w14:paraId="7791CFA2" w14:textId="77777777" w:rsidR="00342FB0" w:rsidRDefault="00342FB0" w:rsidP="00342FB0">
      <w:pPr>
        <w:pStyle w:val="Standard"/>
        <w:jc w:val="both"/>
        <w:rPr>
          <w:rFonts w:asciiTheme="minorHAnsi" w:hAnsiTheme="minorHAnsi" w:cstheme="minorHAnsi"/>
          <w:sz w:val="22"/>
          <w:szCs w:val="22"/>
        </w:rPr>
      </w:pPr>
      <w:r>
        <w:rPr>
          <w:rFonts w:asciiTheme="minorHAnsi" w:hAnsiTheme="minorHAnsi" w:cstheme="minorHAnsi"/>
          <w:sz w:val="22"/>
          <w:szCs w:val="22"/>
        </w:rPr>
        <w:t>Sequence logo info:</w:t>
      </w:r>
    </w:p>
    <w:p w14:paraId="7F6D421C" w14:textId="47610697" w:rsidR="00726A91" w:rsidRDefault="00726A91" w:rsidP="00726A91">
      <w:pPr>
        <w:pStyle w:val="Standard"/>
        <w:numPr>
          <w:ilvl w:val="0"/>
          <w:numId w:val="10"/>
        </w:numPr>
        <w:jc w:val="both"/>
        <w:rPr>
          <w:rFonts w:asciiTheme="minorHAnsi" w:hAnsiTheme="minorHAnsi" w:cstheme="minorHAnsi"/>
          <w:sz w:val="22"/>
          <w:szCs w:val="22"/>
        </w:rPr>
      </w:pPr>
      <w:r>
        <w:rPr>
          <w:rFonts w:asciiTheme="minorHAnsi" w:hAnsiTheme="minorHAnsi" w:cstheme="minorHAnsi"/>
          <w:sz w:val="22"/>
          <w:szCs w:val="22"/>
        </w:rPr>
        <w:t xml:space="preserve">Have these images somewhere for sequences from the </w:t>
      </w:r>
      <w:proofErr w:type="gramStart"/>
      <w:r>
        <w:rPr>
          <w:rFonts w:asciiTheme="minorHAnsi" w:hAnsiTheme="minorHAnsi" w:cstheme="minorHAnsi"/>
          <w:sz w:val="22"/>
          <w:szCs w:val="22"/>
        </w:rPr>
        <w:t>PDB</w:t>
      </w:r>
      <w:proofErr w:type="gramEnd"/>
    </w:p>
    <w:p w14:paraId="2FD7660D" w14:textId="77777777" w:rsidR="00342FB0" w:rsidRDefault="00342FB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these dense regions and created sequence logos, aiming to determine if there are any common motifs to be used in design.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 well characterized dimerization motif with a known sequence signature where small amino acids glycine, alanine, and serine are typically found at the interface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 This sequence signature of small amino acids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helices to come into close contact, resulting in stabilization by a combination of tight van der Waals packing and interhelical hydrogen bonding. There were no common motifs found in the other regions, but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sequence motif will be used to design sequences in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w:t>
      </w:r>
    </w:p>
    <w:p w14:paraId="702761B4" w14:textId="77777777" w:rsidR="002B7D7D" w:rsidRDefault="002B7D7D">
      <w:pPr>
        <w:jc w:val="both"/>
      </w:pPr>
    </w:p>
    <w:p w14:paraId="08E5BD37" w14:textId="44C20E91" w:rsidR="00A56808" w:rsidRDefault="00A56808">
      <w:pPr>
        <w:jc w:val="both"/>
      </w:pPr>
      <w:r>
        <w:t>Mutants:</w:t>
      </w:r>
    </w:p>
    <w:p w14:paraId="28E8F1FF" w14:textId="0B9896BC" w:rsidR="00A56808" w:rsidRDefault="00A56808">
      <w:pPr>
        <w:jc w:val="both"/>
      </w:pPr>
      <w:r>
        <w:rPr>
          <w:rFonts w:cstheme="minorHAnsi"/>
        </w:rPr>
        <w:t xml:space="preserve">We chose two of the least stable mutants by energy (clash) or largest differences in solvent accessible surface area (void) for each sequence </w:t>
      </w:r>
      <w:r w:rsidRPr="00D82B47">
        <w:rPr>
          <w:rFonts w:cstheme="minorHAnsi"/>
          <w:b/>
          <w:bCs/>
        </w:rPr>
        <w:t>(supplement methods</w:t>
      </w:r>
      <w:r w:rsidRPr="00A9570E">
        <w:rPr>
          <w:rFonts w:cstheme="minorHAnsi"/>
          <w:b/>
          <w:bCs/>
        </w:rPr>
        <w:t>)</w:t>
      </w:r>
      <w:r>
        <w:rPr>
          <w:rFonts w:cstheme="minorHAnsi"/>
        </w:rPr>
        <w:t>.</w:t>
      </w: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1EDA465" w14:textId="77777777" w:rsidR="00726A91" w:rsidRDefault="00726A91">
      <w:pPr>
        <w:jc w:val="both"/>
      </w:pPr>
    </w:p>
    <w:p w14:paraId="6C053D74" w14:textId="77777777" w:rsidR="002F5687" w:rsidRDefault="002F5687" w:rsidP="002F5687">
      <w:pPr>
        <w:rPr>
          <w:rFonts w:cstheme="minorHAnsi"/>
          <w:b/>
          <w:bCs/>
        </w:rPr>
      </w:pPr>
      <w:r>
        <w:rPr>
          <w:rFonts w:cstheme="minorHAnsi"/>
          <w:b/>
          <w:bCs/>
        </w:rPr>
        <w:lastRenderedPageBreak/>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4"/>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 xml:space="preserve">Plot this as an x vs y plot, might likely be supplement of just a subset of the previous </w:t>
      </w:r>
      <w:proofErr w:type="gramStart"/>
      <w:r>
        <w:rPr>
          <w:rFonts w:cstheme="minorHAnsi"/>
        </w:rPr>
        <w:t>figure</w:t>
      </w:r>
      <w:proofErr w:type="gramEnd"/>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05A672B7" w14:textId="5D1B4CA9" w:rsidR="00F43261" w:rsidRDefault="000D03F1">
      <w:pPr>
        <w:jc w:val="both"/>
      </w:pPr>
      <w:r>
        <w:t xml:space="preserve"> </w:t>
      </w:r>
    </w:p>
    <w:p w14:paraId="4B4863CD" w14:textId="1098DC42" w:rsidR="004232C8" w:rsidRPr="004232C8" w:rsidRDefault="00F43261" w:rsidP="004232C8">
      <w:pPr>
        <w:pStyle w:val="EndNoteBibliography"/>
        <w:spacing w:after="0"/>
        <w:ind w:left="720" w:hanging="720"/>
      </w:pPr>
      <w:r>
        <w:lastRenderedPageBreak/>
        <w:fldChar w:fldCharType="begin"/>
      </w:r>
      <w:r>
        <w:instrText xml:space="preserve"> ADDIN EN.REFLIST </w:instrText>
      </w:r>
      <w:r>
        <w:fldChar w:fldCharType="separate"/>
      </w:r>
      <w:r w:rsidR="004232C8" w:rsidRPr="004232C8">
        <w:t xml:space="preserve">Anderson, S. M., Mueller, B. K., Lange, E. J., &amp; Senes, A. (2017). Combination of Cα-H Hydrogen Bonds and van der Waals Packing Modulates the Stability of GxxxG-Mediated Dimers in Membranes. </w:t>
      </w:r>
      <w:r w:rsidR="004232C8" w:rsidRPr="004232C8">
        <w:rPr>
          <w:i/>
        </w:rPr>
        <w:t>J Am Chem Soc</w:t>
      </w:r>
      <w:r w:rsidR="004232C8" w:rsidRPr="004232C8">
        <w:t>,</w:t>
      </w:r>
      <w:r w:rsidR="004232C8" w:rsidRPr="004232C8">
        <w:rPr>
          <w:i/>
        </w:rPr>
        <w:t xml:space="preserve"> 139</w:t>
      </w:r>
      <w:r w:rsidR="004232C8" w:rsidRPr="004232C8">
        <w:t xml:space="preserve">(44), 15774-15783. </w:t>
      </w:r>
      <w:hyperlink r:id="rId16" w:history="1">
        <w:r w:rsidR="004232C8" w:rsidRPr="004232C8">
          <w:rPr>
            <w:rStyle w:val="Hyperlink"/>
          </w:rPr>
          <w:t>https://doi.org/10.1021/jacs.7b07505</w:t>
        </w:r>
      </w:hyperlink>
      <w:r w:rsidR="004232C8" w:rsidRPr="004232C8">
        <w:t xml:space="preserve"> </w:t>
      </w:r>
    </w:p>
    <w:p w14:paraId="5B51D610" w14:textId="26E3E3A5" w:rsidR="004232C8" w:rsidRPr="004232C8" w:rsidRDefault="004232C8" w:rsidP="004232C8">
      <w:pPr>
        <w:pStyle w:val="EndNoteBibliography"/>
        <w:spacing w:after="0"/>
        <w:ind w:left="720" w:hanging="720"/>
      </w:pPr>
      <w:r w:rsidRPr="004232C8">
        <w:t xml:space="preserve">Carpenter, E. P., Beis, K., Cameron, A. D., &amp; Iwata, S. (2008). Overcoming the challenges of membrane protein crystallography. </w:t>
      </w:r>
      <w:r w:rsidRPr="004232C8">
        <w:rPr>
          <w:i/>
        </w:rPr>
        <w:t>Curr Opin Struct Biol</w:t>
      </w:r>
      <w:r w:rsidRPr="004232C8">
        <w:t>,</w:t>
      </w:r>
      <w:r w:rsidRPr="004232C8">
        <w:rPr>
          <w:i/>
        </w:rPr>
        <w:t xml:space="preserve"> 18</w:t>
      </w:r>
      <w:r w:rsidRPr="004232C8">
        <w:t xml:space="preserve">(5), 581-586. </w:t>
      </w:r>
      <w:hyperlink r:id="rId17" w:history="1">
        <w:r w:rsidRPr="004232C8">
          <w:rPr>
            <w:rStyle w:val="Hyperlink"/>
          </w:rPr>
          <w:t>https://doi.org/10.1016/j.sbi.2008.07.001</w:t>
        </w:r>
      </w:hyperlink>
      <w:r w:rsidRPr="004232C8">
        <w:t xml:space="preserve"> </w:t>
      </w:r>
    </w:p>
    <w:p w14:paraId="762D7484" w14:textId="2BB2A3AE" w:rsidR="004232C8" w:rsidRPr="004232C8" w:rsidRDefault="004232C8" w:rsidP="004232C8">
      <w:pPr>
        <w:pStyle w:val="EndNoteBibliography"/>
        <w:spacing w:after="0"/>
        <w:ind w:left="720" w:hanging="720"/>
      </w:pPr>
      <w:r w:rsidRPr="004232C8">
        <w:t xml:space="preserve">Díaz Vázquez, G., Cui, Q., &amp; Senes, A. (2023). Thermodynamic analysis of the GAS. </w:t>
      </w:r>
      <w:r w:rsidRPr="004232C8">
        <w:rPr>
          <w:i/>
        </w:rPr>
        <w:t>Biophys J</w:t>
      </w:r>
      <w:r w:rsidRPr="004232C8">
        <w:t>,</w:t>
      </w:r>
      <w:r w:rsidRPr="004232C8">
        <w:rPr>
          <w:i/>
        </w:rPr>
        <w:t xml:space="preserve"> 122</w:t>
      </w:r>
      <w:r w:rsidRPr="004232C8">
        <w:t xml:space="preserve">(1), 143-155. </w:t>
      </w:r>
      <w:hyperlink r:id="rId18" w:history="1">
        <w:r w:rsidRPr="004232C8">
          <w:rPr>
            <w:rStyle w:val="Hyperlink"/>
          </w:rPr>
          <w:t>https://doi.org/10.1016/j.bpj.2022.11.018</w:t>
        </w:r>
      </w:hyperlink>
      <w:r w:rsidRPr="004232C8">
        <w:t xml:space="preserve"> </w:t>
      </w:r>
    </w:p>
    <w:p w14:paraId="037FE286" w14:textId="22636E7C" w:rsidR="004232C8" w:rsidRPr="004232C8" w:rsidRDefault="004232C8" w:rsidP="004232C8">
      <w:pPr>
        <w:pStyle w:val="EndNoteBibliography"/>
        <w:spacing w:after="0"/>
        <w:ind w:left="720" w:hanging="720"/>
      </w:pPr>
      <w:r w:rsidRPr="004232C8">
        <w:t xml:space="preserve">Fagerberg, L., Jonasson, K., von Heijne, G., Uhlén, M., &amp; Berglund, L. (2010). Prediction of the human membrane proteome. </w:t>
      </w:r>
      <w:r w:rsidRPr="004232C8">
        <w:rPr>
          <w:i/>
        </w:rPr>
        <w:t>Proteomics</w:t>
      </w:r>
      <w:r w:rsidRPr="004232C8">
        <w:t>,</w:t>
      </w:r>
      <w:r w:rsidRPr="004232C8">
        <w:rPr>
          <w:i/>
        </w:rPr>
        <w:t xml:space="preserve"> 10</w:t>
      </w:r>
      <w:r w:rsidRPr="004232C8">
        <w:t xml:space="preserve">(6), 1141-1149. </w:t>
      </w:r>
      <w:hyperlink r:id="rId19" w:history="1">
        <w:r w:rsidRPr="004232C8">
          <w:rPr>
            <w:rStyle w:val="Hyperlink"/>
          </w:rPr>
          <w:t>https://doi.org/10.1002/pmic.200900258</w:t>
        </w:r>
      </w:hyperlink>
      <w:r w:rsidRPr="004232C8">
        <w:t xml:space="preserve"> </w:t>
      </w:r>
    </w:p>
    <w:p w14:paraId="0117E521" w14:textId="5F1A170D" w:rsidR="004232C8" w:rsidRPr="004232C8" w:rsidRDefault="004232C8" w:rsidP="004232C8">
      <w:pPr>
        <w:pStyle w:val="EndNoteBibliography"/>
        <w:spacing w:after="0"/>
        <w:ind w:left="720" w:hanging="720"/>
      </w:pPr>
      <w:r w:rsidRPr="004232C8">
        <w:t xml:space="preserve">Faham, S., Yang, D., Bare, E., Yohannan, S., Whitelegge, J. P., &amp; Bowie, J. U. (2004). Side-chain contributions to membrane protein structure and stability. </w:t>
      </w:r>
      <w:r w:rsidRPr="004232C8">
        <w:rPr>
          <w:i/>
        </w:rPr>
        <w:t>J Mol Biol</w:t>
      </w:r>
      <w:r w:rsidRPr="004232C8">
        <w:t>,</w:t>
      </w:r>
      <w:r w:rsidRPr="004232C8">
        <w:rPr>
          <w:i/>
        </w:rPr>
        <w:t xml:space="preserve"> 335</w:t>
      </w:r>
      <w:r w:rsidRPr="004232C8">
        <w:t xml:space="preserve">(1), 297-305. </w:t>
      </w:r>
      <w:hyperlink r:id="rId20" w:history="1">
        <w:r w:rsidRPr="004232C8">
          <w:rPr>
            <w:rStyle w:val="Hyperlink"/>
          </w:rPr>
          <w:t>https://doi.org/10.1016/j.jmb.2003.10.041</w:t>
        </w:r>
      </w:hyperlink>
      <w:r w:rsidRPr="004232C8">
        <w:t xml:space="preserve"> </w:t>
      </w:r>
    </w:p>
    <w:p w14:paraId="66A629C2" w14:textId="1995653C" w:rsidR="004232C8" w:rsidRPr="004232C8" w:rsidRDefault="004232C8" w:rsidP="004232C8">
      <w:pPr>
        <w:pStyle w:val="EndNoteBibliography"/>
        <w:spacing w:after="0"/>
        <w:ind w:left="720" w:hanging="720"/>
      </w:pPr>
      <w:r w:rsidRPr="004232C8">
        <w:t xml:space="preserve">Fleming, K. G., Ackerman, A. L., &amp; Engelman, D. M. (1997). The effect of point mutations on the free energy of transmembrane alpha-helix dimerization. </w:t>
      </w:r>
      <w:r w:rsidRPr="004232C8">
        <w:rPr>
          <w:i/>
        </w:rPr>
        <w:t>J Mol Biol</w:t>
      </w:r>
      <w:r w:rsidRPr="004232C8">
        <w:t>,</w:t>
      </w:r>
      <w:r w:rsidRPr="004232C8">
        <w:rPr>
          <w:i/>
        </w:rPr>
        <w:t xml:space="preserve"> 272</w:t>
      </w:r>
      <w:r w:rsidRPr="004232C8">
        <w:t xml:space="preserve">(2), 266-275. </w:t>
      </w:r>
      <w:hyperlink r:id="rId21" w:history="1">
        <w:r w:rsidRPr="004232C8">
          <w:rPr>
            <w:rStyle w:val="Hyperlink"/>
          </w:rPr>
          <w:t>https://doi.org/10.1006/jmbi.1997.1236</w:t>
        </w:r>
      </w:hyperlink>
      <w:r w:rsidRPr="004232C8">
        <w:t xml:space="preserve"> </w:t>
      </w:r>
    </w:p>
    <w:p w14:paraId="592190F7" w14:textId="38AE5017" w:rsidR="004232C8" w:rsidRPr="004232C8" w:rsidRDefault="004232C8" w:rsidP="004232C8">
      <w:pPr>
        <w:pStyle w:val="EndNoteBibliography"/>
        <w:spacing w:after="0"/>
        <w:ind w:left="720" w:hanging="720"/>
      </w:pPr>
      <w:r w:rsidRPr="004232C8">
        <w:t xml:space="preserve">Gregersen, N., Bross, P., Vang, S., &amp; Christensen, J. H. (2006). Protein misfolding and human disease. </w:t>
      </w:r>
      <w:r w:rsidRPr="004232C8">
        <w:rPr>
          <w:i/>
        </w:rPr>
        <w:t>Annu Rev Genomics Hum Genet</w:t>
      </w:r>
      <w:r w:rsidRPr="004232C8">
        <w:t>,</w:t>
      </w:r>
      <w:r w:rsidRPr="004232C8">
        <w:rPr>
          <w:i/>
        </w:rPr>
        <w:t xml:space="preserve"> 7</w:t>
      </w:r>
      <w:r w:rsidRPr="004232C8">
        <w:t xml:space="preserve">, 103-124. </w:t>
      </w:r>
      <w:hyperlink r:id="rId22" w:history="1">
        <w:r w:rsidRPr="004232C8">
          <w:rPr>
            <w:rStyle w:val="Hyperlink"/>
          </w:rPr>
          <w:t>https://doi.org/10.1146/annurev.genom.7.080505.115737</w:t>
        </w:r>
      </w:hyperlink>
      <w:r w:rsidRPr="004232C8">
        <w:t xml:space="preserve"> </w:t>
      </w:r>
    </w:p>
    <w:p w14:paraId="1ABEAD9D" w14:textId="40A43B6E" w:rsidR="004232C8" w:rsidRPr="004232C8" w:rsidRDefault="004232C8" w:rsidP="004232C8">
      <w:pPr>
        <w:pStyle w:val="EndNoteBibliography"/>
        <w:spacing w:after="0"/>
        <w:ind w:left="720" w:hanging="720"/>
      </w:pPr>
      <w:r w:rsidRPr="004232C8">
        <w:t xml:space="preserve">Hong, H. (2014). Toward understanding driving forces in membrane protein folding. </w:t>
      </w:r>
      <w:r w:rsidRPr="004232C8">
        <w:rPr>
          <w:i/>
        </w:rPr>
        <w:t>Arch Biochem Biophys</w:t>
      </w:r>
      <w:r w:rsidRPr="004232C8">
        <w:t>,</w:t>
      </w:r>
      <w:r w:rsidRPr="004232C8">
        <w:rPr>
          <w:i/>
        </w:rPr>
        <w:t xml:space="preserve"> 564</w:t>
      </w:r>
      <w:r w:rsidRPr="004232C8">
        <w:t xml:space="preserve">, 297-313. </w:t>
      </w:r>
      <w:hyperlink r:id="rId23" w:history="1">
        <w:r w:rsidRPr="004232C8">
          <w:rPr>
            <w:rStyle w:val="Hyperlink"/>
          </w:rPr>
          <w:t>https://doi.org/10.1016/j.abb.2014.07.031</w:t>
        </w:r>
      </w:hyperlink>
      <w:r w:rsidRPr="004232C8">
        <w:t xml:space="preserve"> </w:t>
      </w:r>
    </w:p>
    <w:p w14:paraId="4609639A" w14:textId="42CC84F4" w:rsidR="004232C8" w:rsidRPr="004232C8" w:rsidRDefault="004232C8" w:rsidP="004232C8">
      <w:pPr>
        <w:pStyle w:val="EndNoteBibliography"/>
        <w:spacing w:after="0"/>
        <w:ind w:left="720" w:hanging="720"/>
      </w:pPr>
      <w:r w:rsidRPr="004232C8">
        <w:t xml:space="preserve">Huang, B., Xu, Y., Hu, X., Liu, Y., Liao, S., Zhang, J., . . . Liu, H. (2022). A backbone-centred energy function of neural networks for protein design. </w:t>
      </w:r>
      <w:r w:rsidRPr="004232C8">
        <w:rPr>
          <w:i/>
        </w:rPr>
        <w:t>Nature</w:t>
      </w:r>
      <w:r w:rsidRPr="004232C8">
        <w:t>,</w:t>
      </w:r>
      <w:r w:rsidRPr="004232C8">
        <w:rPr>
          <w:i/>
        </w:rPr>
        <w:t xml:space="preserve"> 602</w:t>
      </w:r>
      <w:r w:rsidRPr="004232C8">
        <w:t xml:space="preserve">(7897), 523-528. </w:t>
      </w:r>
      <w:hyperlink r:id="rId24" w:history="1">
        <w:r w:rsidRPr="004232C8">
          <w:rPr>
            <w:rStyle w:val="Hyperlink"/>
          </w:rPr>
          <w:t>https://doi.org/10.1038/s41586-021-04383-5</w:t>
        </w:r>
      </w:hyperlink>
      <w:r w:rsidRPr="004232C8">
        <w:t xml:space="preserve"> </w:t>
      </w:r>
    </w:p>
    <w:p w14:paraId="55B12418" w14:textId="750BE6D1" w:rsidR="004232C8" w:rsidRPr="004232C8" w:rsidRDefault="004232C8" w:rsidP="004232C8">
      <w:pPr>
        <w:pStyle w:val="EndNoteBibliography"/>
        <w:spacing w:after="0"/>
        <w:ind w:left="720" w:hanging="720"/>
      </w:pPr>
      <w:r w:rsidRPr="004232C8">
        <w:t xml:space="preserve">Joh, N. H., Oberai, A., Yang, D., Whitelegge, J. P., &amp; Bowie, J. U. (2009). Similar energetic contributions of packing in the core of membrane and water-soluble proteins. </w:t>
      </w:r>
      <w:r w:rsidRPr="004232C8">
        <w:rPr>
          <w:i/>
        </w:rPr>
        <w:t>J Am Chem Soc</w:t>
      </w:r>
      <w:r w:rsidRPr="004232C8">
        <w:t>,</w:t>
      </w:r>
      <w:r w:rsidRPr="004232C8">
        <w:rPr>
          <w:i/>
        </w:rPr>
        <w:t xml:space="preserve"> 131</w:t>
      </w:r>
      <w:r w:rsidRPr="004232C8">
        <w:t xml:space="preserve">(31), 10846-10847. </w:t>
      </w:r>
      <w:hyperlink r:id="rId25" w:history="1">
        <w:r w:rsidRPr="004232C8">
          <w:rPr>
            <w:rStyle w:val="Hyperlink"/>
          </w:rPr>
          <w:t>https://doi.org/10.1021/ja904711k</w:t>
        </w:r>
      </w:hyperlink>
      <w:r w:rsidRPr="004232C8">
        <w:t xml:space="preserve"> </w:t>
      </w:r>
    </w:p>
    <w:p w14:paraId="2E55A205" w14:textId="15EABA34" w:rsidR="004232C8" w:rsidRPr="004232C8" w:rsidRDefault="004232C8" w:rsidP="004232C8">
      <w:pPr>
        <w:pStyle w:val="EndNoteBibliography"/>
        <w:spacing w:after="0"/>
        <w:ind w:left="720" w:hanging="720"/>
      </w:pPr>
      <w:r w:rsidRPr="004232C8">
        <w:t xml:space="preserve">Johnson, R. M., Hecht, K., &amp; Deber, C. M. (2007). Aromatic and cation-pi interactions enhance helix-helix association in a membrane environment. </w:t>
      </w:r>
      <w:r w:rsidRPr="004232C8">
        <w:rPr>
          <w:i/>
        </w:rPr>
        <w:t>Biochemistry</w:t>
      </w:r>
      <w:r w:rsidRPr="004232C8">
        <w:t>,</w:t>
      </w:r>
      <w:r w:rsidRPr="004232C8">
        <w:rPr>
          <w:i/>
        </w:rPr>
        <w:t xml:space="preserve"> 46</w:t>
      </w:r>
      <w:r w:rsidRPr="004232C8">
        <w:t xml:space="preserve">(32), 9208-9214. </w:t>
      </w:r>
      <w:hyperlink r:id="rId26" w:history="1">
        <w:r w:rsidRPr="004232C8">
          <w:rPr>
            <w:rStyle w:val="Hyperlink"/>
          </w:rPr>
          <w:t>https://doi.org/10.1021/bi7008773</w:t>
        </w:r>
      </w:hyperlink>
      <w:r w:rsidRPr="004232C8">
        <w:t xml:space="preserve"> </w:t>
      </w:r>
    </w:p>
    <w:p w14:paraId="6BD0C3A2" w14:textId="7FDFC6E5" w:rsidR="004232C8" w:rsidRPr="004232C8" w:rsidRDefault="004232C8" w:rsidP="004232C8">
      <w:pPr>
        <w:pStyle w:val="EndNoteBibliography"/>
        <w:spacing w:after="0"/>
        <w:ind w:left="720" w:hanging="720"/>
      </w:pPr>
      <w:r w:rsidRPr="004232C8">
        <w:t xml:space="preserve">Krivov, G. G., Shapovalov, M. V., &amp; Dunbrack, R. L. (2009). Improved prediction of protein side-chain conformations with SCWRL4. </w:t>
      </w:r>
      <w:r w:rsidRPr="004232C8">
        <w:rPr>
          <w:i/>
        </w:rPr>
        <w:t>Proteins</w:t>
      </w:r>
      <w:r w:rsidRPr="004232C8">
        <w:t>,</w:t>
      </w:r>
      <w:r w:rsidRPr="004232C8">
        <w:rPr>
          <w:i/>
        </w:rPr>
        <w:t xml:space="preserve"> 77</w:t>
      </w:r>
      <w:r w:rsidRPr="004232C8">
        <w:t xml:space="preserve">(4), 778-795. </w:t>
      </w:r>
      <w:hyperlink r:id="rId27" w:history="1">
        <w:r w:rsidRPr="004232C8">
          <w:rPr>
            <w:rStyle w:val="Hyperlink"/>
          </w:rPr>
          <w:t>https://doi.org/10.1002/prot.22488</w:t>
        </w:r>
      </w:hyperlink>
      <w:r w:rsidRPr="004232C8">
        <w:t xml:space="preserve"> </w:t>
      </w:r>
    </w:p>
    <w:p w14:paraId="4690A8A1" w14:textId="030EED9F" w:rsidR="004232C8" w:rsidRPr="004232C8" w:rsidRDefault="004232C8" w:rsidP="004232C8">
      <w:pPr>
        <w:pStyle w:val="EndNoteBibliography"/>
        <w:spacing w:after="0"/>
        <w:ind w:left="720" w:hanging="720"/>
      </w:pPr>
      <w:r w:rsidRPr="004232C8">
        <w:t xml:space="preserve">Kuhlman, B., Dantas, G., Ireton, G. C., Varani, G., Stoddard, B. L., &amp; Baker, D. (2003). Design of a novel globular protein fold with atomic-level accuracy. </w:t>
      </w:r>
      <w:r w:rsidRPr="004232C8">
        <w:rPr>
          <w:i/>
        </w:rPr>
        <w:t>Science</w:t>
      </w:r>
      <w:r w:rsidRPr="004232C8">
        <w:t>,</w:t>
      </w:r>
      <w:r w:rsidRPr="004232C8">
        <w:rPr>
          <w:i/>
        </w:rPr>
        <w:t xml:space="preserve"> 302</w:t>
      </w:r>
      <w:r w:rsidRPr="004232C8">
        <w:t xml:space="preserve">(5649), 1364-1368. </w:t>
      </w:r>
      <w:hyperlink r:id="rId28" w:history="1">
        <w:r w:rsidRPr="004232C8">
          <w:rPr>
            <w:rStyle w:val="Hyperlink"/>
          </w:rPr>
          <w:t>https://doi.org/10.1126/science.1089427</w:t>
        </w:r>
      </w:hyperlink>
      <w:r w:rsidRPr="004232C8">
        <w:t xml:space="preserve"> </w:t>
      </w:r>
    </w:p>
    <w:p w14:paraId="6E9F2853" w14:textId="57CEB5D9" w:rsidR="004232C8" w:rsidRPr="004232C8" w:rsidRDefault="004232C8" w:rsidP="004232C8">
      <w:pPr>
        <w:pStyle w:val="EndNoteBibliography"/>
        <w:spacing w:after="0"/>
        <w:ind w:left="720" w:hanging="720"/>
      </w:pPr>
      <w:r w:rsidRPr="004232C8">
        <w:t xml:space="preserve">Kulp, D. W., Subramaniam, S., Donald, J. E., Hannigan, B. T., Mueller, B. K., Grigoryan, G., &amp; Senes, A. (2012). Structural informatics, modeling, and design with an open-source Molecular Software Library (MSL). </w:t>
      </w:r>
      <w:r w:rsidRPr="004232C8">
        <w:rPr>
          <w:i/>
        </w:rPr>
        <w:t>J Comput Chem</w:t>
      </w:r>
      <w:r w:rsidRPr="004232C8">
        <w:t>,</w:t>
      </w:r>
      <w:r w:rsidRPr="004232C8">
        <w:rPr>
          <w:i/>
        </w:rPr>
        <w:t xml:space="preserve"> 33</w:t>
      </w:r>
      <w:r w:rsidRPr="004232C8">
        <w:t xml:space="preserve">(20), 1645-1661. </w:t>
      </w:r>
      <w:hyperlink r:id="rId29" w:history="1">
        <w:r w:rsidRPr="004232C8">
          <w:rPr>
            <w:rStyle w:val="Hyperlink"/>
          </w:rPr>
          <w:t>https://doi.org/10.1002/jcc.22968</w:t>
        </w:r>
      </w:hyperlink>
      <w:r w:rsidRPr="004232C8">
        <w:t xml:space="preserve"> </w:t>
      </w:r>
    </w:p>
    <w:p w14:paraId="35A6B99A" w14:textId="4C5AD7A0" w:rsidR="004232C8" w:rsidRPr="004232C8" w:rsidRDefault="004232C8" w:rsidP="004232C8">
      <w:pPr>
        <w:pStyle w:val="EndNoteBibliography"/>
        <w:spacing w:after="0"/>
        <w:ind w:left="720" w:hanging="720"/>
      </w:pPr>
      <w:r w:rsidRPr="004232C8">
        <w:t xml:space="preserve">Lazaridis, T. (2003). Effective energy function for proteins in lipid membranes. </w:t>
      </w:r>
      <w:r w:rsidRPr="004232C8">
        <w:rPr>
          <w:i/>
        </w:rPr>
        <w:t>Proteins</w:t>
      </w:r>
      <w:r w:rsidRPr="004232C8">
        <w:t>,</w:t>
      </w:r>
      <w:r w:rsidRPr="004232C8">
        <w:rPr>
          <w:i/>
        </w:rPr>
        <w:t xml:space="preserve"> 52</w:t>
      </w:r>
      <w:r w:rsidRPr="004232C8">
        <w:t xml:space="preserve">(2), 176-192. </w:t>
      </w:r>
      <w:hyperlink r:id="rId30" w:history="1">
        <w:r w:rsidRPr="004232C8">
          <w:rPr>
            <w:rStyle w:val="Hyperlink"/>
          </w:rPr>
          <w:t>https://doi.org/10.1002/prot.10410</w:t>
        </w:r>
      </w:hyperlink>
      <w:r w:rsidRPr="004232C8">
        <w:t xml:space="preserve"> </w:t>
      </w:r>
    </w:p>
    <w:p w14:paraId="3DCFCC33" w14:textId="5F7365DE" w:rsidR="004232C8" w:rsidRPr="004232C8" w:rsidRDefault="004232C8" w:rsidP="004232C8">
      <w:pPr>
        <w:pStyle w:val="EndNoteBibliography"/>
        <w:spacing w:after="0"/>
        <w:ind w:left="720" w:hanging="720"/>
      </w:pPr>
      <w:r w:rsidRPr="004232C8">
        <w:t xml:space="preserve">Liu, Y., Engelman, D. M., &amp; Gerstein, M. (2002). Genomic analysis of membrane protein families: abundance and conserved motifs. </w:t>
      </w:r>
      <w:r w:rsidRPr="004232C8">
        <w:rPr>
          <w:i/>
        </w:rPr>
        <w:t>Genome Biol</w:t>
      </w:r>
      <w:r w:rsidRPr="004232C8">
        <w:t>,</w:t>
      </w:r>
      <w:r w:rsidRPr="004232C8">
        <w:rPr>
          <w:i/>
        </w:rPr>
        <w:t xml:space="preserve"> 3</w:t>
      </w:r>
      <w:r w:rsidRPr="004232C8">
        <w:t xml:space="preserve">(10), research0054. </w:t>
      </w:r>
      <w:hyperlink r:id="rId31" w:history="1">
        <w:r w:rsidRPr="004232C8">
          <w:rPr>
            <w:rStyle w:val="Hyperlink"/>
          </w:rPr>
          <w:t>https://doi.org/10.1186/gb-2002-3-10-research0054</w:t>
        </w:r>
      </w:hyperlink>
      <w:r w:rsidRPr="004232C8">
        <w:t xml:space="preserve"> </w:t>
      </w:r>
    </w:p>
    <w:p w14:paraId="234B8B14" w14:textId="413D9A01" w:rsidR="004232C8" w:rsidRPr="004232C8" w:rsidRDefault="004232C8" w:rsidP="004232C8">
      <w:pPr>
        <w:pStyle w:val="EndNoteBibliography"/>
        <w:spacing w:after="0"/>
        <w:ind w:left="720" w:hanging="720"/>
      </w:pPr>
      <w:r w:rsidRPr="004232C8">
        <w:t xml:space="preserve">Lomize, A. L., &amp; Pogozheva, I. D. (2017). TMDOCK: An Energy-Based Method for Modeling α-Helical Dimers in Membranes. </w:t>
      </w:r>
      <w:r w:rsidRPr="004232C8">
        <w:rPr>
          <w:i/>
        </w:rPr>
        <w:t>J Mol Biol</w:t>
      </w:r>
      <w:r w:rsidRPr="004232C8">
        <w:t>,</w:t>
      </w:r>
      <w:r w:rsidRPr="004232C8">
        <w:rPr>
          <w:i/>
        </w:rPr>
        <w:t xml:space="preserve"> 429</w:t>
      </w:r>
      <w:r w:rsidRPr="004232C8">
        <w:t xml:space="preserve">(3), 390-398. </w:t>
      </w:r>
      <w:hyperlink r:id="rId32" w:history="1">
        <w:r w:rsidRPr="004232C8">
          <w:rPr>
            <w:rStyle w:val="Hyperlink"/>
          </w:rPr>
          <w:t>https://doi.org/10.1016/j.jmb.2016.09.005</w:t>
        </w:r>
      </w:hyperlink>
      <w:r w:rsidRPr="004232C8">
        <w:t xml:space="preserve"> </w:t>
      </w:r>
    </w:p>
    <w:p w14:paraId="569AB170" w14:textId="5052438F" w:rsidR="004232C8" w:rsidRPr="004232C8" w:rsidRDefault="004232C8" w:rsidP="004232C8">
      <w:pPr>
        <w:pStyle w:val="EndNoteBibliography"/>
        <w:spacing w:after="0"/>
        <w:ind w:left="720" w:hanging="720"/>
      </w:pPr>
      <w:r w:rsidRPr="004232C8">
        <w:t xml:space="preserve">MacKerell, A. D., Bashford, D., Bellott, M., Dunbrack, R. L., Evanseck, J. D., Field, M. J., . . . Karplus, M. (1998). All-atom empirical potential for molecular modeling and dynamics studies of proteins. </w:t>
      </w:r>
      <w:r w:rsidRPr="004232C8">
        <w:rPr>
          <w:i/>
        </w:rPr>
        <w:t>J Phys Chem B</w:t>
      </w:r>
      <w:r w:rsidRPr="004232C8">
        <w:t>,</w:t>
      </w:r>
      <w:r w:rsidRPr="004232C8">
        <w:rPr>
          <w:i/>
        </w:rPr>
        <w:t xml:space="preserve"> 102</w:t>
      </w:r>
      <w:r w:rsidRPr="004232C8">
        <w:t xml:space="preserve">(18), 3586-3616. </w:t>
      </w:r>
      <w:hyperlink r:id="rId33" w:history="1">
        <w:r w:rsidRPr="004232C8">
          <w:rPr>
            <w:rStyle w:val="Hyperlink"/>
          </w:rPr>
          <w:t>https://doi.org/10.1021/jp973084f</w:t>
        </w:r>
      </w:hyperlink>
      <w:r w:rsidRPr="004232C8">
        <w:t xml:space="preserve"> </w:t>
      </w:r>
    </w:p>
    <w:p w14:paraId="417CCEB2" w14:textId="544AE03B" w:rsidR="004232C8" w:rsidRPr="004232C8" w:rsidRDefault="004232C8" w:rsidP="004232C8">
      <w:pPr>
        <w:pStyle w:val="EndNoteBibliography"/>
        <w:spacing w:after="0"/>
        <w:ind w:left="720" w:hanging="720"/>
      </w:pPr>
      <w:r w:rsidRPr="004232C8">
        <w:t xml:space="preserve">Mravic, M., Thomaston, J. L., Tucker, M., Solomon, P. E., Liu, L., &amp; DeGrado, W. F. (2019). Packing of apolar side chains enables accurate design of highly stable membrane proteins. </w:t>
      </w:r>
      <w:r w:rsidRPr="004232C8">
        <w:rPr>
          <w:i/>
        </w:rPr>
        <w:t>Science</w:t>
      </w:r>
      <w:r w:rsidRPr="004232C8">
        <w:t>,</w:t>
      </w:r>
      <w:r w:rsidRPr="004232C8">
        <w:rPr>
          <w:i/>
        </w:rPr>
        <w:t xml:space="preserve"> 363</w:t>
      </w:r>
      <w:r w:rsidRPr="004232C8">
        <w:t xml:space="preserve">(6434), 1418-1423. </w:t>
      </w:r>
      <w:hyperlink r:id="rId34" w:history="1">
        <w:r w:rsidRPr="004232C8">
          <w:rPr>
            <w:rStyle w:val="Hyperlink"/>
          </w:rPr>
          <w:t>https://doi.org/10.1126/science.aav7541</w:t>
        </w:r>
      </w:hyperlink>
      <w:r w:rsidRPr="004232C8">
        <w:t xml:space="preserve"> </w:t>
      </w:r>
    </w:p>
    <w:p w14:paraId="197EBB00" w14:textId="2DDCE20F" w:rsidR="004232C8" w:rsidRPr="004232C8" w:rsidRDefault="004232C8" w:rsidP="004232C8">
      <w:pPr>
        <w:pStyle w:val="EndNoteBibliography"/>
        <w:spacing w:after="0"/>
        <w:ind w:left="720" w:hanging="720"/>
      </w:pPr>
      <w:r w:rsidRPr="004232C8">
        <w:t xml:space="preserve">Nash, A., Notman, R., &amp; Dixon, A. M. (2015). De novo design of transmembrane helix-helix interactions and measurement of stability in a biological membrane. </w:t>
      </w:r>
      <w:r w:rsidRPr="004232C8">
        <w:rPr>
          <w:i/>
        </w:rPr>
        <w:t>Biochim Biophys Acta</w:t>
      </w:r>
      <w:r w:rsidRPr="004232C8">
        <w:t>,</w:t>
      </w:r>
      <w:r w:rsidRPr="004232C8">
        <w:rPr>
          <w:i/>
        </w:rPr>
        <w:t xml:space="preserve"> 1848</w:t>
      </w:r>
      <w:r w:rsidRPr="004232C8">
        <w:t xml:space="preserve">(5), 1248-1257. </w:t>
      </w:r>
      <w:hyperlink r:id="rId35" w:history="1">
        <w:r w:rsidRPr="004232C8">
          <w:rPr>
            <w:rStyle w:val="Hyperlink"/>
          </w:rPr>
          <w:t>https://doi.org/10.1016/j.bbamem.2015.02.020</w:t>
        </w:r>
      </w:hyperlink>
      <w:r w:rsidRPr="004232C8">
        <w:t xml:space="preserve"> </w:t>
      </w:r>
    </w:p>
    <w:p w14:paraId="5D82D82C" w14:textId="301F15C2" w:rsidR="004232C8" w:rsidRPr="004232C8" w:rsidRDefault="004232C8" w:rsidP="004232C8">
      <w:pPr>
        <w:pStyle w:val="EndNoteBibliography"/>
        <w:spacing w:after="0"/>
        <w:ind w:left="720" w:hanging="720"/>
      </w:pPr>
      <w:r w:rsidRPr="004232C8">
        <w:t xml:space="preserve">Popot, J. L., &amp; Engelman, D. M. (1990). Membrane protein folding and oligomerization: the two-stage model. </w:t>
      </w:r>
      <w:r w:rsidRPr="004232C8">
        <w:rPr>
          <w:i/>
        </w:rPr>
        <w:t>Biochemistry</w:t>
      </w:r>
      <w:r w:rsidRPr="004232C8">
        <w:t>,</w:t>
      </w:r>
      <w:r w:rsidRPr="004232C8">
        <w:rPr>
          <w:i/>
        </w:rPr>
        <w:t xml:space="preserve"> 29</w:t>
      </w:r>
      <w:r w:rsidRPr="004232C8">
        <w:t xml:space="preserve">(17), 4031-4037. </w:t>
      </w:r>
      <w:hyperlink r:id="rId36" w:history="1">
        <w:r w:rsidRPr="004232C8">
          <w:rPr>
            <w:rStyle w:val="Hyperlink"/>
          </w:rPr>
          <w:t>https://doi.org/10.1021/bi00469a001</w:t>
        </w:r>
      </w:hyperlink>
      <w:r w:rsidRPr="004232C8">
        <w:t xml:space="preserve"> </w:t>
      </w:r>
    </w:p>
    <w:p w14:paraId="16E8ECE3" w14:textId="46A583E1" w:rsidR="004232C8" w:rsidRPr="004232C8" w:rsidRDefault="004232C8" w:rsidP="004232C8">
      <w:pPr>
        <w:pStyle w:val="EndNoteBibliography"/>
        <w:spacing w:after="0"/>
        <w:ind w:left="720" w:hanging="720"/>
      </w:pPr>
      <w:r w:rsidRPr="004232C8">
        <w:t xml:space="preserve">Sanders, C. R., &amp; Myers, J. K. (2004). Disease-related misassembly of membrane proteins. </w:t>
      </w:r>
      <w:r w:rsidRPr="004232C8">
        <w:rPr>
          <w:i/>
        </w:rPr>
        <w:t>Annu Rev Biophys Biomol Struct</w:t>
      </w:r>
      <w:r w:rsidRPr="004232C8">
        <w:t>,</w:t>
      </w:r>
      <w:r w:rsidRPr="004232C8">
        <w:rPr>
          <w:i/>
        </w:rPr>
        <w:t xml:space="preserve"> 33</w:t>
      </w:r>
      <w:r w:rsidRPr="004232C8">
        <w:t xml:space="preserve">, 25-51. </w:t>
      </w:r>
      <w:hyperlink r:id="rId37" w:history="1">
        <w:r w:rsidRPr="004232C8">
          <w:rPr>
            <w:rStyle w:val="Hyperlink"/>
          </w:rPr>
          <w:t>https://doi.org/10.1146/annurev.biophys.33.110502.140348</w:t>
        </w:r>
      </w:hyperlink>
      <w:r w:rsidRPr="004232C8">
        <w:t xml:space="preserve"> </w:t>
      </w:r>
    </w:p>
    <w:p w14:paraId="7231590E" w14:textId="39C6C77C" w:rsidR="004232C8" w:rsidRPr="004232C8" w:rsidRDefault="004232C8" w:rsidP="004232C8">
      <w:pPr>
        <w:pStyle w:val="EndNoteBibliography"/>
        <w:spacing w:after="0"/>
        <w:ind w:left="720" w:hanging="720"/>
      </w:pPr>
      <w:r w:rsidRPr="004232C8">
        <w:t xml:space="preserve">Senes, A. (2011). Computational design of membrane proteins. </w:t>
      </w:r>
      <w:r w:rsidRPr="004232C8">
        <w:rPr>
          <w:i/>
        </w:rPr>
        <w:t>Curr Opin Struct Biol</w:t>
      </w:r>
      <w:r w:rsidRPr="004232C8">
        <w:t>,</w:t>
      </w:r>
      <w:r w:rsidRPr="004232C8">
        <w:rPr>
          <w:i/>
        </w:rPr>
        <w:t xml:space="preserve"> 21</w:t>
      </w:r>
      <w:r w:rsidRPr="004232C8">
        <w:t xml:space="preserve">(4), 460-466. </w:t>
      </w:r>
      <w:hyperlink r:id="rId38" w:history="1">
        <w:r w:rsidRPr="004232C8">
          <w:rPr>
            <w:rStyle w:val="Hyperlink"/>
          </w:rPr>
          <w:t>https://doi.org/10.1016/j.sbi.2011.06.004</w:t>
        </w:r>
      </w:hyperlink>
      <w:r w:rsidRPr="004232C8">
        <w:t xml:space="preserve"> </w:t>
      </w:r>
    </w:p>
    <w:p w14:paraId="1FB1D51A" w14:textId="567AA42A" w:rsidR="004232C8" w:rsidRPr="004232C8" w:rsidRDefault="004232C8" w:rsidP="004232C8">
      <w:pPr>
        <w:pStyle w:val="EndNoteBibliography"/>
        <w:spacing w:after="0"/>
        <w:ind w:left="720" w:hanging="720"/>
      </w:pPr>
      <w:r w:rsidRPr="004232C8">
        <w:lastRenderedPageBreak/>
        <w:t xml:space="preserve">Yano, Y., Takemoto, T., Kobayashi, S., Yasui, H., Sakurai, H., Ohashi, W., . . . Matsuzaki, K. (2002). Topological stability and self-association of a completely hydrophobic model transmembrane helix in lipid bilayers. </w:t>
      </w:r>
      <w:r w:rsidRPr="004232C8">
        <w:rPr>
          <w:i/>
        </w:rPr>
        <w:t>Biochemistry</w:t>
      </w:r>
      <w:r w:rsidRPr="004232C8">
        <w:t>,</w:t>
      </w:r>
      <w:r w:rsidRPr="004232C8">
        <w:rPr>
          <w:i/>
        </w:rPr>
        <w:t xml:space="preserve"> 41</w:t>
      </w:r>
      <w:r w:rsidRPr="004232C8">
        <w:t xml:space="preserve">(9), 3073-3080. </w:t>
      </w:r>
      <w:hyperlink r:id="rId39" w:history="1">
        <w:r w:rsidRPr="004232C8">
          <w:rPr>
            <w:rStyle w:val="Hyperlink"/>
          </w:rPr>
          <w:t>https://doi.org/10.1021/bi011161y</w:t>
        </w:r>
      </w:hyperlink>
      <w:r w:rsidRPr="004232C8">
        <w:t xml:space="preserve"> </w:t>
      </w:r>
    </w:p>
    <w:p w14:paraId="7EC2833D" w14:textId="72DA4B88" w:rsidR="004232C8" w:rsidRPr="004232C8" w:rsidRDefault="004232C8" w:rsidP="004232C8">
      <w:pPr>
        <w:pStyle w:val="EndNoteBibliography"/>
        <w:ind w:left="720" w:hanging="720"/>
      </w:pPr>
      <w:r w:rsidRPr="004232C8">
        <w:t xml:space="preserve">Zhou, F. X., Merianos, H. J., Brunger, A. T., &amp; Engelman, D. M. (2001). Polar residues drive association of polyleucine transmembrane helices. </w:t>
      </w:r>
      <w:r w:rsidRPr="004232C8">
        <w:rPr>
          <w:i/>
        </w:rPr>
        <w:t>Proc Natl Acad Sci U S A</w:t>
      </w:r>
      <w:r w:rsidRPr="004232C8">
        <w:t>,</w:t>
      </w:r>
      <w:r w:rsidRPr="004232C8">
        <w:rPr>
          <w:i/>
        </w:rPr>
        <w:t xml:space="preserve"> 98</w:t>
      </w:r>
      <w:r w:rsidRPr="004232C8">
        <w:t xml:space="preserve">(5), 2250-2255. </w:t>
      </w:r>
      <w:hyperlink r:id="rId40" w:history="1">
        <w:r w:rsidRPr="004232C8">
          <w:rPr>
            <w:rStyle w:val="Hyperlink"/>
          </w:rPr>
          <w:t>https://doi.org/10.1073/pnas.041593698</w:t>
        </w:r>
      </w:hyperlink>
      <w:r w:rsidRPr="004232C8">
        <w:t xml:space="preserve"> </w:t>
      </w:r>
    </w:p>
    <w:p w14:paraId="7703E8C1" w14:textId="0448FA99" w:rsidR="002F5687" w:rsidRDefault="00F43261">
      <w:pPr>
        <w:jc w:val="both"/>
      </w:pPr>
      <w:r>
        <w:fldChar w:fldCharType="end"/>
      </w:r>
    </w:p>
    <w:sectPr w:rsidR="002F5687" w:rsidSect="00A45AEF">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iberation Sans">
    <w:altName w:val="Arial"/>
    <w:charset w:val="00"/>
    <w:family w:val="swiss"/>
    <w:pitch w:val="variable"/>
  </w:font>
  <w:font w:name="Noto Sans CJK SC">
    <w:charset w:val="00"/>
    <w:family w:val="roman"/>
    <w:pitch w:val="default"/>
  </w:font>
  <w:font w:name="Lohit Devanagari">
    <w:altName w:val="Cambria"/>
    <w:charset w:val="00"/>
    <w:family w:val="roman"/>
    <w:pitch w:val="default"/>
  </w:font>
  <w:font w:name="Liberation Serif">
    <w:altName w:val="Times New Roman"/>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04F5D75"/>
    <w:multiLevelType w:val="hybridMultilevel"/>
    <w:tmpl w:val="EF7AA11A"/>
    <w:lvl w:ilvl="0" w:tplc="D32CB6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7A54810"/>
    <w:multiLevelType w:val="hybridMultilevel"/>
    <w:tmpl w:val="EE386DD6"/>
    <w:lvl w:ilvl="0" w:tplc="B3F0933C">
      <w:numFmt w:val="bullet"/>
      <w:lvlText w:val="-"/>
      <w:lvlJc w:val="left"/>
      <w:pPr>
        <w:ind w:left="720" w:hanging="360"/>
      </w:pPr>
      <w:rPr>
        <w:rFonts w:ascii="Calibri" w:eastAsia="Noto Serif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5"/>
  </w:num>
  <w:num w:numId="2" w16cid:durableId="490604065">
    <w:abstractNumId w:val="1"/>
  </w:num>
  <w:num w:numId="3" w16cid:durableId="537668925">
    <w:abstractNumId w:val="6"/>
  </w:num>
  <w:num w:numId="4" w16cid:durableId="1002195818">
    <w:abstractNumId w:val="3"/>
  </w:num>
  <w:num w:numId="5" w16cid:durableId="431390474">
    <w:abstractNumId w:val="8"/>
  </w:num>
  <w:num w:numId="6" w16cid:durableId="703404739">
    <w:abstractNumId w:val="7"/>
  </w:num>
  <w:num w:numId="7" w16cid:durableId="1986932259">
    <w:abstractNumId w:val="0"/>
  </w:num>
  <w:num w:numId="8" w16cid:durableId="525212239">
    <w:abstractNumId w:val="9"/>
  </w:num>
  <w:num w:numId="9" w16cid:durableId="1786849622">
    <w:abstractNumId w:val="10"/>
  </w:num>
  <w:num w:numId="10" w16cid:durableId="1021127027">
    <w:abstractNumId w:val="2"/>
  </w:num>
  <w:num w:numId="11" w16cid:durableId="1046760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76FBA"/>
    <w:rsid w:val="0009370F"/>
    <w:rsid w:val="000D03F1"/>
    <w:rsid w:val="00125775"/>
    <w:rsid w:val="0013200D"/>
    <w:rsid w:val="001742CF"/>
    <w:rsid w:val="001E1D02"/>
    <w:rsid w:val="00201299"/>
    <w:rsid w:val="00222044"/>
    <w:rsid w:val="00235DFD"/>
    <w:rsid w:val="0024010A"/>
    <w:rsid w:val="00290FED"/>
    <w:rsid w:val="002B4F00"/>
    <w:rsid w:val="002B63C6"/>
    <w:rsid w:val="002B7D7D"/>
    <w:rsid w:val="002C3DC9"/>
    <w:rsid w:val="002F5687"/>
    <w:rsid w:val="003221F5"/>
    <w:rsid w:val="00342FB0"/>
    <w:rsid w:val="00375F6E"/>
    <w:rsid w:val="003D7D5D"/>
    <w:rsid w:val="00400C76"/>
    <w:rsid w:val="004232C8"/>
    <w:rsid w:val="00444AB4"/>
    <w:rsid w:val="00444AF6"/>
    <w:rsid w:val="00446D17"/>
    <w:rsid w:val="00451009"/>
    <w:rsid w:val="00467D55"/>
    <w:rsid w:val="004B6106"/>
    <w:rsid w:val="004D4288"/>
    <w:rsid w:val="004E5505"/>
    <w:rsid w:val="0053113A"/>
    <w:rsid w:val="00544713"/>
    <w:rsid w:val="00577B05"/>
    <w:rsid w:val="00591C24"/>
    <w:rsid w:val="006018A9"/>
    <w:rsid w:val="006037CC"/>
    <w:rsid w:val="0066310A"/>
    <w:rsid w:val="00666135"/>
    <w:rsid w:val="00682A1D"/>
    <w:rsid w:val="006A6841"/>
    <w:rsid w:val="006D2839"/>
    <w:rsid w:val="006D3DDD"/>
    <w:rsid w:val="006E72D9"/>
    <w:rsid w:val="006F381E"/>
    <w:rsid w:val="00702DFD"/>
    <w:rsid w:val="00726A91"/>
    <w:rsid w:val="007279BE"/>
    <w:rsid w:val="00746D6F"/>
    <w:rsid w:val="007554E6"/>
    <w:rsid w:val="007A77DC"/>
    <w:rsid w:val="007F721C"/>
    <w:rsid w:val="0080361C"/>
    <w:rsid w:val="00840B94"/>
    <w:rsid w:val="0085366E"/>
    <w:rsid w:val="0085783E"/>
    <w:rsid w:val="0086080D"/>
    <w:rsid w:val="008666B1"/>
    <w:rsid w:val="008B1163"/>
    <w:rsid w:val="008C3C60"/>
    <w:rsid w:val="008D738E"/>
    <w:rsid w:val="009010DE"/>
    <w:rsid w:val="0093511B"/>
    <w:rsid w:val="00955604"/>
    <w:rsid w:val="009B18DC"/>
    <w:rsid w:val="009B2FD7"/>
    <w:rsid w:val="009C70D2"/>
    <w:rsid w:val="00A207B6"/>
    <w:rsid w:val="00A45AEF"/>
    <w:rsid w:val="00A45F58"/>
    <w:rsid w:val="00A56808"/>
    <w:rsid w:val="00A9570E"/>
    <w:rsid w:val="00AA1540"/>
    <w:rsid w:val="00AB07A9"/>
    <w:rsid w:val="00AB7226"/>
    <w:rsid w:val="00B32393"/>
    <w:rsid w:val="00B3487B"/>
    <w:rsid w:val="00B478FC"/>
    <w:rsid w:val="00BD0549"/>
    <w:rsid w:val="00C22D36"/>
    <w:rsid w:val="00C247BF"/>
    <w:rsid w:val="00C4534B"/>
    <w:rsid w:val="00C55CE2"/>
    <w:rsid w:val="00CC07D0"/>
    <w:rsid w:val="00CF6100"/>
    <w:rsid w:val="00D0462B"/>
    <w:rsid w:val="00D22CE8"/>
    <w:rsid w:val="00D42987"/>
    <w:rsid w:val="00D77208"/>
    <w:rsid w:val="00D82B47"/>
    <w:rsid w:val="00D847BF"/>
    <w:rsid w:val="00DC3CB3"/>
    <w:rsid w:val="00DC521D"/>
    <w:rsid w:val="00DF0EF8"/>
    <w:rsid w:val="00E1262F"/>
    <w:rsid w:val="00E530D3"/>
    <w:rsid w:val="00E82DB1"/>
    <w:rsid w:val="00EB5B2D"/>
    <w:rsid w:val="00F43261"/>
    <w:rsid w:val="00F648BC"/>
    <w:rsid w:val="00FD7A19"/>
    <w:rsid w:val="00FE01A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16/j.bpj.2022.11.018" TargetMode="External"/><Relationship Id="rId26" Type="http://schemas.openxmlformats.org/officeDocument/2006/relationships/hyperlink" Target="https://doi.org/10.1021/bi7008773" TargetMode="External"/><Relationship Id="rId39" Type="http://schemas.openxmlformats.org/officeDocument/2006/relationships/hyperlink" Target="https://doi.org/10.1021/bi011161y" TargetMode="External"/><Relationship Id="rId21" Type="http://schemas.openxmlformats.org/officeDocument/2006/relationships/hyperlink" Target="https://doi.org/10.1006/jmbi.1997.1236" TargetMode="External"/><Relationship Id="rId34" Type="http://schemas.openxmlformats.org/officeDocument/2006/relationships/hyperlink" Target="https://doi.org/10.1126/science.aav7541"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21/jacs.7b07505" TargetMode="External"/><Relationship Id="rId20" Type="http://schemas.openxmlformats.org/officeDocument/2006/relationships/hyperlink" Target="https://doi.org/10.1016/j.jmb.2003.10.041" TargetMode="External"/><Relationship Id="rId29" Type="http://schemas.openxmlformats.org/officeDocument/2006/relationships/hyperlink" Target="https://doi.org/10.1002/jcc.2296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38/s41586-021-04383-5" TargetMode="External"/><Relationship Id="rId32" Type="http://schemas.openxmlformats.org/officeDocument/2006/relationships/hyperlink" Target="https://doi.org/10.1016/j.jmb.2016.09.005" TargetMode="External"/><Relationship Id="rId37" Type="http://schemas.openxmlformats.org/officeDocument/2006/relationships/hyperlink" Target="https://doi.org/10.1146/annurev.biophys.33.110502.140348" TargetMode="External"/><Relationship Id="rId40" Type="http://schemas.openxmlformats.org/officeDocument/2006/relationships/hyperlink" Target="https://doi.org/10.1073/pnas.04159369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abb.2014.07.031" TargetMode="External"/><Relationship Id="rId28" Type="http://schemas.openxmlformats.org/officeDocument/2006/relationships/hyperlink" Target="https://doi.org/10.1126/science.1089427" TargetMode="External"/><Relationship Id="rId36" Type="http://schemas.openxmlformats.org/officeDocument/2006/relationships/hyperlink" Target="https://doi.org/10.1021/bi00469a001" TargetMode="External"/><Relationship Id="rId10" Type="http://schemas.openxmlformats.org/officeDocument/2006/relationships/image" Target="media/image6.png"/><Relationship Id="rId19" Type="http://schemas.openxmlformats.org/officeDocument/2006/relationships/hyperlink" Target="https://doi.org/10.1002/pmic.200900258" TargetMode="External"/><Relationship Id="rId31" Type="http://schemas.openxmlformats.org/officeDocument/2006/relationships/hyperlink" Target="https://doi.org/10.1186/gb-2002-3-10-research005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46/annurev.genom.7.080505.115737" TargetMode="External"/><Relationship Id="rId27" Type="http://schemas.openxmlformats.org/officeDocument/2006/relationships/hyperlink" Target="https://doi.org/10.1002/prot.22488" TargetMode="External"/><Relationship Id="rId30" Type="http://schemas.openxmlformats.org/officeDocument/2006/relationships/hyperlink" Target="https://doi.org/10.1002/prot.10410" TargetMode="External"/><Relationship Id="rId35" Type="http://schemas.openxmlformats.org/officeDocument/2006/relationships/hyperlink" Target="https://doi.org/10.1016/j.bbamem.2015.02.02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16/j.sbi.2008.07.001" TargetMode="External"/><Relationship Id="rId25" Type="http://schemas.openxmlformats.org/officeDocument/2006/relationships/hyperlink" Target="https://doi.org/10.1021/ja904711k" TargetMode="External"/><Relationship Id="rId33" Type="http://schemas.openxmlformats.org/officeDocument/2006/relationships/hyperlink" Target="https://doi.org/10.1021/jp973084f" TargetMode="External"/><Relationship Id="rId38" Type="http://schemas.openxmlformats.org/officeDocument/2006/relationships/hyperlink" Target="https://doi.org/10.1016/j.sbi.2011.06.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13</Pages>
  <Words>6250</Words>
  <Characters>35628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2024-01-18T03:03:00Z</dcterms:created>
  <dcterms:modified xsi:type="dcterms:W3CDTF">2024-01-20T18:20:00Z</dcterms:modified>
  <dc:language>en-US</dc:language>
</cp:coreProperties>
</file>