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Van der Waals packing facilitates membrane protein association</w:t>
      </w:r>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3F332427" w14:textId="4320BCD5"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w:t>
      </w:r>
      <w:r w:rsidR="002B63C6">
        <w:rPr>
          <w:rFonts w:asciiTheme="minorHAnsi" w:hAnsiTheme="minorHAnsi" w:cstheme="minorHAnsi"/>
          <w:sz w:val="22"/>
          <w:szCs w:val="22"/>
        </w:rPr>
        <w:t>TBD</w:t>
      </w:r>
    </w:p>
    <w:p w14:paraId="78FF3649" w14:textId="7B36C455" w:rsidR="00682A1D" w:rsidRDefault="0080361C" w:rsidP="002B63C6">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p>
    <w:p w14:paraId="2ECF5CEE" w14:textId="77777777" w:rsidR="002B63C6" w:rsidRPr="002B63C6" w:rsidRDefault="002B63C6" w:rsidP="002B63C6">
      <w:pPr>
        <w:pStyle w:val="Standard"/>
        <w:rPr>
          <w:rFonts w:asciiTheme="minorHAnsi" w:hAnsiTheme="minorHAnsi" w:cstheme="minorHAnsi"/>
          <w:b/>
          <w:bCs/>
          <w:sz w:val="22"/>
          <w:szCs w:val="22"/>
        </w:rPr>
      </w:pPr>
    </w:p>
    <w:p w14:paraId="71D2916B" w14:textId="08F79B12" w:rsidR="00682A1D" w:rsidRDefault="002B63C6">
      <w:pPr>
        <w:pStyle w:val="Standard"/>
        <w:rPr>
          <w:rFonts w:asciiTheme="minorHAnsi" w:hAnsiTheme="minorHAnsi" w:cstheme="minorHAnsi"/>
          <w:sz w:val="22"/>
          <w:szCs w:val="22"/>
        </w:rPr>
      </w:pPr>
      <w:r>
        <w:rPr>
          <w:noProof/>
        </w:rPr>
        <w:drawing>
          <wp:inline distT="0" distB="0" distL="0" distR="0" wp14:anchorId="4DD8AC77" wp14:editId="0BDDFD12">
            <wp:extent cx="6858000" cy="1261110"/>
            <wp:effectExtent l="0" t="0" r="0" b="0"/>
            <wp:docPr id="2140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1261110"/>
                    </a:xfrm>
                    <a:prstGeom prst="rect">
                      <a:avLst/>
                    </a:prstGeom>
                    <a:noFill/>
                    <a:ln>
                      <a:noFill/>
                    </a:ln>
                  </pic:spPr>
                </pic:pic>
              </a:graphicData>
            </a:graphic>
          </wp:inline>
        </w:drawing>
      </w:r>
    </w:p>
    <w:p w14:paraId="2A481471" w14:textId="077563C5" w:rsidR="002B63C6" w:rsidRDefault="002B63C6" w:rsidP="002B63C6">
      <w:pPr>
        <w:pStyle w:val="Standard"/>
        <w:numPr>
          <w:ilvl w:val="0"/>
          <w:numId w:val="11"/>
        </w:numPr>
        <w:rPr>
          <w:rFonts w:asciiTheme="minorHAnsi" w:hAnsiTheme="minorHAnsi" w:cstheme="minorHAnsi"/>
          <w:sz w:val="22"/>
          <w:szCs w:val="22"/>
        </w:rPr>
      </w:pPr>
      <w:r>
        <w:rPr>
          <w:rFonts w:asciiTheme="minorHAnsi" w:hAnsiTheme="minorHAnsi" w:cstheme="minorHAnsi"/>
          <w:sz w:val="22"/>
          <w:szCs w:val="22"/>
        </w:rPr>
        <w:t>Might need to find a way to combine 3 and 4 so I can add in fluorescence data as well</w:t>
      </w:r>
    </w:p>
    <w:p w14:paraId="085BA42D" w14:textId="734D4018" w:rsidR="00B3487B" w:rsidRPr="0093511B"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69AF6FA4" w14:textId="77777777"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Membrane proteins comprise 25-30% of the proteins found within protein-coding genes of various organisms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&lt;EndNote&gt;&lt;Cite&gt;&lt;Author&gt;Fagerberg&lt;/Author&gt;&lt;Year&gt;2010&lt;/Year&gt;&lt;IDText&gt;Prediction of the human membrane proteome&lt;/IDText&gt;&lt;DisplayText&gt;(Fagerberg et al., 2010)&lt;/DisplayText&gt;&lt;record&gt;&lt;dates&gt;&lt;pub-dates&gt;&lt;date&gt;Mar&lt;/date&gt;&lt;/pub-dates&gt;&lt;year&gt;2010&lt;/year&gt;&lt;/dates&gt;&lt;keywords&gt;&lt;keyword&gt;Algorithms&lt;/keyword&gt;&lt;keyword&gt;Computational Biology&lt;/keyword&gt;&lt;keyword&gt;Databases, Protein&lt;/keyword&gt;&lt;keyword&gt;Genome, Human&lt;/keyword&gt;&lt;keyword&gt;Humans&lt;/keyword&gt;&lt;keyword&gt;Membrane Proteins&lt;/keyword&gt;&lt;keyword&gt;Protein Structure, Secondary&lt;/keyword&gt;&lt;keyword&gt;Protein Structure, Tertiary&lt;/keyword&gt;&lt;keyword&gt;Proteome&lt;/keyword&gt;&lt;/keywords&gt;&lt;urls&gt;&lt;related-urls&gt;&lt;url&gt;https://www.ncbi.nlm.nih.gov/pubmed/20175080&lt;/url&gt;&lt;/related-urls&gt;&lt;/urls&gt;&lt;isbn&gt;1615-9861&lt;/isbn&gt;&lt;titles&gt;&lt;title&gt;Prediction of the human membrane proteome&lt;/title&gt;&lt;secondary-title&gt;Proteomics&lt;/secondary-title&gt;&lt;/titles&gt;&lt;pages&gt;1141-9&lt;/pages&gt;&lt;number&gt;6&lt;/number&gt;&lt;contributors&gt;&lt;authors&gt;&lt;author&gt;Fagerberg, L.&lt;/author&gt;&lt;author&gt;Jonasson, K.&lt;/author&gt;&lt;author&gt;von Heijne, G.&lt;/author&gt;&lt;author&gt;Uhlén, M.&lt;/author&gt;&lt;author&gt;Berglund, L.&lt;/author&gt;&lt;/authors&gt;&lt;/contributors&gt;&lt;language&gt;eng&lt;/language&gt;&lt;added-date format="utc"&gt;1705533759&lt;/added-date&gt;&lt;ref-type name="Journal Article"&gt;17&lt;/ref-type&gt;&lt;auth-address&gt;School of Biotechnology, AlbaNova University Center, Royal Institute of Technology (KTH), Stockholm, Sweden.&lt;/auth-address&gt;&lt;rec-number&gt;25&lt;/rec-number&gt;&lt;last-updated-date format="utc"&gt;1705533759&lt;/last-updated-date&gt;&lt;accession-num&gt;20175080&lt;/accession-num&gt;&lt;electronic-resource-num&gt;10.1002/pmic.200900258&lt;/electronic-resource-num&gt;&lt;volume&gt;10&lt;/volume&gt;&lt;/record&gt;&lt;/Cite&gt;&lt;/EndNote&gt;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(Fagerberg et al., 2010)</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Proper membrane protein folding is critical for essential biological functions, including cell signaling, ion balance, and gene regulation. Misfolding of membrane proteins has been found to be involved in several human diseases such as Parkinson’s, cystic fibrosis, and cancer </w: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(Gregersen et al., 2006; Sanders &amp; Myers, 2004)</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understand how protein misfolding plays a role in disease states and progression, it is necessary to investigate how these proteins fold. However, studying membrane protein folding is inherently a difficult challenge because of their hydrophobic nature. Membrane proteins are difficult to express in yields high enough for biophysical experiments, and purification and solubilization of these proteins often lead to aggregation or unfolding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format="utc"&gt;1705697077&lt;/last-updated-date&gt;&lt;accession-num&gt;18674618&lt;/accession-num&gt;&lt;electronic-resource-num&gt;10.1016/j.sbi.2008.07.001&lt;/electronic-resource-num&gt;&lt;volume&gt;18&lt;/volume&gt;&lt;/record&gt;&lt;/Cite&gt;&lt;/EndNote&gt;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(Carpenter et al., 2008)</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combat these challenges, much of the research studying membrane protein folding is focused on understanding the biophysical forces that govern the folding process. Investigation of the biophysical forces that govern protein folding will allow us to determine why specific mutations result in diseases caused by misfolding. In addition, this knowledge can be applied to design new therapeutics that specifically target proteins in these misfolded states. Understanding the forces that enable membrane proteins to fold will contribute to our knowledge of how these fundamental forces are involved in human health and disease. </w:t>
      </w:r>
    </w:p>
    <w:p w14:paraId="5C2C1A23" w14:textId="77777777" w:rsidR="00B3487B" w:rsidRDefault="00B3487B" w:rsidP="00B3487B">
      <w:pPr>
        <w:pStyle w:val="Standard"/>
        <w:jc w:val="both"/>
        <w:rPr>
          <w:rFonts w:asciiTheme="minorHAnsi" w:hAnsiTheme="minorHAnsi" w:cstheme="minorHAnsi"/>
          <w:sz w:val="22"/>
          <w:szCs w:val="22"/>
        </w:rPr>
      </w:pPr>
    </w:p>
    <w:p w14:paraId="76EB9AAA" w14:textId="61943D68"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Proper membrane protein folding is regulated by a distribution of stabilizing hydrogen bonds, weak polar interactions, and van der Waals forces between the unfolded and folded states., but research is lacking on the contribution of van der Waals packing. This force is particularly important due to the nature of van der Waals interactions: Even if hydrogen bonding or polar interactions play a significant stabilizing role, because van der Waals occurs between any nonbonded atoms in close contact, it is a necessary force that is always present within the folded state. This means that van der Waals packing is essential for folding, but the extent at which packing can be a driving force for membrane protein folding is unclear. Without understanding the extent at which van der Waals packing contributes to folding, we cannot complete our understanding of how these other forces contribute to membrane protein association and folding. </w:t>
      </w:r>
    </w:p>
    <w:p w14:paraId="6356D38B" w14:textId="77777777" w:rsidR="00B3487B" w:rsidRDefault="00B3487B" w:rsidP="00B3487B">
      <w:pPr>
        <w:pStyle w:val="Standard"/>
        <w:jc w:val="both"/>
        <w:rPr>
          <w:rFonts w:asciiTheme="minorHAnsi" w:hAnsiTheme="minorHAnsi" w:cstheme="minorHAnsi"/>
          <w:sz w:val="22"/>
          <w:szCs w:val="22"/>
        </w:rPr>
      </w:pPr>
    </w:p>
    <w:p w14:paraId="655ABA99" w14:textId="113CD8B9" w:rsidR="00DC521D" w:rsidRDefault="00B3487B" w:rsidP="002B63C6">
      <w:pPr>
        <w:pStyle w:val="Standard"/>
        <w:jc w:val="both"/>
        <w:rPr>
          <w:rFonts w:asciiTheme="minorHAnsi" w:hAnsiTheme="minorHAnsi" w:cstheme="minorHAnsi"/>
          <w:sz w:val="22"/>
          <w:szCs w:val="22"/>
        </w:rPr>
      </w:pPr>
      <w:r w:rsidRPr="00B3487B">
        <w:rPr>
          <w:rFonts w:asciiTheme="minorHAnsi" w:hAnsiTheme="minorHAnsi" w:cstheme="minorHAnsi"/>
          <w:sz w:val="22"/>
          <w:szCs w:val="22"/>
        </w:rPr>
        <w:t>The contribution of van der Waals packing to membrane protein folding can be broken down into three distinct interactions: lipid-lipid packing, lipid-protein packing, and protein-protein packing. Protein-protein (or sidechain) packing, is a technically feasible starting point because of the ability to manipulate sequences and determine changes in stability due to mutation. Previous research has demonstrated that disruption of packing within the core of bacteriorhodopsin destabilizes protein structure</w:t>
      </w:r>
      <w:r w:rsidR="002B3ED1">
        <w:rPr>
          <w:rFonts w:asciiTheme="minorHAnsi" w:hAnsiTheme="minorHAnsi" w:cstheme="minorHAnsi"/>
          <w:sz w:val="22"/>
          <w:szCs w:val="22"/>
        </w:rPr>
        <w:t>, suggesting that it is a necessary force for proteins to reach optimal stability</w:t>
      </w:r>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(Faham et al., 2004; Joh et al., 2009)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2B3ED1">
        <w:rPr>
          <w:rFonts w:asciiTheme="minorHAnsi" w:hAnsiTheme="minorHAnsi" w:cstheme="minorHAnsi"/>
          <w:sz w:val="22"/>
          <w:szCs w:val="22"/>
        </w:rPr>
        <w:t>Additionally</w:t>
      </w:r>
      <w:r w:rsidRPr="00B3487B">
        <w:rPr>
          <w:rFonts w:asciiTheme="minorHAnsi" w:hAnsiTheme="minorHAnsi" w:cstheme="minorHAnsi"/>
          <w:sz w:val="22"/>
          <w:szCs w:val="22"/>
        </w:rPr>
        <w:t xml:space="preserve">, a recent study using membrane protein design has shown that optimized sidechain packing can stabilize the folded state of </w:t>
      </w:r>
      <w:proofErr w:type="spellStart"/>
      <w:r w:rsidRPr="00B3487B">
        <w:rPr>
          <w:rFonts w:asciiTheme="minorHAnsi" w:hAnsiTheme="minorHAnsi" w:cstheme="minorHAnsi"/>
          <w:sz w:val="22"/>
          <w:szCs w:val="22"/>
        </w:rPr>
        <w:t>phospholamban</w:t>
      </w:r>
      <w:proofErr w:type="spellEnd"/>
      <w:r w:rsidR="002B3ED1">
        <w:rPr>
          <w:rFonts w:asciiTheme="minorHAnsi" w:hAnsiTheme="minorHAnsi" w:cstheme="minorHAnsi"/>
          <w:sz w:val="22"/>
          <w:szCs w:val="22"/>
        </w:rPr>
        <w:t>, demonstrating that packing can drive protein stability</w:t>
      </w:r>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(Mravic et al., 2019)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Although </w:t>
      </w:r>
      <w:r w:rsidR="002B3ED1">
        <w:rPr>
          <w:rFonts w:asciiTheme="minorHAnsi" w:hAnsiTheme="minorHAnsi" w:cstheme="minorHAnsi"/>
          <w:sz w:val="22"/>
          <w:szCs w:val="22"/>
        </w:rPr>
        <w:t xml:space="preserve">these studies show that </w:t>
      </w:r>
      <w:r w:rsidRPr="00B3487B">
        <w:rPr>
          <w:rFonts w:asciiTheme="minorHAnsi" w:hAnsiTheme="minorHAnsi" w:cstheme="minorHAnsi"/>
          <w:sz w:val="22"/>
          <w:szCs w:val="22"/>
        </w:rPr>
        <w:t xml:space="preserve">sidechain packing plays a </w:t>
      </w:r>
      <w:r w:rsidR="002B3ED1">
        <w:rPr>
          <w:rFonts w:asciiTheme="minorHAnsi" w:hAnsiTheme="minorHAnsi" w:cstheme="minorHAnsi"/>
          <w:sz w:val="22"/>
          <w:szCs w:val="22"/>
        </w:rPr>
        <w:t xml:space="preserve">crucial </w:t>
      </w:r>
      <w:r w:rsidRPr="00B3487B">
        <w:rPr>
          <w:rFonts w:asciiTheme="minorHAnsi" w:hAnsiTheme="minorHAnsi" w:cstheme="minorHAnsi"/>
          <w:sz w:val="22"/>
          <w:szCs w:val="22"/>
        </w:rPr>
        <w:t>role in stabilizing membrane protein structure in individual systems, the energetic contribution of sidechain packing to the folded state of membrane proteins more generally has not yet been determined</w:t>
      </w:r>
      <w:r w:rsidR="004232C8">
        <w:rPr>
          <w:rFonts w:asciiTheme="minorHAnsi" w:hAnsiTheme="minorHAnsi" w:cstheme="minorHAnsi"/>
          <w:sz w:val="22"/>
          <w:szCs w:val="22"/>
        </w:rPr>
        <w:t xml:space="preserve"> </w:t>
      </w:r>
      <w:r w:rsidR="004232C8">
        <w:rPr>
          <w:rFonts w:asciiTheme="minorHAnsi" w:hAnsiTheme="minorHAnsi" w:cstheme="minorHAnsi"/>
          <w:sz w:val="22"/>
          <w:szCs w:val="22"/>
        </w:rPr>
        <w:fldChar w:fldCharType="begin"/>
      </w:r>
      <w:r w:rsidR="004232C8">
        <w:rPr>
          <w:rFonts w:asciiTheme="minorHAnsi" w:hAnsiTheme="minorHAnsi" w:cstheme="minorHAnsi"/>
          <w:sz w:val="22"/>
          <w:szCs w:val="22"/>
        </w:rPr>
        <w:instrText xml:space="preserve"> ADDIN EN.CITE &lt;EndNote&gt;&lt;Cite&gt;&lt;Author&gt;Hong&lt;/Author&gt;&lt;Year&gt;2014&lt;/Year&gt;&lt;IDText&gt;Toward understanding driving forces in membrane protein folding&lt;/IDText&gt;&lt;DisplayText&gt;(Hong, 2014)&lt;/DisplayText&gt;&lt;record&gt;&lt;dates&gt;&lt;pub-dates&gt;&lt;date&gt;Dec 15&lt;/date&gt;&lt;/pub-dates&gt;&lt;year&gt;2014&lt;/year&gt;&lt;/dates&gt;&lt;keywords&gt;&lt;keyword&gt;Cell Membrane&lt;/keyword&gt;&lt;keyword&gt;Lipid Bilayers&lt;/keyword&gt;&lt;keyword&gt;Membrane Proteins&lt;/keyword&gt;&lt;keyword&gt;Protein Folding&lt;/keyword&gt;&lt;keyword&gt;Aromatic–aromatic interaction&lt;/keyword&gt;&lt;keyword&gt;Cation–π interaction&lt;/keyword&gt;&lt;keyword&gt;Hydrogen bonding&lt;/keyword&gt;&lt;keyword&gt;Membrane protein folding&lt;/keyword&gt;&lt;keyword&gt;Membrane protein stability&lt;/keyword&gt;&lt;keyword&gt;Packing interaction&lt;/keyword&gt;&lt;keyword&gt;Salt–bridge&lt;/keyword&gt;&lt;/keywords&gt;&lt;urls&gt;&lt;related-urls&gt;&lt;url&gt;https://www.ncbi.nlm.nih.gov/pubmed/25107533&lt;/url&gt;&lt;/related-urls&gt;&lt;/urls&gt;&lt;isbn&gt;1096-0384&lt;/isbn&gt;&lt;titles&gt;&lt;title&gt;Toward understanding driving forces in membrane protein folding&lt;/title&gt;&lt;secondary-title&gt;Arch Biochem Biophys&lt;/secondary-title&gt;&lt;/titles&gt;&lt;pages&gt;297-313&lt;/pages&gt;&lt;contributors&gt;&lt;authors&gt;&lt;author&gt;Hong, H.&lt;/author&gt;&lt;/authors&gt;&lt;/contributors&gt;&lt;edition&gt;20140806&lt;/edition&gt;&lt;language&gt;eng&lt;/language&gt;&lt;added-date format="utc"&gt;1705697758&lt;/added-date&gt;&lt;ref-type name="Journal Article"&gt;17&lt;/ref-type&gt;&lt;auth-address&gt;Department of Chemistry and Department of Biochemistry &amp;amp; Molecular Biology, Michigan State University, East Lansing, MI 48824, USA. Electronic address: honghd@msu.edu.&lt;/auth-address&gt;&lt;rec-number&gt;38&lt;/rec-number&gt;&lt;last-updated-date format="utc"&gt;1705697758&lt;/last-updated-date&gt;&lt;accession-num&gt;25107533&lt;/accession-num&gt;&lt;electronic-resource-num&gt;10.1016/j.abb.2014.07.031&lt;/electronic-resource-num&gt;&lt;volume&gt;564&lt;/volume&gt;&lt;/record&gt;&lt;/Cite&gt;&lt;/EndNote&gt;</w:instrText>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(Hong, 2014)</w:t>
      </w:r>
      <w:r w:rsidR="004232C8">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4232C8">
        <w:rPr>
          <w:rFonts w:asciiTheme="minorHAnsi" w:hAnsiTheme="minorHAnsi" w:cstheme="minorHAnsi"/>
          <w:sz w:val="22"/>
          <w:szCs w:val="22"/>
        </w:rPr>
        <w:t xml:space="preserve">In this study, we use homodimerization as a simple and tractable model system to characterize the extent at which </w:t>
      </w:r>
      <w:r w:rsidRPr="00B3487B">
        <w:rPr>
          <w:rFonts w:asciiTheme="minorHAnsi" w:hAnsiTheme="minorHAnsi" w:cstheme="minorHAnsi"/>
          <w:sz w:val="22"/>
          <w:szCs w:val="22"/>
        </w:rPr>
        <w:t xml:space="preserve">sidechain packing is a driving force for membrane protein association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&lt;EndNote&gt;&lt;Cite&gt;&lt;Author&gt;Popot&lt;/Author&gt;&lt;Year&gt;1990&lt;/Year&gt;&lt;IDText&gt;Membrane protein folding and oligomerization: the two-stage model&lt;/IDText&gt;&lt;DisplayText&gt;(Popot &amp;amp; Engelman, 1990)&lt;/DisplayText&gt;&lt;record&gt;&lt;dates&gt;&lt;pub-dates&gt;&lt;date&gt;May 01&lt;/date&gt;&lt;/pub-dates&gt;&lt;year&gt;1990&lt;/year&gt;&lt;/dates&gt;&lt;keywords&gt;&lt;keyword&gt;Bacteriorhodopsins&lt;/keyword&gt;&lt;keyword&gt;Ion Channels&lt;/keyword&gt;&lt;keyword&gt;Lipid Bilayers&lt;/keyword&gt;&lt;keyword&gt;Membrane Proteins&lt;/keyword&gt;&lt;keyword&gt;Models, Chemical&lt;/keyword&gt;&lt;keyword&gt;Protein Conformation&lt;/keyword&gt;&lt;keyword&gt;Solubility&lt;/keyword&gt;&lt;/keywords&gt;&lt;urls&gt;&lt;related-urls&gt;&lt;url&gt;https://www.ncbi.nlm.nih.gov/pubmed/1694455&lt;/url&gt;&lt;/related-urls&gt;&lt;/urls&gt;&lt;isbn&gt;0006-2960&lt;/isbn&gt;&lt;titles&gt;&lt;title&gt;Membrane protein folding and oligomerization: the two-stage model&lt;/title&gt;&lt;secondary-title&gt;Biochemistry&lt;/secondary-title&gt;&lt;/titles&gt;&lt;pages&gt;4031-7&lt;/pages&gt;&lt;number&gt;17&lt;/number&gt;&lt;contributors&gt;&lt;authors&gt;&lt;author&gt;Popot, J. L.&lt;/author&gt;&lt;author&gt;Engelman, D. M.&lt;/author&gt;&lt;/authors&gt;&lt;/contributors&gt;&lt;language&gt;eng&lt;/language&gt;&lt;added-date format="utc"&gt;1705697270&lt;/added-date&gt;&lt;ref-type name="Journal Article"&gt;17&lt;/ref-type&gt;&lt;auth-address&gt;Institut de Biologie Physico-Chimique, Collège de France, Paris, France.&lt;/auth-address&gt;&lt;rec-number&gt;37&lt;/rec-number&gt;&lt;last-updated-date format="utc"&gt;1705697270&lt;/last-updated-date&gt;&lt;accession-num&gt;1694455&lt;/accession-num&gt;&lt;electronic-resource-num&gt;10.1021/bi00469a001&lt;/electronic-resource-num&gt;&lt;volume&gt;29&lt;/volume&gt;&lt;/record&gt;&lt;/Cite&gt;&lt;/EndNote&gt;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(Popot &amp; Engelman, 1990)</w:t>
      </w:r>
      <w:r>
        <w:rPr>
          <w:rFonts w:asciiTheme="minorHAnsi" w:hAnsiTheme="minorHAnsi" w:cstheme="minorHAnsi"/>
          <w:sz w:val="22"/>
          <w:szCs w:val="22"/>
        </w:rPr>
        <w:fldChar w:fldCharType="end"/>
      </w:r>
      <w:r w:rsidRPr="00B3487B">
        <w:rPr>
          <w:rFonts w:asciiTheme="minorHAnsi" w:hAnsiTheme="minorHAnsi" w:cstheme="minorHAnsi"/>
          <w:sz w:val="22"/>
          <w:szCs w:val="22"/>
        </w:rPr>
        <w:t>.</w:t>
      </w:r>
      <w:r w:rsidR="004232C8">
        <w:rPr>
          <w:rFonts w:asciiTheme="minorHAnsi" w:hAnsiTheme="minorHAnsi" w:cstheme="minorHAnsi"/>
          <w:sz w:val="22"/>
          <w:szCs w:val="22"/>
        </w:rPr>
        <w:t xml:space="preserve"> </w:t>
      </w:r>
      <w:r w:rsidR="004232C8" w:rsidRPr="00B3487B">
        <w:rPr>
          <w:rFonts w:asciiTheme="minorHAnsi" w:hAnsiTheme="minorHAnsi" w:cstheme="minorHAnsi"/>
          <w:sz w:val="22"/>
          <w:szCs w:val="22"/>
        </w:rPr>
        <w:t xml:space="preserve">Previous research </w:t>
      </w:r>
      <w:r w:rsidR="004232C8">
        <w:rPr>
          <w:rFonts w:asciiTheme="minorHAnsi" w:hAnsiTheme="minorHAnsi" w:cstheme="minorHAnsi"/>
          <w:sz w:val="22"/>
          <w:szCs w:val="22"/>
        </w:rPr>
        <w:t xml:space="preserve">using this model system </w:t>
      </w:r>
      <w:r w:rsidR="004232C8" w:rsidRPr="00B3487B">
        <w:rPr>
          <w:rFonts w:asciiTheme="minorHAnsi" w:hAnsiTheme="minorHAnsi" w:cstheme="minorHAnsi"/>
          <w:sz w:val="22"/>
          <w:szCs w:val="22"/>
        </w:rPr>
        <w:t xml:space="preserve">has measured the contributions of both hydrogen bonding and weak polar interactions in the membrane and determined that these forces can drive membrane protein folding </w: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 </w:instrTex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EN.CITE.DATA </w:instrText>
      </w:r>
      <w:r w:rsidR="004232C8">
        <w:rPr>
          <w:rFonts w:asciiTheme="minorHAnsi" w:hAnsiTheme="minorHAnsi" w:cstheme="minorHAnsi"/>
          <w:sz w:val="22"/>
          <w:szCs w:val="22"/>
        </w:rPr>
      </w:r>
      <w:r w:rsidR="004232C8">
        <w:rPr>
          <w:rFonts w:asciiTheme="minorHAnsi" w:hAnsiTheme="minorHAnsi" w:cstheme="minorHAnsi"/>
          <w:sz w:val="22"/>
          <w:szCs w:val="22"/>
        </w:rPr>
        <w:fldChar w:fldCharType="end"/>
      </w:r>
      <w:r w:rsidR="004232C8">
        <w:rPr>
          <w:rFonts w:asciiTheme="minorHAnsi" w:hAnsiTheme="minorHAnsi" w:cstheme="minorHAnsi"/>
          <w:sz w:val="22"/>
          <w:szCs w:val="22"/>
        </w:rPr>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(Johnson et al., 2007; Yano et al., 2002; Zhou et al., 2001)</w:t>
      </w:r>
      <w:r w:rsidR="004232C8">
        <w:rPr>
          <w:rFonts w:asciiTheme="minorHAnsi" w:hAnsiTheme="minorHAnsi" w:cstheme="minorHAnsi"/>
          <w:sz w:val="22"/>
          <w:szCs w:val="22"/>
        </w:rPr>
        <w:fldChar w:fldCharType="end"/>
      </w:r>
      <w:r w:rsidR="00EB5B2D">
        <w:rPr>
          <w:rFonts w:asciiTheme="minorHAnsi" w:hAnsiTheme="minorHAnsi" w:cstheme="minorHAnsi"/>
          <w:sz w:val="22"/>
          <w:szCs w:val="22"/>
        </w:rPr>
        <w:t xml:space="preserve">. Using a large-scale computational design on common dimeric backbone geometries found within the PDB paired with a complementary high throughput method to measure </w:t>
      </w:r>
      <w:r w:rsidR="00EB5B2D">
        <w:rPr>
          <w:rFonts w:asciiTheme="minorHAnsi" w:hAnsiTheme="minorHAnsi" w:cstheme="minorHAnsi"/>
          <w:sz w:val="22"/>
          <w:szCs w:val="22"/>
        </w:rPr>
        <w:lastRenderedPageBreak/>
        <w:t>transmembrane (TM) association, we have determined that sidechain packing is a weak driving force involved in TM association.</w:t>
      </w:r>
    </w:p>
    <w:p w14:paraId="7F3CE8FB" w14:textId="4B368AE2" w:rsidR="00682A1D" w:rsidRPr="004232C8" w:rsidRDefault="006A6841" w:rsidP="00400C76">
      <w:pPr>
        <w:pStyle w:val="Standard"/>
        <w:jc w:val="both"/>
        <w:rPr>
          <w:rFonts w:asciiTheme="minorHAnsi" w:hAnsiTheme="minorHAnsi" w:cstheme="minorHAnsi"/>
          <w:b/>
          <w:bCs/>
          <w:sz w:val="22"/>
          <w:szCs w:val="22"/>
        </w:rPr>
      </w:pPr>
      <w:r w:rsidRPr="004232C8">
        <w:rPr>
          <w:rFonts w:asciiTheme="minorHAnsi" w:hAnsiTheme="minorHAnsi" w:cstheme="minorHAnsi"/>
          <w:b/>
          <w:bCs/>
          <w:sz w:val="22"/>
          <w:szCs w:val="22"/>
        </w:rPr>
        <w:t>Results</w:t>
      </w:r>
    </w:p>
    <w:p w14:paraId="750982BE" w14:textId="324064B8" w:rsidR="00682A1D" w:rsidRDefault="00682A1D" w:rsidP="00400C76">
      <w:pPr>
        <w:pStyle w:val="Standard"/>
        <w:jc w:val="both"/>
        <w:rPr>
          <w:rFonts w:asciiTheme="minorHAnsi" w:hAnsiTheme="minorHAnsi" w:cstheme="minorHAnsi"/>
          <w:sz w:val="22"/>
          <w:szCs w:val="22"/>
        </w:rPr>
      </w:pPr>
    </w:p>
    <w:p w14:paraId="08E9A4C5" w14:textId="637089FB" w:rsidR="00682A1D" w:rsidRDefault="0080361C" w:rsidP="00400C76">
      <w:pPr>
        <w:pStyle w:val="Standard"/>
        <w:jc w:val="both"/>
        <w:rPr>
          <w:rFonts w:asciiTheme="minorHAnsi" w:hAnsiTheme="minorHAnsi" w:cstheme="minorHAnsi"/>
          <w:b/>
          <w:bCs/>
          <w:sz w:val="22"/>
          <w:szCs w:val="22"/>
        </w:rPr>
      </w:pPr>
      <w:r>
        <w:rPr>
          <w:rFonts w:asciiTheme="minorHAnsi" w:hAnsiTheme="minorHAnsi" w:cstheme="minorHAnsi"/>
          <w:b/>
          <w:bCs/>
          <w:sz w:val="22"/>
          <w:szCs w:val="22"/>
        </w:rPr>
        <w:t xml:space="preserve">Figure </w:t>
      </w:r>
      <w:proofErr w:type="spellStart"/>
      <w:r>
        <w:rPr>
          <w:rFonts w:asciiTheme="minorHAnsi" w:hAnsiTheme="minorHAnsi" w:cstheme="minorHAnsi"/>
          <w:b/>
          <w:bCs/>
          <w:sz w:val="22"/>
          <w:szCs w:val="22"/>
        </w:rPr>
        <w:t>MP_design</w:t>
      </w:r>
      <w:proofErr w:type="spellEnd"/>
    </w:p>
    <w:p w14:paraId="0662C2DB" w14:textId="0AB930FF" w:rsidR="00682A1D" w:rsidRDefault="00682A1D" w:rsidP="00400C76">
      <w:pPr>
        <w:pStyle w:val="Standard"/>
        <w:jc w:val="both"/>
        <w:rPr>
          <w:rFonts w:asciiTheme="minorHAnsi" w:hAnsiTheme="minorHAnsi" w:cstheme="minorHAnsi"/>
          <w:b/>
          <w:bCs/>
          <w:sz w:val="22"/>
          <w:szCs w:val="22"/>
        </w:rPr>
      </w:pPr>
    </w:p>
    <w:p w14:paraId="5C7BC219" w14:textId="033E2BAD" w:rsidR="006824B8" w:rsidRDefault="006D1AF3" w:rsidP="00400C76">
      <w:pPr>
        <w:pStyle w:val="Standard"/>
        <w:jc w:val="both"/>
        <w:rPr>
          <w:rFonts w:asciiTheme="minorHAnsi" w:hAnsiTheme="minorHAnsi" w:cstheme="minorHAnsi"/>
          <w:b/>
          <w:bCs/>
          <w:sz w:val="22"/>
          <w:szCs w:val="22"/>
        </w:rPr>
      </w:pPr>
      <w:r>
        <w:rPr>
          <w:noProof/>
        </w:rPr>
        <w:drawing>
          <wp:inline distT="0" distB="0" distL="0" distR="0" wp14:anchorId="5F1AB6B9" wp14:editId="4FFDAF4F">
            <wp:extent cx="6858000" cy="3552190"/>
            <wp:effectExtent l="0" t="0" r="0" b="0"/>
            <wp:docPr id="16979326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2651"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3552190"/>
                    </a:xfrm>
                    <a:prstGeom prst="rect">
                      <a:avLst/>
                    </a:prstGeom>
                    <a:noFill/>
                    <a:ln>
                      <a:noFill/>
                    </a:ln>
                  </pic:spPr>
                </pic:pic>
              </a:graphicData>
            </a:graphic>
          </wp:inline>
        </w:drawing>
      </w:r>
    </w:p>
    <w:p w14:paraId="15DA0242" w14:textId="5590E07E" w:rsidR="00682A1D" w:rsidRDefault="0080361C" w:rsidP="00400C76">
      <w:pPr>
        <w:jc w:val="both"/>
      </w:pPr>
      <w:r>
        <w:t xml:space="preserve">Figure </w:t>
      </w:r>
      <w:proofErr w:type="spellStart"/>
      <w:r>
        <w:t>MP_design</w:t>
      </w:r>
      <w:proofErr w:type="spellEnd"/>
      <w:r>
        <w:t>: Membrane protein dimer design. (a) Helices within close contact were extracted from</w:t>
      </w:r>
      <w:r w:rsidR="00F43261">
        <w:t xml:space="preserve"> the Orientations of Proteins in membranes (OPM) in </w:t>
      </w:r>
      <w:r w:rsidR="008D738E">
        <w:t>September</w:t>
      </w:r>
      <w:r w:rsidR="00F43261">
        <w:t xml:space="preserve"> 20</w:t>
      </w:r>
      <w:r w:rsidR="008D738E">
        <w:t>19</w:t>
      </w:r>
      <w:r>
        <w:t>. The</w:t>
      </w:r>
      <w:r w:rsidR="00F43261">
        <w:t xml:space="preserve"> </w:t>
      </w:r>
      <w:r>
        <w:t>geometric terms</w:t>
      </w:r>
      <w:r w:rsidR="00F43261">
        <w:t xml:space="preserve"> were extracted and</w:t>
      </w:r>
      <w:r>
        <w:t xml:space="preserve"> overlaid over the</w:t>
      </w:r>
      <w:r w:rsidR="00EB5B2D">
        <w:t xml:space="preserve"> kernel</w:t>
      </w:r>
      <w:r>
        <w:t xml:space="preserve"> density</w:t>
      </w:r>
      <w:r w:rsidR="00EB5B2D">
        <w:t xml:space="preserve"> estimation</w:t>
      </w:r>
      <w:r>
        <w:t xml:space="preserve"> of the</w:t>
      </w:r>
      <w:r w:rsidR="00F43261">
        <w:t xml:space="preserve"> membrane protein contact </w:t>
      </w:r>
      <w:r>
        <w:t xml:space="preserve">space. (b) </w:t>
      </w:r>
      <w:r w:rsidR="006D1AF3">
        <w:t>Interfaces for designs on poly-leucine backbones</w:t>
      </w:r>
      <w:r w:rsidR="00C02B36">
        <w:t xml:space="preserve">, where x is an interfacial position that can be designed using a library of the most prevalent amino acids in membrane proteins. Glycine is only used for </w:t>
      </w:r>
      <w:proofErr w:type="spellStart"/>
      <w:r w:rsidR="00C02B36">
        <w:t>GASright</w:t>
      </w:r>
      <w:proofErr w:type="spellEnd"/>
      <w:r w:rsidR="00C02B36">
        <w:t xml:space="preserve"> designs. </w:t>
      </w:r>
      <w:r>
        <w:t xml:space="preserve"> (c) </w:t>
      </w:r>
      <w:r w:rsidR="006D1AF3">
        <w:t>Structures undergo local backbone minimization by alternating 4 geometric parameters: distance (d), angle (</w:t>
      </w:r>
      <w:r w:rsidR="006D1AF3" w:rsidRPr="006D1AF3">
        <w:t>θ</w:t>
      </w:r>
      <w:r w:rsidR="006D1AF3">
        <w:t>), axial rotation (</w:t>
      </w:r>
      <w:r w:rsidR="006D1AF3" w:rsidRPr="006D1AF3">
        <w:t>ω</w:t>
      </w:r>
      <w:r w:rsidR="006D1AF3">
        <w:t>), and Z shift</w:t>
      </w:r>
      <w:r w:rsidR="00F43261">
        <w:t>.</w:t>
      </w:r>
      <w:r w:rsidR="006D1AF3">
        <w:t xml:space="preserve"> (d) Design geometries overlaid on the helix-helix density distribution in panel a. Each point is colored by their respective design energy score.</w:t>
      </w:r>
    </w:p>
    <w:p w14:paraId="769205DE" w14:textId="72695F95" w:rsidR="004A03F0" w:rsidRPr="004A03F0" w:rsidRDefault="004A03F0" w:rsidP="004A03F0">
      <w:pPr>
        <w:pStyle w:val="Standard"/>
        <w:jc w:val="both"/>
        <w:rPr>
          <w:rFonts w:asciiTheme="minorHAnsi" w:hAnsiTheme="minorHAnsi" w:cstheme="minorHAnsi"/>
          <w:b/>
          <w:bCs/>
          <w:sz w:val="22"/>
          <w:szCs w:val="22"/>
        </w:rPr>
      </w:pPr>
      <w:r w:rsidRPr="004A03F0">
        <w:rPr>
          <w:rFonts w:asciiTheme="minorHAnsi" w:hAnsiTheme="minorHAnsi" w:cstheme="minorHAnsi"/>
          <w:b/>
          <w:bCs/>
          <w:sz w:val="22"/>
          <w:szCs w:val="22"/>
        </w:rPr>
        <w:t>Extracting membrane protein geometries from the Protein Databank (PDB)</w:t>
      </w:r>
    </w:p>
    <w:p w14:paraId="7060B4D9" w14:textId="60607BE4" w:rsidR="00342FB0" w:rsidRDefault="005509C0"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To</w:t>
      </w:r>
      <w:r w:rsidR="00A121A2">
        <w:rPr>
          <w:rFonts w:asciiTheme="minorHAnsi" w:hAnsiTheme="minorHAnsi" w:cstheme="minorHAnsi"/>
          <w:sz w:val="22"/>
          <w:szCs w:val="22"/>
        </w:rPr>
        <w:t xml:space="preserve"> design a large dataset of protein dimers, we sought t</w:t>
      </w:r>
      <w:r w:rsidR="006E4A53">
        <w:rPr>
          <w:rFonts w:asciiTheme="minorHAnsi" w:hAnsiTheme="minorHAnsi" w:cstheme="minorHAnsi"/>
          <w:sz w:val="22"/>
          <w:szCs w:val="22"/>
        </w:rPr>
        <w:t>o identify helix-helix geometries for protein design of an array of structures with diverse stabilities that can be tested experimentally, w</w:t>
      </w:r>
      <w:r w:rsidR="00EB5B2D">
        <w:rPr>
          <w:rFonts w:asciiTheme="minorHAnsi" w:hAnsiTheme="minorHAnsi" w:cstheme="minorHAnsi"/>
          <w:sz w:val="22"/>
          <w:szCs w:val="22"/>
        </w:rPr>
        <w:t xml:space="preserve">e began by analyzing membrane protein structures found in the PDB. </w:t>
      </w:r>
      <w:r w:rsidR="006E4A53">
        <w:rPr>
          <w:rFonts w:asciiTheme="minorHAnsi" w:hAnsiTheme="minorHAnsi" w:cstheme="minorHAnsi"/>
          <w:sz w:val="22"/>
          <w:szCs w:val="22"/>
        </w:rPr>
        <w:t>W</w:t>
      </w:r>
      <w:r w:rsidR="00EB5B2D">
        <w:rPr>
          <w:rFonts w:asciiTheme="minorHAnsi" w:hAnsiTheme="minorHAnsi" w:cstheme="minorHAnsi"/>
          <w:sz w:val="22"/>
          <w:szCs w:val="22"/>
        </w:rPr>
        <w:t>e extracted all membrane protein structures solved through x-ray crystallography and cryo-EM found in the Orientations of Proteins in Membranes (OPM) database in September 2019</w:t>
      </w:r>
      <w:r w:rsidR="003E04F0">
        <w:rPr>
          <w:rFonts w:asciiTheme="minorHAnsi" w:hAnsiTheme="minorHAnsi" w:cstheme="minorHAnsi"/>
          <w:sz w:val="22"/>
          <w:szCs w:val="22"/>
        </w:rPr>
        <w:t xml:space="preserve"> </w:t>
      </w:r>
      <w:r w:rsidR="00EB5B2D">
        <w:rPr>
          <w:rFonts w:asciiTheme="minorHAnsi" w:hAnsiTheme="minorHAnsi" w:cstheme="minorHAnsi"/>
          <w:sz w:val="22"/>
          <w:szCs w:val="22"/>
        </w:rPr>
        <w:t>and any two helices in close contact were extracted as a helical pair</w:t>
      </w:r>
      <w:r w:rsidR="003E04F0">
        <w:rPr>
          <w:rFonts w:asciiTheme="minorHAnsi" w:hAnsiTheme="minorHAnsi" w:cstheme="minorHAnsi"/>
          <w:sz w:val="22"/>
          <w:szCs w:val="22"/>
        </w:rPr>
        <w:t>.</w:t>
      </w:r>
      <w:r w:rsidR="00EB5B2D">
        <w:rPr>
          <w:rFonts w:asciiTheme="minorHAnsi" w:hAnsiTheme="minorHAnsi" w:cstheme="minorHAnsi"/>
          <w:sz w:val="22"/>
          <w:szCs w:val="22"/>
        </w:rPr>
        <w:t xml:space="preserve"> The geometric parameters for each of these pairs were </w:t>
      </w:r>
      <w:r w:rsidR="006E4A53">
        <w:rPr>
          <w:rFonts w:asciiTheme="minorHAnsi" w:hAnsiTheme="minorHAnsi" w:cstheme="minorHAnsi"/>
          <w:sz w:val="22"/>
          <w:szCs w:val="22"/>
        </w:rPr>
        <w:t>procured</w:t>
      </w:r>
      <w:r w:rsidR="00EB5B2D">
        <w:rPr>
          <w:rFonts w:asciiTheme="minorHAnsi" w:hAnsiTheme="minorHAnsi" w:cstheme="minorHAnsi"/>
          <w:sz w:val="22"/>
          <w:szCs w:val="22"/>
        </w:rPr>
        <w:t xml:space="preserve"> and plotted as a scatterplot</w:t>
      </w:r>
      <w:r w:rsidR="006E4A53">
        <w:rPr>
          <w:rFonts w:asciiTheme="minorHAnsi" w:hAnsiTheme="minorHAnsi" w:cstheme="minorHAnsi"/>
          <w:sz w:val="22"/>
          <w:szCs w:val="22"/>
        </w:rPr>
        <w:t>, allowing us</w:t>
      </w:r>
      <w:r w:rsidR="00EB5B2D">
        <w:rPr>
          <w:rFonts w:asciiTheme="minorHAnsi" w:hAnsiTheme="minorHAnsi" w:cstheme="minorHAnsi"/>
          <w:sz w:val="22"/>
          <w:szCs w:val="22"/>
        </w:rPr>
        <w:t xml:space="preserve"> to determine the density distribution</w:t>
      </w:r>
      <w:r w:rsidR="006E4A53">
        <w:rPr>
          <w:rFonts w:asciiTheme="minorHAnsi" w:hAnsiTheme="minorHAnsi" w:cstheme="minorHAnsi"/>
          <w:sz w:val="22"/>
          <w:szCs w:val="22"/>
        </w:rPr>
        <w:t xml:space="preserve"> of these parameters</w:t>
      </w:r>
      <w:r w:rsidR="00EB5B2D">
        <w:rPr>
          <w:rFonts w:asciiTheme="minorHAnsi" w:hAnsiTheme="minorHAnsi" w:cstheme="minorHAnsi"/>
          <w:sz w:val="22"/>
          <w:szCs w:val="22"/>
        </w:rPr>
        <w:t xml:space="preserve"> in geometric space (</w:t>
      </w:r>
      <w:r w:rsidR="00EB5B2D" w:rsidRPr="0085366E">
        <w:rPr>
          <w:rFonts w:asciiTheme="minorHAnsi" w:hAnsiTheme="minorHAnsi" w:cstheme="minorHAnsi"/>
          <w:b/>
          <w:bCs/>
          <w:sz w:val="22"/>
          <w:szCs w:val="22"/>
        </w:rPr>
        <w:t xml:space="preserve">Figure </w:t>
      </w:r>
      <w:proofErr w:type="spellStart"/>
      <w:r w:rsidR="00EB5B2D" w:rsidRPr="0085366E">
        <w:rPr>
          <w:rFonts w:asciiTheme="minorHAnsi" w:hAnsiTheme="minorHAnsi" w:cstheme="minorHAnsi"/>
          <w:b/>
          <w:bCs/>
          <w:sz w:val="22"/>
          <w:szCs w:val="22"/>
        </w:rPr>
        <w:t>MP_design</w:t>
      </w:r>
      <w:proofErr w:type="spellEnd"/>
      <w:r w:rsidR="00EB5B2D" w:rsidRPr="0085366E">
        <w:rPr>
          <w:rFonts w:asciiTheme="minorHAnsi" w:hAnsiTheme="minorHAnsi" w:cstheme="minorHAnsi"/>
          <w:b/>
          <w:bCs/>
          <w:sz w:val="22"/>
          <w:szCs w:val="22"/>
        </w:rPr>
        <w:t xml:space="preserve"> A</w:t>
      </w:r>
      <w:r w:rsidR="00EB5B2D">
        <w:rPr>
          <w:rFonts w:asciiTheme="minorHAnsi" w:hAnsiTheme="minorHAnsi" w:cstheme="minorHAnsi"/>
          <w:sz w:val="22"/>
          <w:szCs w:val="22"/>
        </w:rPr>
        <w:t>).</w:t>
      </w:r>
      <w:r w:rsidR="003E04F0">
        <w:rPr>
          <w:rFonts w:asciiTheme="minorHAnsi" w:hAnsiTheme="minorHAnsi" w:cstheme="minorHAnsi"/>
          <w:sz w:val="22"/>
          <w:szCs w:val="22"/>
        </w:rPr>
        <w:t xml:space="preserve"> </w:t>
      </w:r>
      <w:r w:rsidR="006E4A53">
        <w:rPr>
          <w:rFonts w:asciiTheme="minorHAnsi" w:hAnsiTheme="minorHAnsi" w:cstheme="minorHAnsi"/>
          <w:sz w:val="22"/>
          <w:szCs w:val="22"/>
        </w:rPr>
        <w:t>Utilizing the distances and crossing angles from these structures, w</w:t>
      </w:r>
      <w:r w:rsidR="003E04F0">
        <w:rPr>
          <w:rFonts w:asciiTheme="minorHAnsi" w:hAnsiTheme="minorHAnsi" w:cstheme="minorHAnsi"/>
          <w:sz w:val="22"/>
          <w:szCs w:val="22"/>
        </w:rPr>
        <w:t xml:space="preserve">e were able to identify </w:t>
      </w:r>
      <w:r w:rsidR="00875005">
        <w:rPr>
          <w:rFonts w:asciiTheme="minorHAnsi" w:hAnsiTheme="minorHAnsi" w:cstheme="minorHAnsi"/>
          <w:sz w:val="22"/>
          <w:szCs w:val="22"/>
        </w:rPr>
        <w:t>three</w:t>
      </w:r>
      <w:r w:rsidR="003E04F0">
        <w:rPr>
          <w:rFonts w:asciiTheme="minorHAnsi" w:hAnsiTheme="minorHAnsi" w:cstheme="minorHAnsi"/>
          <w:sz w:val="22"/>
          <w:szCs w:val="22"/>
        </w:rPr>
        <w:t xml:space="preserve"> high-density </w:t>
      </w:r>
      <w:r w:rsidR="006E4A53">
        <w:rPr>
          <w:rFonts w:asciiTheme="minorHAnsi" w:hAnsiTheme="minorHAnsi" w:cstheme="minorHAnsi"/>
          <w:sz w:val="22"/>
          <w:szCs w:val="22"/>
        </w:rPr>
        <w:t xml:space="preserve">geometric </w:t>
      </w:r>
      <w:r w:rsidR="003E04F0">
        <w:rPr>
          <w:rFonts w:asciiTheme="minorHAnsi" w:hAnsiTheme="minorHAnsi" w:cstheme="minorHAnsi"/>
          <w:sz w:val="22"/>
          <w:szCs w:val="22"/>
        </w:rPr>
        <w:t>regions</w:t>
      </w:r>
      <w:r w:rsidR="00875005">
        <w:rPr>
          <w:rFonts w:asciiTheme="minorHAnsi" w:hAnsiTheme="minorHAnsi" w:cstheme="minorHAnsi"/>
          <w:sz w:val="22"/>
          <w:szCs w:val="22"/>
        </w:rPr>
        <w:t xml:space="preserve">: </w:t>
      </w:r>
      <w:r w:rsidR="003E04F0">
        <w:rPr>
          <w:rFonts w:asciiTheme="minorHAnsi" w:hAnsiTheme="minorHAnsi" w:cstheme="minorHAnsi"/>
          <w:sz w:val="22"/>
          <w:szCs w:val="22"/>
        </w:rPr>
        <w:t>between 8.5 and 10 angstroms in distance with a left-handed crossing angle from 20 to 40</w:t>
      </w:r>
      <w:r w:rsidR="006E4A53">
        <w:rPr>
          <w:rFonts w:asciiTheme="minorHAnsi" w:hAnsiTheme="minorHAnsi" w:cstheme="minorHAnsi"/>
          <w:sz w:val="22"/>
          <w:szCs w:val="22"/>
        </w:rPr>
        <w:t xml:space="preserve"> (Left)</w:t>
      </w:r>
      <w:r w:rsidR="00875005">
        <w:rPr>
          <w:rFonts w:asciiTheme="minorHAnsi" w:hAnsiTheme="minorHAnsi" w:cstheme="minorHAnsi"/>
          <w:sz w:val="22"/>
          <w:szCs w:val="22"/>
        </w:rPr>
        <w:t xml:space="preserve">, between </w:t>
      </w:r>
      <w:r w:rsidR="006824B8">
        <w:rPr>
          <w:rFonts w:asciiTheme="minorHAnsi" w:hAnsiTheme="minorHAnsi" w:cstheme="minorHAnsi"/>
          <w:sz w:val="22"/>
          <w:szCs w:val="22"/>
        </w:rPr>
        <w:t>7</w:t>
      </w:r>
      <w:r w:rsidR="00875005">
        <w:rPr>
          <w:rFonts w:asciiTheme="minorHAnsi" w:hAnsiTheme="minorHAnsi" w:cstheme="minorHAnsi"/>
          <w:sz w:val="22"/>
          <w:szCs w:val="22"/>
        </w:rPr>
        <w:t>.</w:t>
      </w:r>
      <w:r w:rsidR="006824B8">
        <w:rPr>
          <w:rFonts w:asciiTheme="minorHAnsi" w:hAnsiTheme="minorHAnsi" w:cstheme="minorHAnsi"/>
          <w:sz w:val="22"/>
          <w:szCs w:val="22"/>
        </w:rPr>
        <w:t>7</w:t>
      </w:r>
      <w:r w:rsidR="00875005">
        <w:rPr>
          <w:rFonts w:asciiTheme="minorHAnsi" w:hAnsiTheme="minorHAnsi" w:cstheme="minorHAnsi"/>
          <w:sz w:val="22"/>
          <w:szCs w:val="22"/>
        </w:rPr>
        <w:t xml:space="preserve">5 and </w:t>
      </w:r>
      <w:r w:rsidR="006824B8">
        <w:rPr>
          <w:rFonts w:asciiTheme="minorHAnsi" w:hAnsiTheme="minorHAnsi" w:cstheme="minorHAnsi"/>
          <w:sz w:val="22"/>
          <w:szCs w:val="22"/>
        </w:rPr>
        <w:t>9.5</w:t>
      </w:r>
      <w:r w:rsidR="00875005">
        <w:rPr>
          <w:rFonts w:asciiTheme="minorHAnsi" w:hAnsiTheme="minorHAnsi" w:cstheme="minorHAnsi"/>
          <w:sz w:val="22"/>
          <w:szCs w:val="22"/>
        </w:rPr>
        <w:t xml:space="preserve"> angstroms with a right-handed crossing angle between -30 and -60</w:t>
      </w:r>
      <w:r w:rsidR="006E4A53">
        <w:rPr>
          <w:rFonts w:asciiTheme="minorHAnsi" w:hAnsiTheme="minorHAnsi" w:cstheme="minorHAnsi"/>
          <w:sz w:val="22"/>
          <w:szCs w:val="22"/>
        </w:rPr>
        <w:t xml:space="preserve"> (Right)</w:t>
      </w:r>
      <w:r w:rsidR="00875005">
        <w:rPr>
          <w:rFonts w:asciiTheme="minorHAnsi" w:hAnsiTheme="minorHAnsi" w:cstheme="minorHAnsi"/>
          <w:sz w:val="22"/>
          <w:szCs w:val="22"/>
        </w:rPr>
        <w:t>, and between 6.5 and 7.5 angstroms in distance with a right-handed crossing angle between -25 and -55</w:t>
      </w:r>
      <w:r w:rsidR="006E4A53">
        <w:rPr>
          <w:rFonts w:asciiTheme="minorHAnsi" w:hAnsiTheme="minorHAnsi" w:cstheme="minorHAnsi"/>
          <w:sz w:val="22"/>
          <w:szCs w:val="22"/>
        </w:rPr>
        <w:t xml:space="preserve"> (</w:t>
      </w:r>
      <w:proofErr w:type="spellStart"/>
      <w:r w:rsidR="006E4A53">
        <w:rPr>
          <w:rFonts w:asciiTheme="minorHAnsi" w:hAnsiTheme="minorHAnsi" w:cstheme="minorHAnsi"/>
          <w:sz w:val="22"/>
          <w:szCs w:val="22"/>
        </w:rPr>
        <w:t>GASright</w:t>
      </w:r>
      <w:proofErr w:type="spellEnd"/>
      <w:r w:rsidR="006E4A53">
        <w:rPr>
          <w:rFonts w:asciiTheme="minorHAnsi" w:hAnsiTheme="minorHAnsi" w:cstheme="minorHAnsi"/>
          <w:sz w:val="22"/>
          <w:szCs w:val="22"/>
        </w:rPr>
        <w:t>)</w:t>
      </w:r>
      <w:r w:rsidR="00875005">
        <w:rPr>
          <w:rFonts w:asciiTheme="minorHAnsi" w:hAnsiTheme="minorHAnsi" w:cstheme="minorHAnsi"/>
          <w:sz w:val="22"/>
          <w:szCs w:val="22"/>
        </w:rPr>
        <w:t xml:space="preserve">. </w:t>
      </w:r>
      <w:r w:rsidR="006E4A53">
        <w:rPr>
          <w:rFonts w:asciiTheme="minorHAnsi" w:hAnsiTheme="minorHAnsi" w:cstheme="minorHAnsi"/>
          <w:sz w:val="22"/>
          <w:szCs w:val="22"/>
        </w:rPr>
        <w:t xml:space="preserve">The </w:t>
      </w:r>
      <w:proofErr w:type="spellStart"/>
      <w:r w:rsidR="006E4A53">
        <w:rPr>
          <w:rFonts w:asciiTheme="minorHAnsi" w:hAnsiTheme="minorHAnsi" w:cstheme="minorHAnsi"/>
          <w:sz w:val="22"/>
          <w:szCs w:val="22"/>
        </w:rPr>
        <w:t>GASright</w:t>
      </w:r>
      <w:proofErr w:type="spellEnd"/>
      <w:r w:rsidR="006E4A53">
        <w:rPr>
          <w:rFonts w:asciiTheme="minorHAnsi" w:hAnsiTheme="minorHAnsi" w:cstheme="minorHAnsi"/>
          <w:sz w:val="22"/>
          <w:szCs w:val="22"/>
        </w:rPr>
        <w:t xml:space="preserve"> region</w:t>
      </w:r>
      <w:r w:rsidR="00F6356F">
        <w:rPr>
          <w:rFonts w:asciiTheme="minorHAnsi" w:hAnsiTheme="minorHAnsi" w:cstheme="minorHAnsi"/>
          <w:sz w:val="22"/>
          <w:szCs w:val="22"/>
        </w:rPr>
        <w:t xml:space="preserve"> is well characterized and</w:t>
      </w:r>
      <w:r w:rsidR="00875005">
        <w:rPr>
          <w:rFonts w:asciiTheme="minorHAnsi" w:hAnsiTheme="minorHAnsi" w:cstheme="minorHAnsi"/>
          <w:sz w:val="22"/>
          <w:szCs w:val="22"/>
        </w:rPr>
        <w:t xml:space="preserve"> known to be stabilized by a combination of sidechain packing and hydrogen bonding (cite).</w:t>
      </w:r>
      <w:r w:rsidR="006E7FD6">
        <w:rPr>
          <w:rFonts w:asciiTheme="minorHAnsi" w:hAnsiTheme="minorHAnsi" w:cstheme="minorHAnsi"/>
          <w:sz w:val="22"/>
          <w:szCs w:val="22"/>
        </w:rPr>
        <w:t xml:space="preserve"> </w:t>
      </w:r>
      <w:r w:rsidR="006E4A53">
        <w:rPr>
          <w:rFonts w:asciiTheme="minorHAnsi" w:hAnsiTheme="minorHAnsi" w:cstheme="minorHAnsi"/>
          <w:sz w:val="22"/>
          <w:szCs w:val="22"/>
        </w:rPr>
        <w:t>W</w:t>
      </w:r>
      <w:r w:rsidR="00105287">
        <w:rPr>
          <w:rFonts w:asciiTheme="minorHAnsi" w:hAnsiTheme="minorHAnsi" w:cstheme="minorHAnsi"/>
          <w:sz w:val="22"/>
          <w:szCs w:val="22"/>
        </w:rPr>
        <w:t xml:space="preserve">e </w:t>
      </w:r>
      <w:r w:rsidR="00C23A95">
        <w:rPr>
          <w:rFonts w:asciiTheme="minorHAnsi" w:hAnsiTheme="minorHAnsi" w:cstheme="minorHAnsi"/>
          <w:sz w:val="22"/>
          <w:szCs w:val="22"/>
        </w:rPr>
        <w:t>opted</w:t>
      </w:r>
      <w:r w:rsidR="00105287">
        <w:rPr>
          <w:rFonts w:asciiTheme="minorHAnsi" w:hAnsiTheme="minorHAnsi" w:cstheme="minorHAnsi"/>
          <w:sz w:val="22"/>
          <w:szCs w:val="22"/>
        </w:rPr>
        <w:t xml:space="preserve"> to </w:t>
      </w:r>
      <w:r w:rsidR="00F6356F">
        <w:rPr>
          <w:rFonts w:asciiTheme="minorHAnsi" w:hAnsiTheme="minorHAnsi" w:cstheme="minorHAnsi"/>
          <w:sz w:val="22"/>
          <w:szCs w:val="22"/>
        </w:rPr>
        <w:t>design</w:t>
      </w:r>
      <w:r w:rsidR="00105287">
        <w:rPr>
          <w:rFonts w:asciiTheme="minorHAnsi" w:hAnsiTheme="minorHAnsi" w:cstheme="minorHAnsi"/>
          <w:sz w:val="22"/>
          <w:szCs w:val="22"/>
        </w:rPr>
        <w:t xml:space="preserve"> </w:t>
      </w:r>
      <w:r w:rsidR="00F6356F">
        <w:rPr>
          <w:rFonts w:asciiTheme="minorHAnsi" w:hAnsiTheme="minorHAnsi" w:cstheme="minorHAnsi"/>
          <w:sz w:val="22"/>
          <w:szCs w:val="22"/>
        </w:rPr>
        <w:t xml:space="preserve">within the </w:t>
      </w:r>
      <w:proofErr w:type="spellStart"/>
      <w:r w:rsidR="00105287">
        <w:rPr>
          <w:rFonts w:asciiTheme="minorHAnsi" w:hAnsiTheme="minorHAnsi" w:cstheme="minorHAnsi"/>
          <w:sz w:val="22"/>
          <w:szCs w:val="22"/>
        </w:rPr>
        <w:t>GASright</w:t>
      </w:r>
      <w:proofErr w:type="spellEnd"/>
      <w:r w:rsidR="00105287">
        <w:rPr>
          <w:rFonts w:asciiTheme="minorHAnsi" w:hAnsiTheme="minorHAnsi" w:cstheme="minorHAnsi"/>
          <w:sz w:val="22"/>
          <w:szCs w:val="22"/>
        </w:rPr>
        <w:t xml:space="preserve"> </w:t>
      </w:r>
      <w:r w:rsidR="00F6356F">
        <w:rPr>
          <w:rFonts w:asciiTheme="minorHAnsi" w:hAnsiTheme="minorHAnsi" w:cstheme="minorHAnsi"/>
          <w:sz w:val="22"/>
          <w:szCs w:val="22"/>
        </w:rPr>
        <w:t xml:space="preserve">region </w:t>
      </w:r>
      <w:r w:rsidR="00105287">
        <w:rPr>
          <w:rFonts w:asciiTheme="minorHAnsi" w:hAnsiTheme="minorHAnsi" w:cstheme="minorHAnsi"/>
          <w:sz w:val="22"/>
          <w:szCs w:val="22"/>
        </w:rPr>
        <w:t>as a control</w:t>
      </w:r>
      <w:r w:rsidR="00C02B36">
        <w:rPr>
          <w:rFonts w:asciiTheme="minorHAnsi" w:hAnsiTheme="minorHAnsi" w:cstheme="minorHAnsi"/>
          <w:sz w:val="22"/>
          <w:szCs w:val="22"/>
        </w:rPr>
        <w:t>, allowing us to</w:t>
      </w:r>
      <w:r w:rsidR="00105287">
        <w:rPr>
          <w:rFonts w:asciiTheme="minorHAnsi" w:hAnsiTheme="minorHAnsi" w:cstheme="minorHAnsi"/>
          <w:sz w:val="22"/>
          <w:szCs w:val="22"/>
        </w:rPr>
        <w:t xml:space="preserve"> compare the impact of </w:t>
      </w:r>
      <w:r w:rsidR="00C02B36">
        <w:rPr>
          <w:rFonts w:asciiTheme="minorHAnsi" w:hAnsiTheme="minorHAnsi" w:cstheme="minorHAnsi"/>
          <w:sz w:val="22"/>
          <w:szCs w:val="22"/>
        </w:rPr>
        <w:t>sidechain packing alone</w:t>
      </w:r>
      <w:r w:rsidR="00C23A95">
        <w:rPr>
          <w:rFonts w:asciiTheme="minorHAnsi" w:hAnsiTheme="minorHAnsi" w:cstheme="minorHAnsi"/>
          <w:sz w:val="22"/>
          <w:szCs w:val="22"/>
        </w:rPr>
        <w:t xml:space="preserve"> in the Left and Right regions</w:t>
      </w:r>
      <w:r w:rsidR="00C02B36">
        <w:rPr>
          <w:rFonts w:asciiTheme="minorHAnsi" w:hAnsiTheme="minorHAnsi" w:cstheme="minorHAnsi"/>
          <w:sz w:val="22"/>
          <w:szCs w:val="22"/>
        </w:rPr>
        <w:t xml:space="preserve"> versus the</w:t>
      </w:r>
      <w:r w:rsidR="00105287">
        <w:rPr>
          <w:rFonts w:asciiTheme="minorHAnsi" w:hAnsiTheme="minorHAnsi" w:cstheme="minorHAnsi"/>
          <w:sz w:val="22"/>
          <w:szCs w:val="22"/>
        </w:rPr>
        <w:t xml:space="preserve"> additional stability included from hydrogen bonding</w:t>
      </w:r>
      <w:r w:rsidR="00C23A95">
        <w:rPr>
          <w:rFonts w:asciiTheme="minorHAnsi" w:hAnsiTheme="minorHAnsi" w:cstheme="minorHAnsi"/>
          <w:sz w:val="22"/>
          <w:szCs w:val="22"/>
        </w:rPr>
        <w:t xml:space="preserve"> in </w:t>
      </w:r>
      <w:proofErr w:type="spellStart"/>
      <w:r w:rsidR="00C23A95">
        <w:rPr>
          <w:rFonts w:asciiTheme="minorHAnsi" w:hAnsiTheme="minorHAnsi" w:cstheme="minorHAnsi"/>
          <w:sz w:val="22"/>
          <w:szCs w:val="22"/>
        </w:rPr>
        <w:t>GASright</w:t>
      </w:r>
      <w:proofErr w:type="spellEnd"/>
      <w:r w:rsidR="00105287">
        <w:rPr>
          <w:rFonts w:asciiTheme="minorHAnsi" w:hAnsiTheme="minorHAnsi" w:cstheme="minorHAnsi"/>
          <w:sz w:val="22"/>
          <w:szCs w:val="22"/>
        </w:rPr>
        <w:t>.</w:t>
      </w:r>
      <w:r w:rsidR="00EB5B2D">
        <w:rPr>
          <w:rFonts w:asciiTheme="minorHAnsi" w:hAnsiTheme="minorHAnsi" w:cstheme="minorHAnsi"/>
          <w:sz w:val="22"/>
          <w:szCs w:val="22"/>
        </w:rPr>
        <w:t xml:space="preserve"> </w:t>
      </w:r>
    </w:p>
    <w:p w14:paraId="6866493F" w14:textId="77777777" w:rsidR="00036E06" w:rsidRDefault="00036E06" w:rsidP="00036E06">
      <w:pPr>
        <w:pStyle w:val="Standard"/>
        <w:jc w:val="both"/>
        <w:rPr>
          <w:rFonts w:asciiTheme="minorHAnsi" w:hAnsiTheme="minorHAnsi" w:cstheme="minorHAnsi"/>
          <w:b/>
          <w:bCs/>
          <w:sz w:val="22"/>
          <w:szCs w:val="22"/>
        </w:rPr>
      </w:pPr>
    </w:p>
    <w:p w14:paraId="7DA4E149" w14:textId="13965F85" w:rsidR="00036E06" w:rsidRPr="00036E06" w:rsidRDefault="00036E06" w:rsidP="00036E06">
      <w:pPr>
        <w:pStyle w:val="Standard"/>
        <w:jc w:val="both"/>
        <w:rPr>
          <w:rFonts w:asciiTheme="minorHAnsi" w:hAnsiTheme="minorHAnsi" w:cstheme="minorHAnsi"/>
          <w:b/>
          <w:bCs/>
          <w:sz w:val="22"/>
          <w:szCs w:val="22"/>
        </w:rPr>
      </w:pPr>
      <w:r w:rsidRPr="004A03F0">
        <w:rPr>
          <w:rFonts w:asciiTheme="minorHAnsi" w:hAnsiTheme="minorHAnsi" w:cstheme="minorHAnsi"/>
          <w:b/>
          <w:bCs/>
          <w:sz w:val="22"/>
          <w:szCs w:val="22"/>
        </w:rPr>
        <w:t>Computational Design</w:t>
      </w:r>
      <w:r>
        <w:rPr>
          <w:rFonts w:asciiTheme="minorHAnsi" w:hAnsiTheme="minorHAnsi" w:cstheme="minorHAnsi"/>
          <w:b/>
          <w:bCs/>
          <w:sz w:val="22"/>
          <w:szCs w:val="22"/>
        </w:rPr>
        <w:t xml:space="preserve"> Strategy</w:t>
      </w:r>
    </w:p>
    <w:p w14:paraId="3814F701" w14:textId="5EAD1656" w:rsidR="004A03F0" w:rsidRPr="00DC6586" w:rsidRDefault="00036E06" w:rsidP="00DC658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In order to reduce heterogeneity of our sequences, we</w:t>
      </w:r>
      <w:r w:rsidR="00C23A95">
        <w:rPr>
          <w:rFonts w:asciiTheme="minorHAnsi" w:hAnsiTheme="minorHAnsi" w:cstheme="minorHAnsi"/>
          <w:sz w:val="22"/>
          <w:szCs w:val="22"/>
        </w:rPr>
        <w:t xml:space="preserve"> </w:t>
      </w:r>
      <w:r w:rsidR="00577652">
        <w:rPr>
          <w:rFonts w:asciiTheme="minorHAnsi" w:hAnsiTheme="minorHAnsi" w:cstheme="minorHAnsi"/>
          <w:sz w:val="22"/>
          <w:szCs w:val="22"/>
        </w:rPr>
        <w:t>chose</w:t>
      </w:r>
      <w:r>
        <w:rPr>
          <w:rFonts w:asciiTheme="minorHAnsi" w:hAnsiTheme="minorHAnsi" w:cstheme="minorHAnsi"/>
          <w:sz w:val="22"/>
          <w:szCs w:val="22"/>
        </w:rPr>
        <w:t xml:space="preserve"> to design</w:t>
      </w:r>
      <w:r w:rsidR="007707C3">
        <w:rPr>
          <w:rFonts w:asciiTheme="minorHAnsi" w:hAnsiTheme="minorHAnsi" w:cstheme="minorHAnsi"/>
          <w:sz w:val="22"/>
          <w:szCs w:val="22"/>
        </w:rPr>
        <w:t xml:space="preserve"> homodimer</w:t>
      </w:r>
      <w:r>
        <w:rPr>
          <w:rFonts w:asciiTheme="minorHAnsi" w:hAnsiTheme="minorHAnsi" w:cstheme="minorHAnsi"/>
          <w:sz w:val="22"/>
          <w:szCs w:val="22"/>
        </w:rPr>
        <w:t xml:space="preserve"> sequences using a </w:t>
      </w:r>
      <w:r w:rsidR="00E01E51">
        <w:rPr>
          <w:rFonts w:asciiTheme="minorHAnsi" w:hAnsiTheme="minorHAnsi" w:cstheme="minorHAnsi"/>
          <w:sz w:val="22"/>
          <w:szCs w:val="22"/>
        </w:rPr>
        <w:t xml:space="preserve">21-amino-acid </w:t>
      </w:r>
      <w:r>
        <w:rPr>
          <w:rFonts w:asciiTheme="minorHAnsi" w:hAnsiTheme="minorHAnsi" w:cstheme="minorHAnsi"/>
          <w:sz w:val="22"/>
          <w:szCs w:val="22"/>
        </w:rPr>
        <w:t>poly-Leu backbone sequence</w:t>
      </w:r>
      <w:r w:rsidR="00D058EF">
        <w:rPr>
          <w:rFonts w:asciiTheme="minorHAnsi" w:hAnsiTheme="minorHAnsi" w:cstheme="minorHAnsi"/>
          <w:sz w:val="22"/>
          <w:szCs w:val="22"/>
        </w:rPr>
        <w:t xml:space="preserve"> </w:t>
      </w:r>
      <w:r w:rsidR="00D058EF">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D058EF">
        <w:rPr>
          <w:rFonts w:asciiTheme="minorHAnsi" w:hAnsiTheme="minorHAnsi" w:cstheme="minorHAnsi"/>
          <w:sz w:val="22"/>
          <w:szCs w:val="22"/>
        </w:rPr>
        <w:instrText xml:space="preserve"> ADDIN EN.CITE </w:instrText>
      </w:r>
      <w:r w:rsidR="00D058EF">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D058EF">
        <w:rPr>
          <w:rFonts w:asciiTheme="minorHAnsi" w:hAnsiTheme="minorHAnsi" w:cstheme="minorHAnsi"/>
          <w:sz w:val="22"/>
          <w:szCs w:val="22"/>
        </w:rPr>
        <w:instrText xml:space="preserve"> ADDIN EN.CITE.DATA </w:instrText>
      </w:r>
      <w:r w:rsidR="00D058EF">
        <w:rPr>
          <w:rFonts w:asciiTheme="minorHAnsi" w:hAnsiTheme="minorHAnsi" w:cstheme="minorHAnsi"/>
          <w:sz w:val="22"/>
          <w:szCs w:val="22"/>
        </w:rPr>
      </w:r>
      <w:r w:rsidR="00D058EF">
        <w:rPr>
          <w:rFonts w:asciiTheme="minorHAnsi" w:hAnsiTheme="minorHAnsi" w:cstheme="minorHAnsi"/>
          <w:sz w:val="22"/>
          <w:szCs w:val="22"/>
        </w:rPr>
        <w:fldChar w:fldCharType="end"/>
      </w:r>
      <w:r w:rsidR="00D058EF">
        <w:rPr>
          <w:rFonts w:asciiTheme="minorHAnsi" w:hAnsiTheme="minorHAnsi" w:cstheme="minorHAnsi"/>
          <w:sz w:val="22"/>
          <w:szCs w:val="22"/>
        </w:rPr>
      </w:r>
      <w:r w:rsidR="00D058EF">
        <w:rPr>
          <w:rFonts w:asciiTheme="minorHAnsi" w:hAnsiTheme="minorHAnsi" w:cstheme="minorHAnsi"/>
          <w:sz w:val="22"/>
          <w:szCs w:val="22"/>
        </w:rPr>
        <w:fldChar w:fldCharType="separate"/>
      </w:r>
      <w:r w:rsidR="00D058EF">
        <w:rPr>
          <w:rFonts w:asciiTheme="minorHAnsi" w:hAnsiTheme="minorHAnsi" w:cstheme="minorHAnsi"/>
          <w:noProof/>
          <w:sz w:val="22"/>
          <w:szCs w:val="22"/>
        </w:rPr>
        <w:t>(Zhou et al., 2001)</w:t>
      </w:r>
      <w:r w:rsidR="00D058EF">
        <w:rPr>
          <w:rFonts w:asciiTheme="minorHAnsi" w:hAnsiTheme="minorHAnsi" w:cstheme="minorHAnsi"/>
          <w:sz w:val="22"/>
          <w:szCs w:val="22"/>
        </w:rPr>
        <w:fldChar w:fldCharType="end"/>
      </w:r>
      <w:r>
        <w:rPr>
          <w:rFonts w:asciiTheme="minorHAnsi" w:hAnsiTheme="minorHAnsi" w:cstheme="minorHAnsi"/>
          <w:sz w:val="22"/>
          <w:szCs w:val="22"/>
        </w:rPr>
        <w:t xml:space="preserve">. This strategy ensures that all designs have the same TM domain </w:t>
      </w:r>
      <w:r>
        <w:rPr>
          <w:rFonts w:asciiTheme="minorHAnsi" w:hAnsiTheme="minorHAnsi" w:cstheme="minorHAnsi"/>
          <w:sz w:val="22"/>
          <w:szCs w:val="22"/>
        </w:rPr>
        <w:lastRenderedPageBreak/>
        <w:t xml:space="preserve">length, </w:t>
      </w:r>
      <w:r w:rsidR="00022722">
        <w:rPr>
          <w:rFonts w:asciiTheme="minorHAnsi" w:hAnsiTheme="minorHAnsi" w:cstheme="minorHAnsi"/>
          <w:sz w:val="22"/>
          <w:szCs w:val="22"/>
        </w:rPr>
        <w:t>reduces variability in hydrophobicity, and aims to normalize</w:t>
      </w:r>
      <w:r w:rsidR="00577652">
        <w:rPr>
          <w:rFonts w:asciiTheme="minorHAnsi" w:hAnsiTheme="minorHAnsi" w:cstheme="minorHAnsi"/>
          <w:sz w:val="22"/>
          <w:szCs w:val="22"/>
        </w:rPr>
        <w:t xml:space="preserve"> experimental</w:t>
      </w:r>
      <w:r w:rsidR="00022722">
        <w:rPr>
          <w:rFonts w:asciiTheme="minorHAnsi" w:hAnsiTheme="minorHAnsi" w:cstheme="minorHAnsi"/>
          <w:sz w:val="22"/>
          <w:szCs w:val="22"/>
        </w:rPr>
        <w:t xml:space="preserve"> expression</w:t>
      </w:r>
      <w:r w:rsidR="00577652">
        <w:rPr>
          <w:rFonts w:asciiTheme="minorHAnsi" w:hAnsiTheme="minorHAnsi" w:cstheme="minorHAnsi"/>
          <w:sz w:val="22"/>
          <w:szCs w:val="22"/>
        </w:rPr>
        <w:t xml:space="preserve"> variability between</w:t>
      </w:r>
      <w:r w:rsidR="00022722">
        <w:rPr>
          <w:rFonts w:asciiTheme="minorHAnsi" w:hAnsiTheme="minorHAnsi" w:cstheme="minorHAnsi"/>
          <w:sz w:val="22"/>
          <w:szCs w:val="22"/>
        </w:rPr>
        <w:t xml:space="preserve"> designs. For each of the geometric regions, we identified 8 interfacial positions at the helix-helix interface for design</w:t>
      </w:r>
      <w:r w:rsidR="00F6356F">
        <w:rPr>
          <w:rFonts w:asciiTheme="minorHAnsi" w:hAnsiTheme="minorHAnsi" w:cstheme="minorHAnsi"/>
          <w:sz w:val="22"/>
          <w:szCs w:val="22"/>
        </w:rPr>
        <w:t xml:space="preserve"> (Figure </w:t>
      </w:r>
      <w:proofErr w:type="spellStart"/>
      <w:r w:rsidR="00F6356F">
        <w:rPr>
          <w:rFonts w:asciiTheme="minorHAnsi" w:hAnsiTheme="minorHAnsi" w:cstheme="minorHAnsi"/>
          <w:sz w:val="22"/>
          <w:szCs w:val="22"/>
        </w:rPr>
        <w:t>MP_design</w:t>
      </w:r>
      <w:proofErr w:type="spellEnd"/>
      <w:r w:rsidR="00F6356F">
        <w:rPr>
          <w:rFonts w:asciiTheme="minorHAnsi" w:hAnsiTheme="minorHAnsi" w:cstheme="minorHAnsi"/>
          <w:sz w:val="22"/>
          <w:szCs w:val="22"/>
        </w:rPr>
        <w:t xml:space="preserve"> B)</w:t>
      </w:r>
      <w:r w:rsidR="00022722">
        <w:rPr>
          <w:rFonts w:asciiTheme="minorHAnsi" w:hAnsiTheme="minorHAnsi" w:cstheme="minorHAnsi"/>
          <w:sz w:val="22"/>
          <w:szCs w:val="22"/>
        </w:rPr>
        <w:t xml:space="preserve">. </w:t>
      </w:r>
      <w:r w:rsidR="00BD0549">
        <w:rPr>
          <w:rFonts w:asciiTheme="minorHAnsi" w:hAnsiTheme="minorHAnsi" w:cstheme="minorHAnsi"/>
          <w:sz w:val="22"/>
          <w:szCs w:val="22"/>
        </w:rPr>
        <w:t xml:space="preserve">This has been implemented successfully in the past to determine the dimerization propensity of </w:t>
      </w:r>
      <w:proofErr w:type="spellStart"/>
      <w:r w:rsidR="00BD0549">
        <w:rPr>
          <w:rFonts w:asciiTheme="minorHAnsi" w:hAnsiTheme="minorHAnsi" w:cstheme="minorHAnsi"/>
          <w:sz w:val="22"/>
          <w:szCs w:val="22"/>
        </w:rPr>
        <w:t>GASright</w:t>
      </w:r>
      <w:proofErr w:type="spellEnd"/>
      <w:r w:rsidR="00BD0549">
        <w:rPr>
          <w:rFonts w:asciiTheme="minorHAnsi" w:hAnsiTheme="minorHAnsi" w:cstheme="minorHAnsi"/>
          <w:sz w:val="22"/>
          <w:szCs w:val="22"/>
        </w:rPr>
        <w:t xml:space="preserve"> proteins </w:t>
      </w:r>
      <w:r w:rsidR="00F43261">
        <w:rPr>
          <w:rFonts w:asciiTheme="minorHAnsi" w:hAnsiTheme="minorHAnsi" w:cstheme="minorHAnsi"/>
          <w:sz w:val="22"/>
          <w:szCs w:val="22"/>
        </w:rPr>
        <w:fldChar w:fldCharType="begin"/>
      </w:r>
      <w:r w:rsidR="00FE01AC">
        <w:rPr>
          <w:rFonts w:asciiTheme="minorHAnsi" w:hAnsiTheme="minorHAnsi" w:cstheme="minorHAnsi"/>
          <w:sz w:val="22"/>
          <w:szCs w:val="22"/>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format="utc"&gt;1705531325&lt;/last-updated-date&gt;&lt;accession-num&gt;29028318&lt;/accession-num&gt;&lt;electronic-resource-num&gt;10.1021/jacs.7b07505&lt;/electronic-resource-num&gt;&lt;volume&gt;139&lt;/volume&gt;&lt;/record&gt;&lt;/Cite&gt;&lt;/EndNote&gt;</w:instrText>
      </w:r>
      <w:r w:rsidR="00F43261">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w:t>
      </w:r>
      <w:r w:rsidR="00F43261">
        <w:rPr>
          <w:rFonts w:asciiTheme="minorHAnsi" w:hAnsiTheme="minorHAnsi" w:cstheme="minorHAnsi"/>
          <w:sz w:val="22"/>
          <w:szCs w:val="22"/>
        </w:rPr>
        <w:fldChar w:fldCharType="end"/>
      </w:r>
      <w:r w:rsidR="00BD0549">
        <w:rPr>
          <w:rFonts w:asciiTheme="minorHAnsi" w:hAnsiTheme="minorHAnsi" w:cstheme="minorHAnsi"/>
          <w:sz w:val="22"/>
          <w:szCs w:val="22"/>
        </w:rPr>
        <w:t xml:space="preserve">. </w:t>
      </w:r>
      <w:r w:rsidR="00446D17">
        <w:rPr>
          <w:rFonts w:asciiTheme="minorHAnsi" w:hAnsiTheme="minorHAnsi" w:cstheme="minorHAnsi"/>
          <w:sz w:val="22"/>
          <w:szCs w:val="22"/>
        </w:rPr>
        <w:t xml:space="preserve">When mutating poly-leucine for </w:t>
      </w:r>
      <w:proofErr w:type="spellStart"/>
      <w:r w:rsidR="00446D17">
        <w:rPr>
          <w:rFonts w:asciiTheme="minorHAnsi" w:hAnsiTheme="minorHAnsi" w:cstheme="minorHAnsi"/>
          <w:sz w:val="22"/>
          <w:szCs w:val="22"/>
        </w:rPr>
        <w:t>GASright</w:t>
      </w:r>
      <w:proofErr w:type="spellEnd"/>
      <w:r w:rsidR="00446D17">
        <w:rPr>
          <w:rFonts w:asciiTheme="minorHAnsi" w:hAnsiTheme="minorHAnsi" w:cstheme="minorHAnsi"/>
          <w:sz w:val="22"/>
          <w:szCs w:val="22"/>
        </w:rPr>
        <w:t xml:space="preserve">, the interfacial positions are found in a </w:t>
      </w:r>
      <w:proofErr w:type="spellStart"/>
      <w:r w:rsidR="00446D17">
        <w:rPr>
          <w:rFonts w:asciiTheme="minorHAnsi" w:hAnsiTheme="minorHAnsi" w:cstheme="minorHAnsi"/>
          <w:sz w:val="22"/>
          <w:szCs w:val="22"/>
        </w:rPr>
        <w:t>LLLxxLLxxLLxxLLxxLILI</w:t>
      </w:r>
      <w:proofErr w:type="spellEnd"/>
      <w:r w:rsidR="00446D17">
        <w:rPr>
          <w:rFonts w:asciiTheme="minorHAnsi" w:hAnsiTheme="minorHAnsi" w:cstheme="minorHAnsi"/>
          <w:sz w:val="22"/>
          <w:szCs w:val="22"/>
        </w:rPr>
        <w:t xml:space="preserve"> pattern, where x is </w:t>
      </w:r>
      <w:r w:rsidR="00CF6100">
        <w:rPr>
          <w:rFonts w:asciiTheme="minorHAnsi" w:hAnsiTheme="minorHAnsi" w:cstheme="minorHAnsi"/>
          <w:sz w:val="22"/>
          <w:szCs w:val="22"/>
        </w:rPr>
        <w:t>an interfacial position that will be</w:t>
      </w:r>
      <w:r w:rsidR="007E7D47">
        <w:rPr>
          <w:rFonts w:asciiTheme="minorHAnsi" w:hAnsiTheme="minorHAnsi" w:cstheme="minorHAnsi"/>
          <w:sz w:val="22"/>
          <w:szCs w:val="22"/>
        </w:rPr>
        <w:t xml:space="preserve"> designed</w:t>
      </w:r>
      <w:r w:rsidR="00446D17">
        <w:rPr>
          <w:rFonts w:asciiTheme="minorHAnsi" w:hAnsiTheme="minorHAnsi" w:cstheme="minorHAnsi"/>
          <w:sz w:val="22"/>
          <w:szCs w:val="22"/>
        </w:rPr>
        <w:t xml:space="preserve">. </w:t>
      </w:r>
      <w:r w:rsidR="008C4309">
        <w:rPr>
          <w:rFonts w:asciiTheme="minorHAnsi" w:hAnsiTheme="minorHAnsi" w:cstheme="minorHAnsi"/>
          <w:sz w:val="22"/>
          <w:szCs w:val="22"/>
        </w:rPr>
        <w:t xml:space="preserve">This set of interfacial positions ensures that the designed interface is centered in the middle of the membrane. </w:t>
      </w:r>
      <w:r w:rsidR="00446D17">
        <w:rPr>
          <w:rFonts w:asciiTheme="minorHAnsi" w:hAnsiTheme="minorHAnsi" w:cstheme="minorHAnsi"/>
          <w:sz w:val="22"/>
          <w:szCs w:val="22"/>
        </w:rPr>
        <w:t xml:space="preserve">For the </w:t>
      </w:r>
      <w:r w:rsidR="00C02B36">
        <w:rPr>
          <w:rFonts w:asciiTheme="minorHAnsi" w:hAnsiTheme="minorHAnsi" w:cstheme="minorHAnsi"/>
          <w:sz w:val="22"/>
          <w:szCs w:val="22"/>
        </w:rPr>
        <w:t>Right</w:t>
      </w:r>
      <w:r w:rsidR="00446D17">
        <w:rPr>
          <w:rFonts w:asciiTheme="minorHAnsi" w:hAnsiTheme="minorHAnsi" w:cstheme="minorHAnsi"/>
          <w:sz w:val="22"/>
          <w:szCs w:val="22"/>
        </w:rPr>
        <w:t xml:space="preserve"> design region</w:t>
      </w:r>
      <w:r w:rsidR="00BD0549">
        <w:rPr>
          <w:rFonts w:asciiTheme="minorHAnsi" w:hAnsiTheme="minorHAnsi" w:cstheme="minorHAnsi"/>
          <w:sz w:val="22"/>
          <w:szCs w:val="22"/>
        </w:rPr>
        <w:t xml:space="preserve">, we </w:t>
      </w:r>
      <w:r w:rsidR="008C4309">
        <w:rPr>
          <w:rFonts w:asciiTheme="minorHAnsi" w:hAnsiTheme="minorHAnsi" w:cstheme="minorHAnsi"/>
          <w:sz w:val="22"/>
          <w:szCs w:val="22"/>
        </w:rPr>
        <w:t>were able to use</w:t>
      </w:r>
      <w:r w:rsidR="00BD0549">
        <w:rPr>
          <w:rFonts w:asciiTheme="minorHAnsi" w:hAnsiTheme="minorHAnsi" w:cstheme="minorHAnsi"/>
          <w:sz w:val="22"/>
          <w:szCs w:val="22"/>
        </w:rPr>
        <w:t xml:space="preserve"> the same set of interfacial positions</w:t>
      </w:r>
      <w:r w:rsidR="00446D17">
        <w:rPr>
          <w:rFonts w:asciiTheme="minorHAnsi" w:hAnsiTheme="minorHAnsi" w:cstheme="minorHAnsi"/>
          <w:sz w:val="22"/>
          <w:szCs w:val="22"/>
        </w:rPr>
        <w:t xml:space="preserve"> as </w:t>
      </w:r>
      <w:proofErr w:type="spellStart"/>
      <w:r w:rsidR="00446D17">
        <w:rPr>
          <w:rFonts w:asciiTheme="minorHAnsi" w:hAnsiTheme="minorHAnsi" w:cstheme="minorHAnsi"/>
          <w:sz w:val="22"/>
          <w:szCs w:val="22"/>
        </w:rPr>
        <w:t>GASright</w:t>
      </w:r>
      <w:proofErr w:type="spellEnd"/>
      <w:r w:rsidR="00BD0549">
        <w:rPr>
          <w:rFonts w:asciiTheme="minorHAnsi" w:hAnsiTheme="minorHAnsi" w:cstheme="minorHAnsi"/>
          <w:sz w:val="22"/>
          <w:szCs w:val="22"/>
        </w:rPr>
        <w:t xml:space="preserve"> </w:t>
      </w:r>
      <w:r w:rsidR="00446D17">
        <w:rPr>
          <w:rFonts w:asciiTheme="minorHAnsi" w:hAnsiTheme="minorHAnsi" w:cstheme="minorHAnsi"/>
          <w:sz w:val="22"/>
          <w:szCs w:val="22"/>
        </w:rPr>
        <w:t>for sequence</w:t>
      </w:r>
      <w:r w:rsidR="00BD0549">
        <w:rPr>
          <w:rFonts w:asciiTheme="minorHAnsi" w:hAnsiTheme="minorHAnsi" w:cstheme="minorHAnsi"/>
          <w:sz w:val="22"/>
          <w:szCs w:val="22"/>
        </w:rPr>
        <w:t xml:space="preserve"> design. </w:t>
      </w:r>
      <w:r w:rsidR="008C4309">
        <w:rPr>
          <w:rFonts w:asciiTheme="minorHAnsi" w:hAnsiTheme="minorHAnsi" w:cstheme="minorHAnsi"/>
          <w:sz w:val="22"/>
          <w:szCs w:val="22"/>
        </w:rPr>
        <w:t>However, f</w:t>
      </w:r>
      <w:r w:rsidR="00BD0549">
        <w:rPr>
          <w:rFonts w:asciiTheme="minorHAnsi" w:hAnsiTheme="minorHAnsi" w:cstheme="minorHAnsi"/>
          <w:sz w:val="22"/>
          <w:szCs w:val="22"/>
        </w:rPr>
        <w:t xml:space="preserve">or the </w:t>
      </w:r>
      <w:r w:rsidR="00C02B36">
        <w:rPr>
          <w:rFonts w:asciiTheme="minorHAnsi" w:hAnsiTheme="minorHAnsi" w:cstheme="minorHAnsi"/>
          <w:sz w:val="22"/>
          <w:szCs w:val="22"/>
        </w:rPr>
        <w:t>Left</w:t>
      </w:r>
      <w:r w:rsidR="00BD0549">
        <w:rPr>
          <w:rFonts w:asciiTheme="minorHAnsi" w:hAnsiTheme="minorHAnsi" w:cstheme="minorHAnsi"/>
          <w:sz w:val="22"/>
          <w:szCs w:val="22"/>
        </w:rPr>
        <w:t xml:space="preserve"> design region, </w:t>
      </w:r>
      <w:r w:rsidR="008C4309">
        <w:rPr>
          <w:rFonts w:asciiTheme="minorHAnsi" w:hAnsiTheme="minorHAnsi" w:cstheme="minorHAnsi"/>
          <w:sz w:val="22"/>
          <w:szCs w:val="22"/>
        </w:rPr>
        <w:t>we found that alternating the crossing angle resulted</w:t>
      </w:r>
      <w:r w:rsidR="00DC6586">
        <w:rPr>
          <w:rFonts w:asciiTheme="minorHAnsi" w:hAnsiTheme="minorHAnsi" w:cstheme="minorHAnsi"/>
          <w:sz w:val="22"/>
          <w:szCs w:val="22"/>
        </w:rPr>
        <w:t xml:space="preserve"> in different interfacial positions. W</w:t>
      </w:r>
      <w:r w:rsidR="00BD0549">
        <w:rPr>
          <w:rFonts w:asciiTheme="minorHAnsi" w:hAnsiTheme="minorHAnsi" w:cstheme="minorHAnsi"/>
          <w:sz w:val="22"/>
          <w:szCs w:val="22"/>
        </w:rPr>
        <w:t xml:space="preserve">e chose three different patterns for the </w:t>
      </w:r>
      <w:r w:rsidR="00C02B36">
        <w:rPr>
          <w:rFonts w:asciiTheme="minorHAnsi" w:hAnsiTheme="minorHAnsi" w:cstheme="minorHAnsi"/>
          <w:sz w:val="22"/>
          <w:szCs w:val="22"/>
        </w:rPr>
        <w:t>Left</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interface</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accommodat</w:t>
      </w:r>
      <w:r w:rsidR="00DC6586">
        <w:rPr>
          <w:rFonts w:asciiTheme="minorHAnsi" w:hAnsiTheme="minorHAnsi" w:cstheme="minorHAnsi"/>
          <w:sz w:val="22"/>
          <w:szCs w:val="22"/>
        </w:rPr>
        <w:t>ing</w:t>
      </w:r>
      <w:r w:rsidR="00BD0549">
        <w:rPr>
          <w:rFonts w:asciiTheme="minorHAnsi" w:hAnsiTheme="minorHAnsi" w:cstheme="minorHAnsi"/>
          <w:sz w:val="22"/>
          <w:szCs w:val="22"/>
        </w:rPr>
        <w:t xml:space="preserve"> </w:t>
      </w:r>
      <w:r w:rsidR="00DC6586">
        <w:rPr>
          <w:rFonts w:asciiTheme="minorHAnsi" w:hAnsiTheme="minorHAnsi" w:cstheme="minorHAnsi"/>
          <w:sz w:val="22"/>
          <w:szCs w:val="22"/>
        </w:rPr>
        <w:t>fo</w:t>
      </w:r>
      <w:r w:rsidR="00BD0549">
        <w:rPr>
          <w:rFonts w:asciiTheme="minorHAnsi" w:hAnsiTheme="minorHAnsi" w:cstheme="minorHAnsi"/>
          <w:sz w:val="22"/>
          <w:szCs w:val="22"/>
        </w:rPr>
        <w:t>r</w:t>
      </w:r>
      <w:r w:rsidR="00DC6586">
        <w:rPr>
          <w:rFonts w:asciiTheme="minorHAnsi" w:hAnsiTheme="minorHAnsi" w:cstheme="minorHAnsi"/>
          <w:sz w:val="22"/>
          <w:szCs w:val="22"/>
        </w:rPr>
        <w:t xml:space="preserve"> interfaces found in</w:t>
      </w:r>
      <w:r w:rsidR="00BD0549">
        <w:rPr>
          <w:rFonts w:asciiTheme="minorHAnsi" w:hAnsiTheme="minorHAnsi" w:cstheme="minorHAnsi"/>
          <w:sz w:val="22"/>
          <w:szCs w:val="22"/>
        </w:rPr>
        <w:t xml:space="preserve"> </w:t>
      </w:r>
      <w:r w:rsidR="00577652">
        <w:rPr>
          <w:rFonts w:asciiTheme="minorHAnsi" w:hAnsiTheme="minorHAnsi" w:cstheme="minorHAnsi"/>
          <w:sz w:val="22"/>
          <w:szCs w:val="22"/>
        </w:rPr>
        <w:t xml:space="preserve">the </w:t>
      </w:r>
      <w:r w:rsidR="00BD0549">
        <w:rPr>
          <w:rFonts w:asciiTheme="minorHAnsi" w:hAnsiTheme="minorHAnsi" w:cstheme="minorHAnsi"/>
          <w:sz w:val="22"/>
          <w:szCs w:val="22"/>
        </w:rPr>
        <w:t>knobs-into-holes and leucine zippers</w:t>
      </w:r>
      <w:r w:rsidR="00577652">
        <w:rPr>
          <w:rFonts w:asciiTheme="minorHAnsi" w:hAnsiTheme="minorHAnsi" w:cstheme="minorHAnsi"/>
          <w:sz w:val="22"/>
          <w:szCs w:val="22"/>
        </w:rPr>
        <w:t xml:space="preserve"> motifs</w:t>
      </w:r>
      <w:r w:rsidR="00DC6586">
        <w:rPr>
          <w:rFonts w:asciiTheme="minorHAnsi" w:hAnsiTheme="minorHAnsi" w:cstheme="minorHAnsi"/>
          <w:sz w:val="22"/>
          <w:szCs w:val="22"/>
        </w:rPr>
        <w:t xml:space="preserve"> </w:t>
      </w:r>
      <w:r w:rsidR="00BD0549">
        <w:rPr>
          <w:rFonts w:asciiTheme="minorHAnsi" w:hAnsiTheme="minorHAnsi" w:cstheme="minorHAnsi"/>
          <w:sz w:val="22"/>
          <w:szCs w:val="22"/>
        </w:rPr>
        <w:t>found in left</w:t>
      </w:r>
      <w:r w:rsidR="00DC6586">
        <w:rPr>
          <w:rFonts w:asciiTheme="minorHAnsi" w:hAnsiTheme="minorHAnsi" w:cstheme="minorHAnsi"/>
          <w:sz w:val="22"/>
          <w:szCs w:val="22"/>
        </w:rPr>
        <w:t>-</w:t>
      </w:r>
      <w:r w:rsidR="00BD0549">
        <w:rPr>
          <w:rFonts w:asciiTheme="minorHAnsi" w:hAnsiTheme="minorHAnsi" w:cstheme="minorHAnsi"/>
          <w:sz w:val="22"/>
          <w:szCs w:val="22"/>
        </w:rPr>
        <w:t>handed coiled coils (cite).</w:t>
      </w:r>
      <w:r w:rsidR="009010DE">
        <w:rPr>
          <w:rFonts w:asciiTheme="minorHAnsi" w:hAnsiTheme="minorHAnsi" w:cstheme="minorHAnsi"/>
          <w:sz w:val="22"/>
          <w:szCs w:val="22"/>
        </w:rPr>
        <w:t xml:space="preserve"> </w:t>
      </w:r>
      <w:r w:rsidR="00DC6586">
        <w:rPr>
          <w:rFonts w:asciiTheme="minorHAnsi" w:hAnsiTheme="minorHAnsi" w:cstheme="minorHAnsi"/>
          <w:sz w:val="22"/>
          <w:szCs w:val="22"/>
        </w:rPr>
        <w:t>T</w:t>
      </w:r>
      <w:r w:rsidR="00BD0549">
        <w:rPr>
          <w:rFonts w:asciiTheme="minorHAnsi" w:hAnsiTheme="minorHAnsi" w:cstheme="minorHAnsi"/>
          <w:sz w:val="22"/>
          <w:szCs w:val="22"/>
        </w:rPr>
        <w:t>o ensure that we designed sequences that would insert properly into the membrane, we used a library of the most prevalent amino acids found in membrane proteins</w:t>
      </w:r>
      <w:r w:rsidR="007F721C">
        <w:rPr>
          <w:rFonts w:asciiTheme="minorHAnsi" w:hAnsiTheme="minorHAnsi" w:cstheme="minorHAnsi"/>
          <w:sz w:val="22"/>
          <w:szCs w:val="22"/>
        </w:rPr>
        <w:t xml:space="preserve"> </w:t>
      </w:r>
      <w:r w:rsidR="007F721C">
        <w:rPr>
          <w:rFonts w:asciiTheme="minorHAnsi" w:hAnsiTheme="minorHAnsi" w:cstheme="minorHAnsi"/>
          <w:b/>
          <w:bCs/>
          <w:sz w:val="22"/>
          <w:szCs w:val="22"/>
        </w:rPr>
        <w:fldChar w:fldCharType="begin"/>
      </w:r>
      <w:r w:rsidR="007F721C">
        <w:rPr>
          <w:rFonts w:asciiTheme="minorHAnsi" w:hAnsiTheme="minorHAnsi" w:cstheme="minorHAnsi"/>
          <w:b/>
          <w:bCs/>
          <w:sz w:val="22"/>
          <w:szCs w:val="22"/>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format="utc"&gt;1705534210&lt;/last-updated-date&gt;&lt;accession-num&gt;12372142&lt;/accession-num&gt;&lt;electronic-resource-num&gt;10.1186/gb-2002-3-10-research0054&lt;/electronic-resource-num&gt;&lt;volume&gt;3&lt;/volume&gt;&lt;/record&gt;&lt;/Cite&gt;&lt;/EndNote&gt;</w:instrText>
      </w:r>
      <w:r w:rsidR="007F721C">
        <w:rPr>
          <w:rFonts w:asciiTheme="minorHAnsi" w:hAnsiTheme="minorHAnsi" w:cstheme="minorHAnsi"/>
          <w:b/>
          <w:bCs/>
          <w:sz w:val="22"/>
          <w:szCs w:val="22"/>
        </w:rPr>
        <w:fldChar w:fldCharType="separate"/>
      </w:r>
      <w:r w:rsidR="007F721C" w:rsidRPr="007F721C">
        <w:rPr>
          <w:rFonts w:asciiTheme="minorHAnsi" w:hAnsiTheme="minorHAnsi" w:cstheme="minorHAnsi"/>
          <w:noProof/>
          <w:sz w:val="22"/>
          <w:szCs w:val="22"/>
        </w:rPr>
        <w:t>(Liu et al., 2002)</w:t>
      </w:r>
      <w:r w:rsidR="007F721C">
        <w:rPr>
          <w:rFonts w:asciiTheme="minorHAnsi" w:hAnsiTheme="minorHAnsi" w:cstheme="minorHAnsi"/>
          <w:b/>
          <w:bCs/>
          <w:sz w:val="22"/>
          <w:szCs w:val="22"/>
        </w:rPr>
        <w:fldChar w:fldCharType="end"/>
      </w:r>
      <w:r w:rsidR="009010DE">
        <w:rPr>
          <w:rFonts w:asciiTheme="minorHAnsi" w:hAnsiTheme="minorHAnsi" w:cstheme="minorHAnsi"/>
          <w:sz w:val="22"/>
          <w:szCs w:val="22"/>
        </w:rPr>
        <w:t xml:space="preserve">, with Glycine only being used in the </w:t>
      </w:r>
      <w:proofErr w:type="spellStart"/>
      <w:r w:rsidR="009010DE">
        <w:rPr>
          <w:rFonts w:asciiTheme="minorHAnsi" w:hAnsiTheme="minorHAnsi" w:cstheme="minorHAnsi"/>
          <w:sz w:val="22"/>
          <w:szCs w:val="22"/>
        </w:rPr>
        <w:t>GASright</w:t>
      </w:r>
      <w:proofErr w:type="spellEnd"/>
      <w:r w:rsidR="009010DE">
        <w:rPr>
          <w:rFonts w:asciiTheme="minorHAnsi" w:hAnsiTheme="minorHAnsi" w:cstheme="minorHAnsi"/>
          <w:sz w:val="22"/>
          <w:szCs w:val="22"/>
        </w:rPr>
        <w:t xml:space="preserve"> sequences to prevent from designing</w:t>
      </w:r>
      <w:r w:rsidR="00DC6586">
        <w:rPr>
          <w:rFonts w:asciiTheme="minorHAnsi" w:hAnsiTheme="minorHAnsi" w:cstheme="minorHAnsi"/>
          <w:sz w:val="22"/>
          <w:szCs w:val="22"/>
        </w:rPr>
        <w:t xml:space="preserve"> sequences with interhelical hydrogen bonding in the other regions</w:t>
      </w:r>
      <w:r w:rsidR="00577652">
        <w:rPr>
          <w:rFonts w:asciiTheme="minorHAnsi" w:hAnsiTheme="minorHAnsi" w:cstheme="minorHAnsi"/>
          <w:sz w:val="22"/>
          <w:szCs w:val="22"/>
        </w:rPr>
        <w:t xml:space="preserve"> (Figure MP_ design B)</w:t>
      </w:r>
      <w:r w:rsidR="00BD0549">
        <w:rPr>
          <w:rFonts w:asciiTheme="minorHAnsi" w:hAnsiTheme="minorHAnsi" w:cstheme="minorHAnsi"/>
          <w:sz w:val="22"/>
          <w:szCs w:val="22"/>
        </w:rPr>
        <w:t xml:space="preserve">. </w:t>
      </w:r>
    </w:p>
    <w:p w14:paraId="5AADA0A4" w14:textId="75579044" w:rsidR="00DC521D" w:rsidRDefault="00342FB0" w:rsidP="00A56808">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To computationally design our dimers of interest, we utilized a combination of fixed backbone design with iterative backbone refinement </w: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(Huang et al., 2022; Kuhlman et al., 2003; Kulp et al., 2012; Nash et al., 2015; Senes, 2011)</w:t>
      </w:r>
      <w:r>
        <w:rPr>
          <w:rFonts w:asciiTheme="minorHAnsi" w:hAnsiTheme="minorHAnsi" w:cstheme="minorHAnsi"/>
          <w:sz w:val="22"/>
          <w:szCs w:val="22"/>
        </w:rPr>
        <w:fldChar w:fldCharType="end"/>
      </w:r>
      <w:r>
        <w:rPr>
          <w:rFonts w:asciiTheme="minorHAnsi" w:hAnsiTheme="minorHAnsi" w:cstheme="minorHAnsi"/>
          <w:sz w:val="22"/>
          <w:szCs w:val="22"/>
        </w:rPr>
        <w:t>.</w:t>
      </w:r>
      <w:r w:rsidR="00DC6586">
        <w:rPr>
          <w:rFonts w:asciiTheme="minorHAnsi" w:hAnsiTheme="minorHAnsi" w:cstheme="minorHAnsi"/>
          <w:sz w:val="22"/>
          <w:szCs w:val="22"/>
        </w:rPr>
        <w:t xml:space="preserve"> We randomly generated 10000 geometries within the high-density regions (</w:t>
      </w:r>
      <w:r w:rsidR="00313ECB">
        <w:rPr>
          <w:rFonts w:asciiTheme="minorHAnsi" w:hAnsiTheme="minorHAnsi" w:cstheme="minorHAnsi"/>
          <w:sz w:val="22"/>
          <w:szCs w:val="22"/>
        </w:rPr>
        <w:t xml:space="preserve">Figure </w:t>
      </w:r>
      <w:proofErr w:type="spellStart"/>
      <w:r w:rsidR="00DC6586">
        <w:rPr>
          <w:rFonts w:asciiTheme="minorHAnsi" w:hAnsiTheme="minorHAnsi" w:cstheme="minorHAnsi"/>
          <w:sz w:val="22"/>
          <w:szCs w:val="22"/>
        </w:rPr>
        <w:t>MP_design</w:t>
      </w:r>
      <w:proofErr w:type="spellEnd"/>
      <w:r w:rsidR="00DC6586">
        <w:rPr>
          <w:rFonts w:asciiTheme="minorHAnsi" w:hAnsiTheme="minorHAnsi" w:cstheme="minorHAnsi"/>
          <w:sz w:val="22"/>
          <w:szCs w:val="22"/>
        </w:rPr>
        <w:t xml:space="preserve"> A) as inputs for our design algorithm (Methods).</w:t>
      </w:r>
      <w:r>
        <w:rPr>
          <w:rFonts w:asciiTheme="minorHAnsi" w:hAnsiTheme="minorHAnsi" w:cstheme="minorHAnsi"/>
          <w:sz w:val="22"/>
          <w:szCs w:val="22"/>
        </w:rPr>
        <w:t xml:space="preserve"> </w:t>
      </w:r>
      <w:r w:rsidR="006018A9">
        <w:rPr>
          <w:rFonts w:asciiTheme="minorHAnsi" w:hAnsiTheme="minorHAnsi" w:cstheme="minorHAnsi"/>
          <w:sz w:val="22"/>
          <w:szCs w:val="22"/>
        </w:rPr>
        <w:t xml:space="preserve">A random geometry was </w:t>
      </w:r>
      <w:r w:rsidR="00577652">
        <w:rPr>
          <w:rFonts w:asciiTheme="minorHAnsi" w:hAnsiTheme="minorHAnsi" w:cstheme="minorHAnsi"/>
          <w:sz w:val="22"/>
          <w:szCs w:val="22"/>
        </w:rPr>
        <w:t>selected</w:t>
      </w:r>
      <w:r w:rsidR="006018A9">
        <w:rPr>
          <w:rFonts w:asciiTheme="minorHAnsi" w:hAnsiTheme="minorHAnsi" w:cstheme="minorHAnsi"/>
          <w:sz w:val="22"/>
          <w:szCs w:val="22"/>
        </w:rPr>
        <w:t xml:space="preserve"> as the fixed backbone input</w:t>
      </w:r>
      <w:r w:rsidR="00DC6586">
        <w:rPr>
          <w:rFonts w:asciiTheme="minorHAnsi" w:hAnsiTheme="minorHAnsi" w:cstheme="minorHAnsi"/>
          <w:sz w:val="22"/>
          <w:szCs w:val="22"/>
        </w:rPr>
        <w:t xml:space="preserve"> for each design</w:t>
      </w:r>
      <w:r w:rsidR="006018A9">
        <w:rPr>
          <w:rFonts w:asciiTheme="minorHAnsi" w:hAnsiTheme="minorHAnsi" w:cstheme="minorHAnsi"/>
          <w:sz w:val="22"/>
          <w:szCs w:val="22"/>
        </w:rPr>
        <w:t>, and positions on the</w:t>
      </w:r>
      <w:r w:rsidR="00DC6586">
        <w:rPr>
          <w:rFonts w:asciiTheme="minorHAnsi" w:hAnsiTheme="minorHAnsi" w:cstheme="minorHAnsi"/>
          <w:sz w:val="22"/>
          <w:szCs w:val="22"/>
        </w:rPr>
        <w:t xml:space="preserve"> defined</w:t>
      </w:r>
      <w:r w:rsidR="006018A9">
        <w:rPr>
          <w:rFonts w:asciiTheme="minorHAnsi" w:hAnsiTheme="minorHAnsi" w:cstheme="minorHAnsi"/>
          <w:sz w:val="22"/>
          <w:szCs w:val="22"/>
        </w:rPr>
        <w:t xml:space="preserve"> interface were allowed to mutate between all amino acids in the given library</w:t>
      </w:r>
      <w:r w:rsidR="00577652">
        <w:rPr>
          <w:rFonts w:asciiTheme="minorHAnsi" w:hAnsiTheme="minorHAnsi" w:cstheme="minorHAnsi"/>
          <w:sz w:val="22"/>
          <w:szCs w:val="22"/>
        </w:rPr>
        <w:t xml:space="preserve"> (Figure </w:t>
      </w:r>
      <w:proofErr w:type="spellStart"/>
      <w:r w:rsidR="00577652">
        <w:rPr>
          <w:rFonts w:asciiTheme="minorHAnsi" w:hAnsiTheme="minorHAnsi" w:cstheme="minorHAnsi"/>
          <w:sz w:val="22"/>
          <w:szCs w:val="22"/>
        </w:rPr>
        <w:t>MP_design</w:t>
      </w:r>
      <w:proofErr w:type="spellEnd"/>
      <w:r w:rsidR="00577652">
        <w:rPr>
          <w:rFonts w:asciiTheme="minorHAnsi" w:hAnsiTheme="minorHAnsi" w:cstheme="minorHAnsi"/>
          <w:sz w:val="22"/>
          <w:szCs w:val="22"/>
        </w:rPr>
        <w:t xml:space="preserve"> B)</w:t>
      </w:r>
      <w:r w:rsidR="00DC6586">
        <w:rPr>
          <w:rFonts w:asciiTheme="minorHAnsi" w:hAnsiTheme="minorHAnsi" w:cstheme="minorHAnsi"/>
          <w:sz w:val="22"/>
          <w:szCs w:val="22"/>
        </w:rPr>
        <w:t>. Each sequence was evaluated by a simple set of energetic terms that make up our design energy score:</w:t>
      </w:r>
      <w:r w:rsidR="00BD0549" w:rsidRPr="00FE01AC">
        <w:rPr>
          <w:rFonts w:asciiTheme="minorHAnsi" w:hAnsiTheme="minorHAnsi" w:cstheme="minorHAnsi"/>
          <w:sz w:val="22"/>
          <w:szCs w:val="22"/>
        </w:rPr>
        <w:t xml:space="preserve"> van der Waals packing, hydrogen bonding, and implicit solvation</w:t>
      </w:r>
      <w:r w:rsidR="00BD0549" w:rsidRPr="002C3DC9">
        <w:rPr>
          <w:rFonts w:asciiTheme="minorHAnsi" w:hAnsiTheme="minorHAnsi" w:cstheme="minorHAnsi"/>
          <w:i/>
          <w:iCs/>
          <w:sz w:val="22"/>
          <w:szCs w:val="22"/>
        </w:rPr>
        <w:t xml:space="preserve"> </w: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(Krivov et al., 2009; Lazaridis, 2003; MacKerell et al., 1998)</w:t>
      </w:r>
      <w:r w:rsidR="00FE01AC">
        <w:rPr>
          <w:rFonts w:asciiTheme="minorHAnsi" w:hAnsiTheme="minorHAnsi" w:cstheme="minorHAnsi"/>
          <w:sz w:val="22"/>
          <w:szCs w:val="22"/>
        </w:rPr>
        <w:fldChar w:fldCharType="end"/>
      </w:r>
      <w:r w:rsidR="006018A9">
        <w:rPr>
          <w:rFonts w:asciiTheme="minorHAnsi" w:hAnsiTheme="minorHAnsi" w:cstheme="minorHAnsi"/>
          <w:sz w:val="22"/>
          <w:szCs w:val="22"/>
        </w:rPr>
        <w:t xml:space="preserve">. </w:t>
      </w:r>
      <w:r w:rsidR="00BD0549">
        <w:rPr>
          <w:rFonts w:asciiTheme="minorHAnsi" w:hAnsiTheme="minorHAnsi" w:cstheme="minorHAnsi"/>
          <w:sz w:val="22"/>
          <w:szCs w:val="22"/>
        </w:rPr>
        <w:t>The sequence</w:t>
      </w:r>
      <w:r w:rsidR="00DC6586">
        <w:rPr>
          <w:rFonts w:asciiTheme="minorHAnsi" w:hAnsiTheme="minorHAnsi" w:cstheme="minorHAnsi"/>
          <w:sz w:val="22"/>
          <w:szCs w:val="22"/>
        </w:rPr>
        <w:t xml:space="preserve"> with the lowest energy score</w:t>
      </w:r>
      <w:r w:rsidR="00BD0549">
        <w:rPr>
          <w:rFonts w:asciiTheme="minorHAnsi" w:hAnsiTheme="minorHAnsi" w:cstheme="minorHAnsi"/>
          <w:sz w:val="22"/>
          <w:szCs w:val="22"/>
        </w:rPr>
        <w:t xml:space="preserve"> then under</w:t>
      </w:r>
      <w:r w:rsidR="00DC6586">
        <w:rPr>
          <w:rFonts w:asciiTheme="minorHAnsi" w:hAnsiTheme="minorHAnsi" w:cstheme="minorHAnsi"/>
          <w:sz w:val="22"/>
          <w:szCs w:val="22"/>
        </w:rPr>
        <w:t>went</w:t>
      </w:r>
      <w:r w:rsidR="00BD0549">
        <w:rPr>
          <w:rFonts w:asciiTheme="minorHAnsi" w:hAnsiTheme="minorHAnsi" w:cstheme="minorHAnsi"/>
          <w:sz w:val="22"/>
          <w:szCs w:val="22"/>
        </w:rPr>
        <w:t xml:space="preserve"> a local backbone minimization to find the most stable structure</w:t>
      </w:r>
      <w:r w:rsidR="00DC6586">
        <w:rPr>
          <w:rFonts w:asciiTheme="minorHAnsi" w:hAnsiTheme="minorHAnsi" w:cstheme="minorHAnsi"/>
          <w:sz w:val="22"/>
          <w:szCs w:val="22"/>
        </w:rPr>
        <w:t xml:space="preserve"> for the designed sequence</w:t>
      </w:r>
      <w:r w:rsidR="00F6356F">
        <w:rPr>
          <w:rFonts w:asciiTheme="minorHAnsi" w:hAnsiTheme="minorHAnsi" w:cstheme="minorHAnsi"/>
          <w:sz w:val="22"/>
          <w:szCs w:val="22"/>
        </w:rPr>
        <w:t xml:space="preserve"> (Figure </w:t>
      </w:r>
      <w:proofErr w:type="spellStart"/>
      <w:r w:rsidR="00F6356F">
        <w:rPr>
          <w:rFonts w:asciiTheme="minorHAnsi" w:hAnsiTheme="minorHAnsi" w:cstheme="minorHAnsi"/>
          <w:sz w:val="22"/>
          <w:szCs w:val="22"/>
        </w:rPr>
        <w:t>MP_design</w:t>
      </w:r>
      <w:proofErr w:type="spellEnd"/>
      <w:r w:rsidR="00F6356F">
        <w:rPr>
          <w:rFonts w:asciiTheme="minorHAnsi" w:hAnsiTheme="minorHAnsi" w:cstheme="minorHAnsi"/>
          <w:sz w:val="22"/>
          <w:szCs w:val="22"/>
        </w:rPr>
        <w:t xml:space="preserve"> C)</w:t>
      </w:r>
      <w:r w:rsidR="00BD0549">
        <w:rPr>
          <w:rFonts w:asciiTheme="minorHAnsi" w:hAnsiTheme="minorHAnsi" w:cstheme="minorHAnsi"/>
          <w:sz w:val="22"/>
          <w:szCs w:val="22"/>
        </w:rPr>
        <w:t xml:space="preserve">. </w:t>
      </w:r>
      <w:r w:rsidR="009010DE">
        <w:rPr>
          <w:rFonts w:asciiTheme="minorHAnsi" w:hAnsiTheme="minorHAnsi" w:cstheme="minorHAnsi"/>
          <w:sz w:val="22"/>
          <w:szCs w:val="22"/>
        </w:rPr>
        <w:t xml:space="preserve">Our protein design algorithm </w:t>
      </w:r>
      <w:r w:rsidR="00BD0549">
        <w:rPr>
          <w:rFonts w:asciiTheme="minorHAnsi" w:hAnsiTheme="minorHAnsi" w:cstheme="minorHAnsi"/>
          <w:sz w:val="22"/>
          <w:szCs w:val="22"/>
        </w:rPr>
        <w:t xml:space="preserve">resulted in a set of </w:t>
      </w:r>
      <w:r w:rsidR="006E72D9">
        <w:rPr>
          <w:rFonts w:asciiTheme="minorHAnsi" w:hAnsiTheme="minorHAnsi" w:cstheme="minorHAnsi"/>
          <w:sz w:val="22"/>
          <w:szCs w:val="22"/>
        </w:rPr>
        <w:t>1075</w:t>
      </w:r>
      <w:r w:rsidR="00746D6F">
        <w:rPr>
          <w:rFonts w:asciiTheme="minorHAnsi" w:hAnsiTheme="minorHAnsi" w:cstheme="minorHAnsi"/>
          <w:sz w:val="22"/>
          <w:szCs w:val="22"/>
        </w:rPr>
        <w:t xml:space="preserve"> wild type (WT) design seque</w:t>
      </w:r>
      <w:r w:rsidR="00BD0549">
        <w:rPr>
          <w:rFonts w:asciiTheme="minorHAnsi" w:hAnsiTheme="minorHAnsi" w:cstheme="minorHAnsi"/>
          <w:sz w:val="22"/>
          <w:szCs w:val="22"/>
        </w:rPr>
        <w:t>nces with a range of both energy and st</w:t>
      </w:r>
      <w:r w:rsidR="00577652">
        <w:rPr>
          <w:rFonts w:asciiTheme="minorHAnsi" w:hAnsiTheme="minorHAnsi" w:cstheme="minorHAnsi"/>
          <w:sz w:val="22"/>
          <w:szCs w:val="22"/>
        </w:rPr>
        <w:t>ructure</w:t>
      </w:r>
      <w:r w:rsidR="006018A9">
        <w:rPr>
          <w:rFonts w:asciiTheme="minorHAnsi" w:hAnsiTheme="minorHAnsi" w:cstheme="minorHAnsi"/>
          <w:sz w:val="22"/>
          <w:szCs w:val="22"/>
        </w:rPr>
        <w:t xml:space="preserve"> (Figure </w:t>
      </w:r>
      <w:proofErr w:type="spellStart"/>
      <w:r w:rsidR="006018A9">
        <w:rPr>
          <w:rFonts w:asciiTheme="minorHAnsi" w:hAnsiTheme="minorHAnsi" w:cstheme="minorHAnsi"/>
          <w:sz w:val="22"/>
          <w:szCs w:val="22"/>
        </w:rPr>
        <w:t>MP_design</w:t>
      </w:r>
      <w:proofErr w:type="spellEnd"/>
      <w:r w:rsidR="006018A9">
        <w:rPr>
          <w:rFonts w:asciiTheme="minorHAnsi" w:hAnsiTheme="minorHAnsi" w:cstheme="minorHAnsi"/>
          <w:sz w:val="22"/>
          <w:szCs w:val="22"/>
        </w:rPr>
        <w:t xml:space="preserve"> </w:t>
      </w:r>
      <w:r w:rsidR="00F6356F">
        <w:rPr>
          <w:rFonts w:asciiTheme="minorHAnsi" w:hAnsiTheme="minorHAnsi" w:cstheme="minorHAnsi"/>
          <w:sz w:val="22"/>
          <w:szCs w:val="22"/>
        </w:rPr>
        <w:t>D</w:t>
      </w:r>
      <w:r w:rsidR="006018A9">
        <w:rPr>
          <w:rFonts w:asciiTheme="minorHAnsi" w:hAnsiTheme="minorHAnsi" w:cstheme="minorHAnsi"/>
          <w:sz w:val="22"/>
          <w:szCs w:val="22"/>
        </w:rPr>
        <w:t>)</w:t>
      </w:r>
      <w:r w:rsidR="00BD0549">
        <w:rPr>
          <w:rFonts w:asciiTheme="minorHAnsi" w:hAnsiTheme="minorHAnsi" w:cstheme="minorHAnsi"/>
          <w:sz w:val="22"/>
          <w:szCs w:val="22"/>
        </w:rPr>
        <w:t>.</w:t>
      </w:r>
      <w:r w:rsidR="006018A9">
        <w:rPr>
          <w:rFonts w:asciiTheme="minorHAnsi" w:hAnsiTheme="minorHAnsi" w:cstheme="minorHAnsi"/>
          <w:sz w:val="22"/>
          <w:szCs w:val="22"/>
        </w:rPr>
        <w:t xml:space="preserve"> </w:t>
      </w:r>
      <w:r w:rsidR="00577652">
        <w:rPr>
          <w:rFonts w:asciiTheme="minorHAnsi" w:hAnsiTheme="minorHAnsi" w:cstheme="minorHAnsi"/>
          <w:sz w:val="22"/>
          <w:szCs w:val="22"/>
        </w:rPr>
        <w:t>D</w:t>
      </w:r>
      <w:r w:rsidR="00A56808">
        <w:rPr>
          <w:rFonts w:asciiTheme="minorHAnsi" w:hAnsiTheme="minorHAnsi" w:cstheme="minorHAnsi"/>
          <w:sz w:val="22"/>
          <w:szCs w:val="22"/>
        </w:rPr>
        <w:t>ue to the large scale of this study</w:t>
      </w:r>
      <w:r w:rsidR="00577652">
        <w:rPr>
          <w:rFonts w:asciiTheme="minorHAnsi" w:hAnsiTheme="minorHAnsi" w:cstheme="minorHAnsi"/>
          <w:sz w:val="22"/>
          <w:szCs w:val="22"/>
        </w:rPr>
        <w:t>,</w:t>
      </w:r>
      <w:r w:rsidR="00A56808">
        <w:rPr>
          <w:rFonts w:asciiTheme="minorHAnsi" w:hAnsiTheme="minorHAnsi" w:cstheme="minorHAnsi"/>
          <w:sz w:val="22"/>
          <w:szCs w:val="22"/>
        </w:rPr>
        <w:t xml:space="preserve"> it would be difficult to determine the success of our design algorithm usin</w:t>
      </w:r>
      <w:r w:rsidR="00577652">
        <w:rPr>
          <w:rFonts w:asciiTheme="minorHAnsi" w:hAnsiTheme="minorHAnsi" w:cstheme="minorHAnsi"/>
          <w:sz w:val="22"/>
          <w:szCs w:val="22"/>
        </w:rPr>
        <w:t>g experimental structure validation</w:t>
      </w:r>
      <w:r w:rsidR="00A56808">
        <w:rPr>
          <w:rFonts w:asciiTheme="minorHAnsi" w:hAnsiTheme="minorHAnsi" w:cstheme="minorHAnsi"/>
          <w:sz w:val="22"/>
          <w:szCs w:val="22"/>
        </w:rPr>
        <w:t xml:space="preserve">. As an alternative, </w:t>
      </w:r>
      <w:r w:rsidR="006018A9">
        <w:rPr>
          <w:rFonts w:asciiTheme="minorHAnsi" w:hAnsiTheme="minorHAnsi" w:cstheme="minorHAnsi"/>
          <w:sz w:val="22"/>
          <w:szCs w:val="22"/>
        </w:rPr>
        <w:t>we added two types of mutants to our libraries: clashing and void mutants. For each of these mutations, each interfacial amino acid is individually mutated to either isoleucine (clash) or alanine (void) (</w:t>
      </w:r>
      <w:r w:rsidR="006018A9" w:rsidRPr="00DC521D">
        <w:rPr>
          <w:rFonts w:asciiTheme="minorHAnsi" w:hAnsiTheme="minorHAnsi" w:cstheme="minorHAnsi"/>
          <w:b/>
          <w:bCs/>
          <w:sz w:val="22"/>
          <w:szCs w:val="22"/>
        </w:rPr>
        <w:t xml:space="preserve">Figure </w:t>
      </w:r>
      <w:proofErr w:type="spellStart"/>
      <w:r w:rsidR="00577652">
        <w:rPr>
          <w:rFonts w:asciiTheme="minorHAnsi" w:hAnsiTheme="minorHAnsi" w:cstheme="minorHAnsi"/>
          <w:b/>
          <w:bCs/>
          <w:sz w:val="22"/>
          <w:szCs w:val="22"/>
        </w:rPr>
        <w:t>primary_</w:t>
      </w:r>
      <w:r w:rsidR="006018A9" w:rsidRPr="00DC521D">
        <w:rPr>
          <w:rFonts w:asciiTheme="minorHAnsi" w:hAnsiTheme="minorHAnsi" w:cstheme="minorHAnsi"/>
          <w:b/>
          <w:bCs/>
          <w:sz w:val="22"/>
          <w:szCs w:val="22"/>
        </w:rPr>
        <w:t>dataset</w:t>
      </w:r>
      <w:proofErr w:type="spellEnd"/>
      <w:r w:rsidR="006018A9" w:rsidRPr="00DC521D">
        <w:rPr>
          <w:rFonts w:asciiTheme="minorHAnsi" w:hAnsiTheme="minorHAnsi" w:cstheme="minorHAnsi"/>
          <w:b/>
          <w:bCs/>
          <w:sz w:val="22"/>
          <w:szCs w:val="22"/>
        </w:rPr>
        <w:t xml:space="preserve"> A</w:t>
      </w:r>
      <w:r w:rsidR="006018A9">
        <w:rPr>
          <w:rFonts w:asciiTheme="minorHAnsi" w:hAnsiTheme="minorHAnsi" w:cstheme="minorHAnsi"/>
          <w:sz w:val="22"/>
          <w:szCs w:val="22"/>
        </w:rPr>
        <w:t xml:space="preserve">). </w:t>
      </w:r>
      <w:r w:rsidR="00A56808">
        <w:rPr>
          <w:rFonts w:asciiTheme="minorHAnsi" w:hAnsiTheme="minorHAnsi" w:cstheme="minorHAnsi"/>
          <w:sz w:val="22"/>
          <w:szCs w:val="22"/>
        </w:rPr>
        <w:t xml:space="preserve">The clashing mutations result in a significant overlap between atoms in our structures, while void mutants result in a large </w:t>
      </w:r>
      <w:r w:rsidR="00105287">
        <w:rPr>
          <w:rFonts w:asciiTheme="minorHAnsi" w:hAnsiTheme="minorHAnsi" w:cstheme="minorHAnsi"/>
          <w:sz w:val="22"/>
          <w:szCs w:val="22"/>
        </w:rPr>
        <w:t>hole</w:t>
      </w:r>
      <w:r w:rsidR="00A56808">
        <w:rPr>
          <w:rFonts w:asciiTheme="minorHAnsi" w:hAnsiTheme="minorHAnsi" w:cstheme="minorHAnsi"/>
          <w:sz w:val="22"/>
          <w:szCs w:val="22"/>
        </w:rPr>
        <w:t xml:space="preserve"> at the helix-helix interface. Each of these mutations is expected to result in a significant decrease in the dimerization propensity, allowing us to filter for sequences with structures that associate as expected by our design principles.</w:t>
      </w:r>
    </w:p>
    <w:p w14:paraId="4D1474A6" w14:textId="0D2A1329" w:rsidR="00DC521D" w:rsidRPr="00DC521D" w:rsidRDefault="00DC521D" w:rsidP="00400C76">
      <w:pPr>
        <w:pStyle w:val="Standard"/>
        <w:jc w:val="both"/>
        <w:rPr>
          <w:rFonts w:asciiTheme="minorHAnsi" w:hAnsiTheme="minorHAnsi" w:cstheme="minorHAnsi"/>
          <w:sz w:val="22"/>
          <w:szCs w:val="22"/>
        </w:rPr>
      </w:pPr>
    </w:p>
    <w:p w14:paraId="62C0F47B" w14:textId="222DC657" w:rsidR="00451009" w:rsidRPr="00222044" w:rsidRDefault="00DC521D" w:rsidP="00400C76">
      <w:pPr>
        <w:jc w:val="both"/>
        <w:rPr>
          <w:rFonts w:cstheme="minorHAnsi"/>
          <w:b/>
          <w:bCs/>
        </w:rPr>
      </w:pPr>
      <w:r>
        <w:rPr>
          <w:rFonts w:cstheme="minorHAnsi"/>
          <w:b/>
          <w:bCs/>
          <w:noProof/>
        </w:rPr>
        <w:lastRenderedPageBreak/>
        <w:drawing>
          <wp:anchor distT="0" distB="0" distL="114300" distR="114300" simplePos="0" relativeHeight="251655680" behindDoc="1" locked="0" layoutInCell="1" allowOverlap="1" wp14:anchorId="5BE67A63" wp14:editId="732C75B7">
            <wp:simplePos x="0" y="0"/>
            <wp:positionH relativeFrom="column">
              <wp:posOffset>379730</wp:posOffset>
            </wp:positionH>
            <wp:positionV relativeFrom="paragraph">
              <wp:posOffset>323215</wp:posOffset>
            </wp:positionV>
            <wp:extent cx="5442585" cy="6792595"/>
            <wp:effectExtent l="0" t="0" r="0" b="0"/>
            <wp:wrapTopAndBottom/>
            <wp:docPr id="288883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331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2585" cy="6792595"/>
                    </a:xfrm>
                    <a:prstGeom prst="rect">
                      <a:avLst/>
                    </a:prstGeom>
                  </pic:spPr>
                </pic:pic>
              </a:graphicData>
            </a:graphic>
            <wp14:sizeRelH relativeFrom="margin">
              <wp14:pctWidth>0</wp14:pctWidth>
            </wp14:sizeRelH>
            <wp14:sizeRelV relativeFrom="margin">
              <wp14:pctHeight>0</wp14:pctHeight>
            </wp14:sizeRelV>
          </wp:anchor>
        </w:drawing>
      </w:r>
      <w:r w:rsidR="00222044">
        <w:rPr>
          <w:rFonts w:cstheme="minorHAnsi"/>
          <w:b/>
          <w:bCs/>
        </w:rPr>
        <w:t xml:space="preserve">Figure </w:t>
      </w:r>
      <w:proofErr w:type="spellStart"/>
      <w:r w:rsidR="00222044">
        <w:rPr>
          <w:rFonts w:cstheme="minorHAnsi"/>
          <w:b/>
          <w:bCs/>
        </w:rPr>
        <w:t>Experimental_methodology</w:t>
      </w:r>
      <w:proofErr w:type="spellEnd"/>
    </w:p>
    <w:p w14:paraId="7CAE0509" w14:textId="0C645009" w:rsidR="000D03F1" w:rsidRDefault="000D03F1" w:rsidP="000D03F1">
      <w:pPr>
        <w:pStyle w:val="Standard"/>
        <w:jc w:val="both"/>
        <w:rPr>
          <w:rFonts w:asciiTheme="minorHAnsi" w:hAnsiTheme="minorHAnsi" w:cstheme="minorHAnsi"/>
          <w:sz w:val="22"/>
          <w:szCs w:val="22"/>
        </w:rPr>
      </w:pPr>
      <w:r>
        <w:rPr>
          <w:rFonts w:asciiTheme="minorHAnsi" w:hAnsiTheme="minorHAnsi" w:cstheme="minorHAnsi"/>
          <w:sz w:val="22"/>
          <w:szCs w:val="22"/>
        </w:rPr>
        <w:t xml:space="preserve">Figure </w:t>
      </w:r>
      <w:proofErr w:type="spellStart"/>
      <w:r>
        <w:rPr>
          <w:rFonts w:asciiTheme="minorHAnsi" w:hAnsiTheme="minorHAnsi" w:cstheme="minorHAnsi"/>
          <w:sz w:val="22"/>
          <w:szCs w:val="22"/>
        </w:rPr>
        <w:t>experimental_methodology</w:t>
      </w:r>
      <w:proofErr w:type="spellEnd"/>
      <w:r w:rsidR="00AB07A9">
        <w:rPr>
          <w:rFonts w:asciiTheme="minorHAnsi" w:hAnsiTheme="minorHAnsi" w:cstheme="minorHAnsi"/>
          <w:sz w:val="22"/>
          <w:szCs w:val="22"/>
        </w:rPr>
        <w:t xml:space="preserve">: Experimental methods from the cellular level to the interpreted fluorescent data. Plasmids coding for the transmembrane sequence of interest are expressed in </w:t>
      </w:r>
      <w:r w:rsidR="00AB07A9" w:rsidRPr="00AB07A9">
        <w:rPr>
          <w:rFonts w:asciiTheme="minorHAnsi" w:hAnsiTheme="minorHAnsi" w:cstheme="minorHAnsi"/>
          <w:i/>
          <w:iCs/>
          <w:sz w:val="22"/>
          <w:szCs w:val="22"/>
        </w:rPr>
        <w:t>E. coli</w:t>
      </w:r>
      <w:r w:rsidR="00AB07A9">
        <w:rPr>
          <w:rFonts w:asciiTheme="minorHAnsi" w:hAnsiTheme="minorHAnsi" w:cstheme="minorHAnsi"/>
          <w:sz w:val="22"/>
          <w:szCs w:val="22"/>
        </w:rPr>
        <w:t xml:space="preserve"> cells. These are then grown overnight and can be evaluated for fluorescence using both a high and low throughput method. Using high throughput fluorescence activated cell sorting in combination with next generation sequencing, we are able to get fluorescence data for 1000s of sequences at a time. A subset of those sequences is evaluated using low throughput TOXGREEN run in a fluorescence plate reader. These sequences are normalized to our positive control </w:t>
      </w:r>
      <w:proofErr w:type="spellStart"/>
      <w:r w:rsidR="00AB07A9">
        <w:rPr>
          <w:rFonts w:asciiTheme="minorHAnsi" w:hAnsiTheme="minorHAnsi" w:cstheme="minorHAnsi"/>
          <w:sz w:val="22"/>
          <w:szCs w:val="22"/>
        </w:rPr>
        <w:t>GpA</w:t>
      </w:r>
      <w:proofErr w:type="spellEnd"/>
      <w:r w:rsidR="00AB07A9">
        <w:rPr>
          <w:rFonts w:asciiTheme="minorHAnsi" w:hAnsiTheme="minorHAnsi" w:cstheme="minorHAnsi"/>
          <w:sz w:val="22"/>
          <w:szCs w:val="22"/>
        </w:rPr>
        <w:t>, allowing us to transform and normalize the data by our positive control.</w:t>
      </w:r>
    </w:p>
    <w:p w14:paraId="5FB12DB3" w14:textId="1E8F8A22" w:rsidR="004A03F0" w:rsidRDefault="004A03F0" w:rsidP="000D03F1">
      <w:pPr>
        <w:pStyle w:val="Standard"/>
        <w:jc w:val="both"/>
        <w:rPr>
          <w:rFonts w:asciiTheme="minorHAnsi" w:hAnsiTheme="minorHAnsi" w:cstheme="minorHAnsi"/>
          <w:sz w:val="22"/>
          <w:szCs w:val="22"/>
        </w:rPr>
      </w:pPr>
    </w:p>
    <w:p w14:paraId="01BC96CE" w14:textId="6F0CC19C" w:rsidR="004A03F0" w:rsidRPr="004A03F0" w:rsidRDefault="00577652" w:rsidP="000D03F1">
      <w:pPr>
        <w:pStyle w:val="Standard"/>
        <w:jc w:val="both"/>
        <w:rPr>
          <w:rFonts w:asciiTheme="minorHAnsi" w:hAnsiTheme="minorHAnsi" w:cstheme="minorHAnsi"/>
          <w:b/>
          <w:bCs/>
          <w:sz w:val="22"/>
          <w:szCs w:val="22"/>
        </w:rPr>
      </w:pPr>
      <w:r>
        <w:rPr>
          <w:rFonts w:asciiTheme="minorHAnsi" w:hAnsiTheme="minorHAnsi" w:cstheme="minorHAnsi"/>
          <w:b/>
          <w:bCs/>
          <w:sz w:val="22"/>
          <w:szCs w:val="22"/>
        </w:rPr>
        <w:t>Experimental methods and filtering the dataset</w:t>
      </w:r>
    </w:p>
    <w:p w14:paraId="30A9FE77" w14:textId="278D4152" w:rsidR="00682A1D" w:rsidRDefault="006018A9"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To</w:t>
      </w:r>
      <w:r w:rsidR="00C55CE2">
        <w:rPr>
          <w:rFonts w:asciiTheme="minorHAnsi" w:hAnsiTheme="minorHAnsi" w:cstheme="minorHAnsi"/>
          <w:sz w:val="22"/>
          <w:szCs w:val="22"/>
        </w:rPr>
        <w:t xml:space="preserve"> assess the dimerization propensity of our designs, we used sort-seq (</w:t>
      </w:r>
      <w:r w:rsidR="00C55CE2" w:rsidRPr="00D82B47">
        <w:rPr>
          <w:rFonts w:asciiTheme="minorHAnsi" w:hAnsiTheme="minorHAnsi" w:cstheme="minorHAnsi"/>
          <w:b/>
          <w:bCs/>
          <w:sz w:val="22"/>
          <w:szCs w:val="22"/>
        </w:rPr>
        <w:t>cite sort-seq</w:t>
      </w:r>
      <w:r w:rsidR="00C55CE2">
        <w:rPr>
          <w:rFonts w:asciiTheme="minorHAnsi" w:hAnsiTheme="minorHAnsi" w:cstheme="minorHAnsi"/>
          <w:sz w:val="22"/>
          <w:szCs w:val="22"/>
        </w:rPr>
        <w:t xml:space="preserve">). </w:t>
      </w:r>
      <w:r w:rsidR="0086080D">
        <w:rPr>
          <w:rFonts w:asciiTheme="minorHAnsi" w:hAnsiTheme="minorHAnsi" w:cstheme="minorHAnsi"/>
          <w:sz w:val="22"/>
          <w:szCs w:val="22"/>
        </w:rPr>
        <w:t>This</w:t>
      </w:r>
      <w:r>
        <w:rPr>
          <w:rFonts w:asciiTheme="minorHAnsi" w:hAnsiTheme="minorHAnsi" w:cstheme="minorHAnsi"/>
          <w:sz w:val="22"/>
          <w:szCs w:val="22"/>
        </w:rPr>
        <w:t xml:space="preserve"> high throughput</w:t>
      </w:r>
      <w:r w:rsidR="0086080D">
        <w:rPr>
          <w:rFonts w:asciiTheme="minorHAnsi" w:hAnsiTheme="minorHAnsi" w:cstheme="minorHAnsi"/>
          <w:sz w:val="22"/>
          <w:szCs w:val="22"/>
        </w:rPr>
        <w:t xml:space="preserve"> assay utilizes a combination of fluorescent activated cell sorting (FACS) and next generation sequencing (NGS) to determine the </w:t>
      </w:r>
      <w:r w:rsidR="0086080D">
        <w:rPr>
          <w:rFonts w:asciiTheme="minorHAnsi" w:hAnsiTheme="minorHAnsi" w:cstheme="minorHAnsi"/>
          <w:sz w:val="22"/>
          <w:szCs w:val="22"/>
        </w:rPr>
        <w:lastRenderedPageBreak/>
        <w:t xml:space="preserve">fluorescence profile of a library of </w:t>
      </w:r>
      <w:r>
        <w:rPr>
          <w:rFonts w:asciiTheme="minorHAnsi" w:hAnsiTheme="minorHAnsi" w:cstheme="minorHAnsi"/>
          <w:sz w:val="22"/>
          <w:szCs w:val="22"/>
        </w:rPr>
        <w:t>plasmids coding for our designs</w:t>
      </w:r>
      <w:r w:rsidR="0086080D">
        <w:rPr>
          <w:rFonts w:asciiTheme="minorHAnsi" w:hAnsiTheme="minorHAnsi" w:cstheme="minorHAnsi"/>
          <w:sz w:val="22"/>
          <w:szCs w:val="22"/>
        </w:rPr>
        <w:t xml:space="preserve">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high throughput</w:t>
      </w:r>
      <w:r w:rsidR="0086080D">
        <w:rPr>
          <w:rFonts w:asciiTheme="minorHAnsi" w:hAnsiTheme="minorHAnsi" w:cstheme="minorHAnsi"/>
          <w:sz w:val="22"/>
          <w:szCs w:val="22"/>
        </w:rPr>
        <w:t>). To evaluate the dimerization propensity of our designs, we use a linear transformation using a set of controls and individual clones from our libraries to the values found in TOXGREEN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low throughput</w:t>
      </w:r>
      <w:r w:rsidR="0086080D">
        <w:rPr>
          <w:rFonts w:asciiTheme="minorHAnsi" w:hAnsiTheme="minorHAnsi" w:cstheme="minorHAnsi"/>
          <w:sz w:val="22"/>
          <w:szCs w:val="22"/>
        </w:rPr>
        <w:t xml:space="preserve">). </w:t>
      </w:r>
      <w:r w:rsidR="00A56808">
        <w:rPr>
          <w:rFonts w:asciiTheme="minorHAnsi" w:hAnsiTheme="minorHAnsi" w:cstheme="minorHAnsi"/>
          <w:sz w:val="22"/>
          <w:szCs w:val="22"/>
        </w:rPr>
        <w:t>This transformation normalizes the association strength for each of our libraries, allowing us to compare their association strength.</w:t>
      </w:r>
    </w:p>
    <w:p w14:paraId="2AC7CFE2" w14:textId="58D64971" w:rsidR="006037CC" w:rsidRDefault="006037CC" w:rsidP="00400C76">
      <w:pPr>
        <w:pStyle w:val="Standard"/>
        <w:ind w:firstLine="720"/>
        <w:jc w:val="both"/>
        <w:rPr>
          <w:rFonts w:asciiTheme="minorHAnsi" w:hAnsiTheme="minorHAnsi" w:cstheme="minorHAnsi"/>
          <w:b/>
          <w:bCs/>
          <w:sz w:val="22"/>
          <w:szCs w:val="22"/>
        </w:rPr>
      </w:pPr>
      <w:r>
        <w:rPr>
          <w:rFonts w:asciiTheme="minorHAnsi" w:hAnsiTheme="minorHAnsi" w:cstheme="minorHAnsi"/>
          <w:sz w:val="22"/>
          <w:szCs w:val="22"/>
        </w:rPr>
        <w:t>After running each of the libraries through sort-seq in triplicate, sequences are filtered for proper insertion in the membrane by their ability to survive in maltose media (</w:t>
      </w:r>
      <w:r w:rsidRPr="00DC521D">
        <w:rPr>
          <w:rFonts w:asciiTheme="minorHAnsi" w:hAnsiTheme="minorHAnsi" w:cstheme="minorHAnsi"/>
          <w:b/>
          <w:bCs/>
          <w:sz w:val="22"/>
          <w:szCs w:val="22"/>
        </w:rPr>
        <w:t>cite sort-seq</w:t>
      </w:r>
      <w:r>
        <w:rPr>
          <w:rFonts w:asciiTheme="minorHAnsi" w:hAnsiTheme="minorHAnsi" w:cstheme="minorHAnsi"/>
          <w:sz w:val="22"/>
          <w:szCs w:val="22"/>
        </w:rPr>
        <w:t>).</w:t>
      </w:r>
      <w:r w:rsidR="00D77208">
        <w:rPr>
          <w:rFonts w:asciiTheme="minorHAnsi" w:hAnsiTheme="minorHAnsi" w:cstheme="minorHAnsi"/>
          <w:sz w:val="22"/>
          <w:szCs w:val="22"/>
        </w:rPr>
        <w:t xml:space="preserve"> The maltose test recovered x sequences</w:t>
      </w:r>
      <w:r>
        <w:rPr>
          <w:rFonts w:asciiTheme="minorHAnsi" w:hAnsiTheme="minorHAnsi" w:cstheme="minorHAnsi"/>
          <w:sz w:val="22"/>
          <w:szCs w:val="22"/>
        </w:rPr>
        <w:t xml:space="preserve"> </w:t>
      </w:r>
      <w:r w:rsidR="00451009" w:rsidRPr="00451009">
        <w:rPr>
          <w:rFonts w:asciiTheme="minorHAnsi" w:hAnsiTheme="minorHAnsi" w:cstheme="minorHAnsi"/>
          <w:b/>
          <w:bCs/>
          <w:sz w:val="22"/>
          <w:szCs w:val="22"/>
        </w:rPr>
        <w:t>…maltose detail here after results come back…</w:t>
      </w:r>
    </w:p>
    <w:p w14:paraId="76E3DA9A" w14:textId="77777777" w:rsidR="00577652" w:rsidRDefault="00577652" w:rsidP="00577652">
      <w:pPr>
        <w:pStyle w:val="Standard"/>
        <w:jc w:val="both"/>
        <w:rPr>
          <w:rFonts w:asciiTheme="minorHAnsi" w:hAnsiTheme="minorHAnsi" w:cstheme="minorHAnsi"/>
          <w:b/>
          <w:bCs/>
          <w:sz w:val="22"/>
          <w:szCs w:val="22"/>
        </w:rPr>
      </w:pPr>
    </w:p>
    <w:p w14:paraId="0A26044F" w14:textId="6A39B1AD" w:rsidR="00577652" w:rsidRPr="00205DC7" w:rsidRDefault="00E01E51" w:rsidP="00577652">
      <w:pPr>
        <w:pStyle w:val="Standard"/>
        <w:jc w:val="both"/>
        <w:rPr>
          <w:rFonts w:asciiTheme="minorHAnsi" w:hAnsiTheme="minorHAnsi" w:cstheme="minorHAnsi"/>
          <w:b/>
          <w:bCs/>
          <w:sz w:val="22"/>
          <w:szCs w:val="22"/>
        </w:rPr>
      </w:pPr>
      <w:r>
        <w:rPr>
          <w:rFonts w:asciiTheme="minorHAnsi" w:hAnsiTheme="minorHAnsi" w:cstheme="minorHAnsi"/>
          <w:b/>
          <w:bCs/>
          <w:sz w:val="22"/>
          <w:szCs w:val="22"/>
        </w:rPr>
        <w:t>Design sequence fluorescence distribution</w:t>
      </w:r>
    </w:p>
    <w:p w14:paraId="220E5B39" w14:textId="30A0690D" w:rsidR="00577B05" w:rsidRPr="00A45F58" w:rsidRDefault="006037CC" w:rsidP="00400C76">
      <w:pPr>
        <w:pStyle w:val="Standard"/>
        <w:ind w:firstLine="720"/>
        <w:jc w:val="both"/>
        <w:rPr>
          <w:rFonts w:asciiTheme="minorHAnsi" w:hAnsiTheme="minorHAnsi" w:cstheme="minorHAnsi"/>
          <w:b/>
          <w:bCs/>
          <w:sz w:val="22"/>
          <w:szCs w:val="22"/>
        </w:rPr>
      </w:pPr>
      <w:r>
        <w:rPr>
          <w:rFonts w:asciiTheme="minorHAnsi" w:hAnsiTheme="minorHAnsi" w:cstheme="minorHAnsi"/>
          <w:sz w:val="22"/>
          <w:szCs w:val="22"/>
        </w:rPr>
        <w:t>We first looked at the fluorescence distribution of the WT designs found in our libraries and compared them to each group of their respective mutants</w:t>
      </w:r>
      <w:r w:rsidR="00DC521D">
        <w:rPr>
          <w:rFonts w:asciiTheme="minorHAnsi" w:hAnsiTheme="minorHAnsi" w:cstheme="minorHAnsi"/>
          <w:sz w:val="22"/>
          <w:szCs w:val="22"/>
        </w:rPr>
        <w:t xml:space="preserve"> (</w:t>
      </w:r>
      <w:r w:rsidR="00DC521D" w:rsidRPr="00DC521D">
        <w:rPr>
          <w:rFonts w:asciiTheme="minorHAnsi" w:hAnsiTheme="minorHAnsi" w:cstheme="minorHAnsi"/>
          <w:b/>
          <w:bCs/>
          <w:sz w:val="22"/>
          <w:szCs w:val="22"/>
        </w:rPr>
        <w:t xml:space="preserve">Figure clash dataset </w:t>
      </w:r>
      <w:r w:rsidR="00DC521D">
        <w:rPr>
          <w:rFonts w:asciiTheme="minorHAnsi" w:hAnsiTheme="minorHAnsi" w:cstheme="minorHAnsi"/>
          <w:b/>
          <w:bCs/>
          <w:sz w:val="22"/>
          <w:szCs w:val="22"/>
        </w:rPr>
        <w:t>B</w:t>
      </w:r>
      <w:r w:rsidR="00DC521D">
        <w:rPr>
          <w:rFonts w:asciiTheme="minorHAnsi" w:hAnsiTheme="minorHAnsi" w:cstheme="minorHAnsi"/>
          <w:sz w:val="22"/>
          <w:szCs w:val="22"/>
        </w:rPr>
        <w:t>)</w:t>
      </w:r>
      <w:r>
        <w:rPr>
          <w:rFonts w:asciiTheme="minorHAnsi" w:hAnsiTheme="minorHAnsi" w:cstheme="minorHAnsi"/>
          <w:sz w:val="22"/>
          <w:szCs w:val="22"/>
        </w:rPr>
        <w:t>.</w:t>
      </w:r>
      <w:r w:rsidR="00E0094F">
        <w:rPr>
          <w:rFonts w:asciiTheme="minorHAnsi" w:hAnsiTheme="minorHAnsi" w:cstheme="minorHAnsi"/>
          <w:sz w:val="22"/>
          <w:szCs w:val="22"/>
        </w:rPr>
        <w:t xml:space="preserve"> We separated the data for each design region by </w:t>
      </w:r>
      <w:r w:rsidR="000446A5">
        <w:rPr>
          <w:rFonts w:asciiTheme="minorHAnsi" w:hAnsiTheme="minorHAnsi" w:cstheme="minorHAnsi"/>
          <w:sz w:val="22"/>
          <w:szCs w:val="22"/>
        </w:rPr>
        <w:t>WT (</w:t>
      </w:r>
      <w:r w:rsidR="00E0094F">
        <w:rPr>
          <w:rFonts w:asciiTheme="minorHAnsi" w:hAnsiTheme="minorHAnsi" w:cstheme="minorHAnsi"/>
          <w:sz w:val="22"/>
          <w:szCs w:val="22"/>
        </w:rPr>
        <w:t>dark green</w:t>
      </w:r>
      <w:r w:rsidR="000446A5">
        <w:rPr>
          <w:rFonts w:asciiTheme="minorHAnsi" w:hAnsiTheme="minorHAnsi" w:cstheme="minorHAnsi"/>
          <w:sz w:val="22"/>
          <w:szCs w:val="22"/>
        </w:rPr>
        <w:t>),</w:t>
      </w:r>
      <w:r w:rsidR="00E0094F">
        <w:rPr>
          <w:rFonts w:asciiTheme="minorHAnsi" w:hAnsiTheme="minorHAnsi" w:cstheme="minorHAnsi"/>
          <w:sz w:val="22"/>
          <w:szCs w:val="22"/>
        </w:rPr>
        <w:t xml:space="preserve"> void mutants </w:t>
      </w:r>
      <w:r w:rsidR="000446A5">
        <w:rPr>
          <w:rFonts w:asciiTheme="minorHAnsi" w:hAnsiTheme="minorHAnsi" w:cstheme="minorHAnsi"/>
          <w:sz w:val="22"/>
          <w:szCs w:val="22"/>
        </w:rPr>
        <w:t>(</w:t>
      </w:r>
      <w:r w:rsidR="00E0094F">
        <w:rPr>
          <w:rFonts w:asciiTheme="minorHAnsi" w:hAnsiTheme="minorHAnsi" w:cstheme="minorHAnsi"/>
          <w:sz w:val="22"/>
          <w:szCs w:val="22"/>
        </w:rPr>
        <w:t>light green</w:t>
      </w:r>
      <w:r w:rsidR="000446A5">
        <w:rPr>
          <w:rFonts w:asciiTheme="minorHAnsi" w:hAnsiTheme="minorHAnsi" w:cstheme="minorHAnsi"/>
          <w:sz w:val="22"/>
          <w:szCs w:val="22"/>
        </w:rPr>
        <w:t>)</w:t>
      </w:r>
      <w:r w:rsidR="00E0094F">
        <w:rPr>
          <w:rFonts w:asciiTheme="minorHAnsi" w:hAnsiTheme="minorHAnsi" w:cstheme="minorHAnsi"/>
          <w:sz w:val="22"/>
          <w:szCs w:val="22"/>
        </w:rPr>
        <w:t xml:space="preserve">, and clash mutants </w:t>
      </w:r>
      <w:r w:rsidR="000446A5">
        <w:rPr>
          <w:rFonts w:asciiTheme="minorHAnsi" w:hAnsiTheme="minorHAnsi" w:cstheme="minorHAnsi"/>
          <w:sz w:val="22"/>
          <w:szCs w:val="22"/>
        </w:rPr>
        <w:t>(white)</w:t>
      </w:r>
      <w:r w:rsidR="00E0094F">
        <w:rPr>
          <w:rFonts w:asciiTheme="minorHAnsi" w:hAnsiTheme="minorHAnsi" w:cstheme="minorHAnsi"/>
          <w:sz w:val="22"/>
          <w:szCs w:val="22"/>
        </w:rPr>
        <w:t xml:space="preserve">. It is notable that the </w:t>
      </w:r>
      <w:r w:rsidR="00F6356F">
        <w:rPr>
          <w:rFonts w:asciiTheme="minorHAnsi" w:hAnsiTheme="minorHAnsi" w:cstheme="minorHAnsi"/>
          <w:sz w:val="22"/>
          <w:szCs w:val="22"/>
        </w:rPr>
        <w:t>fluorescence within</w:t>
      </w:r>
      <w:r w:rsidR="00E0094F">
        <w:rPr>
          <w:rFonts w:asciiTheme="minorHAnsi" w:hAnsiTheme="minorHAnsi" w:cstheme="minorHAnsi"/>
          <w:sz w:val="22"/>
          <w:szCs w:val="22"/>
        </w:rPr>
        <w:t xml:space="preserve"> the </w:t>
      </w:r>
      <w:proofErr w:type="spellStart"/>
      <w:r w:rsidR="00E0094F">
        <w:rPr>
          <w:rFonts w:asciiTheme="minorHAnsi" w:hAnsiTheme="minorHAnsi" w:cstheme="minorHAnsi"/>
          <w:sz w:val="22"/>
          <w:szCs w:val="22"/>
        </w:rPr>
        <w:t>GASright</w:t>
      </w:r>
      <w:proofErr w:type="spellEnd"/>
      <w:r w:rsidR="00E0094F">
        <w:rPr>
          <w:rFonts w:asciiTheme="minorHAnsi" w:hAnsiTheme="minorHAnsi" w:cstheme="minorHAnsi"/>
          <w:sz w:val="22"/>
          <w:szCs w:val="22"/>
        </w:rPr>
        <w:t xml:space="preserve"> region</w:t>
      </w:r>
      <w:r w:rsidR="00F6356F">
        <w:rPr>
          <w:rFonts w:asciiTheme="minorHAnsi" w:hAnsiTheme="minorHAnsi" w:cstheme="minorHAnsi"/>
          <w:sz w:val="22"/>
          <w:szCs w:val="22"/>
        </w:rPr>
        <w:t xml:space="preserve"> </w:t>
      </w:r>
      <w:r w:rsidR="00E0094F">
        <w:rPr>
          <w:rFonts w:asciiTheme="minorHAnsi" w:hAnsiTheme="minorHAnsi" w:cstheme="minorHAnsi"/>
          <w:sz w:val="22"/>
          <w:szCs w:val="22"/>
        </w:rPr>
        <w:t xml:space="preserve">spans a larger range than both the left- and right-handed regions, </w:t>
      </w:r>
      <w:r w:rsidR="00BF67F9">
        <w:rPr>
          <w:rFonts w:asciiTheme="minorHAnsi" w:hAnsiTheme="minorHAnsi" w:cstheme="minorHAnsi"/>
          <w:sz w:val="22"/>
          <w:szCs w:val="22"/>
        </w:rPr>
        <w:t xml:space="preserve">demonstrating </w:t>
      </w:r>
      <w:proofErr w:type="spellStart"/>
      <w:r w:rsidR="00BF67F9">
        <w:rPr>
          <w:rFonts w:asciiTheme="minorHAnsi" w:hAnsiTheme="minorHAnsi" w:cstheme="minorHAnsi"/>
          <w:sz w:val="22"/>
          <w:szCs w:val="22"/>
        </w:rPr>
        <w:t>GASrights</w:t>
      </w:r>
      <w:proofErr w:type="spellEnd"/>
      <w:r w:rsidR="00BF67F9">
        <w:rPr>
          <w:rFonts w:asciiTheme="minorHAnsi" w:hAnsiTheme="minorHAnsi" w:cstheme="minorHAnsi"/>
          <w:sz w:val="22"/>
          <w:szCs w:val="22"/>
        </w:rPr>
        <w:t xml:space="preserve"> ability to self-associate with the addition of hydrogen bonding</w:t>
      </w:r>
      <w:r w:rsidR="00E0094F">
        <w:rPr>
          <w:rFonts w:asciiTheme="minorHAnsi" w:hAnsiTheme="minorHAnsi" w:cstheme="minorHAnsi"/>
          <w:sz w:val="22"/>
          <w:szCs w:val="22"/>
        </w:rPr>
        <w:t>.</w:t>
      </w:r>
      <w:r w:rsidR="00BF67F9">
        <w:rPr>
          <w:rFonts w:asciiTheme="minorHAnsi" w:hAnsiTheme="minorHAnsi" w:cstheme="minorHAnsi"/>
          <w:sz w:val="22"/>
          <w:szCs w:val="22"/>
        </w:rPr>
        <w:t xml:space="preserve"> </w:t>
      </w:r>
      <w:r w:rsidR="00BF67F9" w:rsidRPr="00BF67F9">
        <w:rPr>
          <w:rFonts w:asciiTheme="minorHAnsi" w:hAnsiTheme="minorHAnsi" w:cstheme="minorHAnsi"/>
          <w:sz w:val="22"/>
          <w:szCs w:val="22"/>
        </w:rPr>
        <w:t xml:space="preserve">However, many proteins in both the left- and right-handed designs are above the fluorescence of our monomeric control (25% </w:t>
      </w:r>
      <w:proofErr w:type="spellStart"/>
      <w:r w:rsidR="00BF67F9" w:rsidRPr="00BF67F9">
        <w:rPr>
          <w:rFonts w:asciiTheme="minorHAnsi" w:hAnsiTheme="minorHAnsi" w:cstheme="minorHAnsi"/>
          <w:sz w:val="22"/>
          <w:szCs w:val="22"/>
        </w:rPr>
        <w:t>GpA</w:t>
      </w:r>
      <w:proofErr w:type="spellEnd"/>
      <w:r w:rsidR="00BF67F9" w:rsidRPr="00BF67F9">
        <w:rPr>
          <w:rFonts w:asciiTheme="minorHAnsi" w:hAnsiTheme="minorHAnsi" w:cstheme="minorHAnsi"/>
          <w:sz w:val="22"/>
          <w:szCs w:val="22"/>
        </w:rPr>
        <w:t xml:space="preserve">), meaning that we have successfully designed sequences that associate in those regions. </w:t>
      </w:r>
      <w:r w:rsidR="00F732D9">
        <w:rPr>
          <w:rFonts w:asciiTheme="minorHAnsi" w:hAnsiTheme="minorHAnsi" w:cstheme="minorHAnsi"/>
          <w:sz w:val="22"/>
          <w:szCs w:val="22"/>
        </w:rPr>
        <w:t xml:space="preserve">We then used a t-test </w:t>
      </w:r>
      <w:r w:rsidR="000446A5">
        <w:rPr>
          <w:rFonts w:asciiTheme="minorHAnsi" w:hAnsiTheme="minorHAnsi" w:cstheme="minorHAnsi"/>
          <w:sz w:val="22"/>
          <w:szCs w:val="22"/>
        </w:rPr>
        <w:t>to compare the</w:t>
      </w:r>
      <w:r w:rsidR="00F732D9">
        <w:rPr>
          <w:rFonts w:asciiTheme="minorHAnsi" w:hAnsiTheme="minorHAnsi" w:cstheme="minorHAnsi"/>
          <w:sz w:val="22"/>
          <w:szCs w:val="22"/>
        </w:rPr>
        <w:t xml:space="preserve"> fluorescence of the WT designs against the mutant groups</w:t>
      </w:r>
      <w:r w:rsidR="000446A5">
        <w:rPr>
          <w:rFonts w:asciiTheme="minorHAnsi" w:hAnsiTheme="minorHAnsi" w:cstheme="minorHAnsi"/>
          <w:sz w:val="22"/>
          <w:szCs w:val="22"/>
        </w:rPr>
        <w:t xml:space="preserve">, allowing us </w:t>
      </w:r>
      <w:r w:rsidR="00F732D9">
        <w:rPr>
          <w:rFonts w:asciiTheme="minorHAnsi" w:hAnsiTheme="minorHAnsi" w:cstheme="minorHAnsi"/>
          <w:sz w:val="22"/>
          <w:szCs w:val="22"/>
        </w:rPr>
        <w:t xml:space="preserve">to determine the impact of each mutation on association. </w:t>
      </w:r>
      <w:r w:rsidR="002F5687">
        <w:rPr>
          <w:rFonts w:asciiTheme="minorHAnsi" w:hAnsiTheme="minorHAnsi" w:cstheme="minorHAnsi"/>
          <w:sz w:val="22"/>
          <w:szCs w:val="22"/>
        </w:rPr>
        <w:t>Clashing mutations significantly decrease the association of WTs</w:t>
      </w:r>
      <w:r w:rsidR="00F732D9">
        <w:rPr>
          <w:rFonts w:asciiTheme="minorHAnsi" w:hAnsiTheme="minorHAnsi" w:cstheme="minorHAnsi"/>
          <w:sz w:val="22"/>
          <w:szCs w:val="22"/>
        </w:rPr>
        <w:t xml:space="preserve">, with a </w:t>
      </w:r>
      <w:r w:rsidR="002F5687">
        <w:rPr>
          <w:rFonts w:asciiTheme="minorHAnsi" w:hAnsiTheme="minorHAnsi" w:cstheme="minorHAnsi"/>
          <w:sz w:val="22"/>
          <w:szCs w:val="22"/>
        </w:rPr>
        <w:t>p-value &lt; 0.005</w:t>
      </w:r>
      <w:r w:rsidR="00F732D9">
        <w:rPr>
          <w:rFonts w:asciiTheme="minorHAnsi" w:hAnsiTheme="minorHAnsi" w:cstheme="minorHAnsi"/>
          <w:sz w:val="22"/>
          <w:szCs w:val="22"/>
        </w:rPr>
        <w:t xml:space="preserve"> in each region</w:t>
      </w:r>
      <w:r w:rsidR="002F5687">
        <w:rPr>
          <w:rFonts w:asciiTheme="minorHAnsi" w:hAnsiTheme="minorHAnsi" w:cstheme="minorHAnsi"/>
          <w:sz w:val="22"/>
          <w:szCs w:val="22"/>
        </w:rPr>
        <w:t xml:space="preserve">. </w:t>
      </w:r>
      <w:r w:rsidR="00235DFD">
        <w:rPr>
          <w:rFonts w:asciiTheme="minorHAnsi" w:hAnsiTheme="minorHAnsi" w:cstheme="minorHAnsi"/>
          <w:sz w:val="22"/>
          <w:szCs w:val="22"/>
        </w:rPr>
        <w:t xml:space="preserve">This </w:t>
      </w:r>
      <w:r w:rsidR="00D77208">
        <w:rPr>
          <w:rFonts w:asciiTheme="minorHAnsi" w:hAnsiTheme="minorHAnsi" w:cstheme="minorHAnsi"/>
          <w:sz w:val="22"/>
          <w:szCs w:val="22"/>
        </w:rPr>
        <w:t>supports our initial hypothesis of using</w:t>
      </w:r>
      <w:r w:rsidR="00235DFD">
        <w:rPr>
          <w:rFonts w:asciiTheme="minorHAnsi" w:hAnsiTheme="minorHAnsi" w:cstheme="minorHAnsi"/>
          <w:sz w:val="22"/>
          <w:szCs w:val="22"/>
        </w:rPr>
        <w:t xml:space="preserve"> clashing mutations as a method for supporting our designed interfaces.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both </w:t>
      </w:r>
      <w:r w:rsidR="00D77208">
        <w:rPr>
          <w:rFonts w:asciiTheme="minorHAnsi" w:hAnsiTheme="minorHAnsi" w:cstheme="minorHAnsi"/>
          <w:sz w:val="22"/>
          <w:szCs w:val="22"/>
        </w:rPr>
        <w:t>left- and right-handed</w:t>
      </w:r>
      <w:r w:rsidR="00A45F58">
        <w:rPr>
          <w:rFonts w:asciiTheme="minorHAnsi" w:hAnsiTheme="minorHAnsi" w:cstheme="minorHAnsi"/>
          <w:sz w:val="22"/>
          <w:szCs w:val="22"/>
        </w:rPr>
        <w:t xml:space="preserve"> designs show an increase in their void </w:t>
      </w:r>
      <w:r w:rsidR="00D77208">
        <w:rPr>
          <w:rFonts w:asciiTheme="minorHAnsi" w:hAnsiTheme="minorHAnsi" w:cstheme="minorHAnsi"/>
          <w:sz w:val="22"/>
          <w:szCs w:val="22"/>
        </w:rPr>
        <w:t>mutants’</w:t>
      </w:r>
      <w:r w:rsidR="00A45F58">
        <w:rPr>
          <w:rFonts w:asciiTheme="minorHAnsi" w:hAnsiTheme="minorHAnsi" w:cstheme="minorHAnsi"/>
          <w:sz w:val="22"/>
          <w:szCs w:val="22"/>
        </w:rPr>
        <w:t xml:space="preserve"> respective fluorescence</w:t>
      </w:r>
      <w:r w:rsidR="004A03F0">
        <w:rPr>
          <w:rFonts w:asciiTheme="minorHAnsi" w:hAnsiTheme="minorHAnsi" w:cstheme="minorHAnsi"/>
          <w:sz w:val="22"/>
          <w:szCs w:val="22"/>
        </w:rPr>
        <w:t>, while</w:t>
      </w:r>
      <w:r w:rsidR="00F732D9">
        <w:rPr>
          <w:rFonts w:asciiTheme="minorHAnsi" w:hAnsiTheme="minorHAnsi" w:cstheme="minorHAnsi"/>
          <w:sz w:val="22"/>
          <w:szCs w:val="22"/>
        </w:rPr>
        <w:t xml:space="preserve"> </w:t>
      </w:r>
      <w:r w:rsidR="004A03F0">
        <w:rPr>
          <w:rFonts w:asciiTheme="minorHAnsi" w:hAnsiTheme="minorHAnsi" w:cstheme="minorHAnsi"/>
          <w:sz w:val="22"/>
          <w:szCs w:val="22"/>
        </w:rPr>
        <w:t>v</w:t>
      </w:r>
      <w:r w:rsidR="00F732D9">
        <w:rPr>
          <w:rFonts w:asciiTheme="minorHAnsi" w:hAnsiTheme="minorHAnsi" w:cstheme="minorHAnsi"/>
          <w:sz w:val="22"/>
          <w:szCs w:val="22"/>
        </w:rPr>
        <w:t xml:space="preserve">oid mutations on </w:t>
      </w:r>
      <w:proofErr w:type="spellStart"/>
      <w:r w:rsidR="00F732D9">
        <w:rPr>
          <w:rFonts w:asciiTheme="minorHAnsi" w:hAnsiTheme="minorHAnsi" w:cstheme="minorHAnsi"/>
          <w:sz w:val="22"/>
          <w:szCs w:val="22"/>
        </w:rPr>
        <w:t>GASright</w:t>
      </w:r>
      <w:proofErr w:type="spellEnd"/>
      <w:r w:rsidR="00F732D9">
        <w:rPr>
          <w:rFonts w:asciiTheme="minorHAnsi" w:hAnsiTheme="minorHAnsi" w:cstheme="minorHAnsi"/>
          <w:sz w:val="22"/>
          <w:szCs w:val="22"/>
        </w:rPr>
        <w:t xml:space="preserve"> proteins show an overall decrease in fluorescence</w:t>
      </w:r>
      <w:r w:rsidR="004A03F0">
        <w:rPr>
          <w:rFonts w:asciiTheme="minorHAnsi" w:hAnsiTheme="minorHAnsi" w:cstheme="minorHAnsi"/>
          <w:sz w:val="22"/>
          <w:szCs w:val="22"/>
        </w:rPr>
        <w:t xml:space="preserve"> that is not significant.</w:t>
      </w:r>
      <w:r w:rsidR="00F732D9">
        <w:rPr>
          <w:rFonts w:asciiTheme="minorHAnsi" w:hAnsiTheme="minorHAnsi" w:cstheme="minorHAnsi"/>
          <w:sz w:val="22"/>
          <w:szCs w:val="22"/>
        </w:rPr>
        <w:t xml:space="preserve"> </w:t>
      </w:r>
      <w:r w:rsidR="00A45F58">
        <w:rPr>
          <w:rFonts w:asciiTheme="minorHAnsi" w:hAnsiTheme="minorHAnsi" w:cstheme="minorHAnsi"/>
          <w:sz w:val="22"/>
          <w:szCs w:val="22"/>
        </w:rPr>
        <w:t xml:space="preserve"> </w:t>
      </w:r>
      <w:r w:rsidR="00235DFD">
        <w:rPr>
          <w:rFonts w:asciiTheme="minorHAnsi" w:hAnsiTheme="minorHAnsi" w:cstheme="minorHAnsi"/>
          <w:sz w:val="22"/>
          <w:szCs w:val="22"/>
        </w:rPr>
        <w:t>We speculate that creating these voids in dimers may not necessarily be destabilizing because of the potential for these sequences to undergo dimerization with an alternative structure that fills the void</w:t>
      </w:r>
      <w:r w:rsidR="004A03F0">
        <w:rPr>
          <w:rFonts w:asciiTheme="minorHAnsi" w:hAnsiTheme="minorHAnsi" w:cstheme="minorHAnsi"/>
          <w:sz w:val="22"/>
          <w:szCs w:val="22"/>
        </w:rPr>
        <w:t>,</w:t>
      </w:r>
      <w:r w:rsidR="00235DFD">
        <w:rPr>
          <w:rFonts w:asciiTheme="minorHAnsi" w:hAnsiTheme="minorHAnsi" w:cstheme="minorHAnsi"/>
          <w:sz w:val="22"/>
          <w:szCs w:val="22"/>
        </w:rPr>
        <w:t xml:space="preserve"> resulting in structures that are stabilized more favorably than their WTs</w:t>
      </w:r>
      <w:r w:rsidR="004A03F0">
        <w:rPr>
          <w:rFonts w:asciiTheme="minorHAnsi" w:hAnsiTheme="minorHAnsi" w:cstheme="minorHAnsi"/>
          <w:sz w:val="22"/>
          <w:szCs w:val="22"/>
        </w:rPr>
        <w:t xml:space="preserve"> for sequences primarily stabilized by tight sidechain packing</w:t>
      </w:r>
      <w:r w:rsidR="00235DFD">
        <w:rPr>
          <w:rFonts w:asciiTheme="minorHAnsi" w:hAnsiTheme="minorHAnsi" w:cstheme="minorHAnsi"/>
          <w:sz w:val="22"/>
          <w:szCs w:val="22"/>
        </w:rPr>
        <w:t>.</w:t>
      </w:r>
    </w:p>
    <w:p w14:paraId="58AB1933" w14:textId="6D9FD04B" w:rsidR="00A45F58" w:rsidRPr="00A45F58" w:rsidRDefault="00A45F58" w:rsidP="00400C76">
      <w:pPr>
        <w:pStyle w:val="Standard"/>
        <w:ind w:firstLine="720"/>
        <w:jc w:val="both"/>
        <w:rPr>
          <w:rFonts w:asciiTheme="minorHAnsi" w:hAnsiTheme="minorHAnsi" w:cstheme="minorHAnsi"/>
          <w:sz w:val="22"/>
          <w:szCs w:val="22"/>
        </w:rPr>
      </w:pPr>
    </w:p>
    <w:p w14:paraId="26404785" w14:textId="0C03A2DF" w:rsidR="00682A1D" w:rsidRDefault="0080361C" w:rsidP="00400C76">
      <w:pPr>
        <w:jc w:val="both"/>
        <w:rPr>
          <w:rFonts w:cstheme="minorHAnsi"/>
          <w:b/>
          <w:bCs/>
        </w:rPr>
      </w:pPr>
      <w:r>
        <w:rPr>
          <w:rFonts w:cstheme="minorHAnsi"/>
          <w:b/>
          <w:bCs/>
        </w:rPr>
        <w:t xml:space="preserve">Figure </w:t>
      </w:r>
      <w:proofErr w:type="spellStart"/>
      <w:r w:rsidR="00577652">
        <w:rPr>
          <w:rFonts w:cstheme="minorHAnsi"/>
          <w:b/>
          <w:bCs/>
        </w:rPr>
        <w:t>primary_dataset</w:t>
      </w:r>
      <w:proofErr w:type="spellEnd"/>
      <w:r>
        <w:rPr>
          <w:rFonts w:cstheme="minorHAnsi"/>
          <w:b/>
          <w:bCs/>
        </w:rPr>
        <w:t xml:space="preserve"> </w:t>
      </w:r>
    </w:p>
    <w:p w14:paraId="0B0485F9" w14:textId="30DE9FCD" w:rsidR="00682A1D" w:rsidRDefault="007C440C" w:rsidP="00400C76">
      <w:pPr>
        <w:jc w:val="both"/>
        <w:rPr>
          <w:rFonts w:cstheme="minorHAnsi"/>
        </w:rPr>
      </w:pPr>
      <w:r>
        <w:rPr>
          <w:noProof/>
        </w:rPr>
        <w:drawing>
          <wp:inline distT="0" distB="0" distL="0" distR="0" wp14:anchorId="357A0749" wp14:editId="69FD3BFC">
            <wp:extent cx="6858000" cy="3917950"/>
            <wp:effectExtent l="0" t="0" r="0" b="6350"/>
            <wp:docPr id="25056318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63181" name="Picture 2"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917950"/>
                    </a:xfrm>
                    <a:prstGeom prst="rect">
                      <a:avLst/>
                    </a:prstGeom>
                    <a:noFill/>
                    <a:ln>
                      <a:noFill/>
                    </a:ln>
                  </pic:spPr>
                </pic:pic>
              </a:graphicData>
            </a:graphic>
          </wp:inline>
        </w:drawing>
      </w:r>
    </w:p>
    <w:p w14:paraId="47944DF7" w14:textId="3F89911F" w:rsidR="00682A1D" w:rsidRDefault="0080361C" w:rsidP="00400C76">
      <w:pPr>
        <w:jc w:val="both"/>
        <w:rPr>
          <w:rFonts w:cstheme="minorHAnsi"/>
        </w:rPr>
      </w:pPr>
      <w:r>
        <w:rPr>
          <w:rFonts w:cstheme="minorHAnsi"/>
        </w:rPr>
        <w:lastRenderedPageBreak/>
        <w:t xml:space="preserve">Figure </w:t>
      </w:r>
      <w:proofErr w:type="spellStart"/>
      <w:r w:rsidR="00577652">
        <w:rPr>
          <w:rFonts w:cstheme="minorHAnsi"/>
        </w:rPr>
        <w:t>primary_dataset</w:t>
      </w:r>
      <w:proofErr w:type="spellEnd"/>
      <w:r>
        <w:rPr>
          <w:rFonts w:cstheme="minorHAnsi"/>
        </w:rPr>
        <w:t xml:space="preserve">. A) </w:t>
      </w:r>
      <w:r w:rsidR="00451009">
        <w:rPr>
          <w:rFonts w:cstheme="minorHAnsi"/>
        </w:rPr>
        <w:t>Mutations made to each WT design. Clash mutants result in overlaps between atoms from each helix, Void mutants result in large pockets lacking atoms</w:t>
      </w:r>
      <w:r>
        <w:rPr>
          <w:rFonts w:cstheme="minorHAnsi"/>
        </w:rPr>
        <w:t>. B) The WT (dark green) fluorescence distribution is compared to the fluorescence distributions of their corresponding</w:t>
      </w:r>
      <w:r w:rsidR="007C440C">
        <w:rPr>
          <w:rFonts w:cstheme="minorHAnsi"/>
        </w:rPr>
        <w:t xml:space="preserve"> void (light green) and clash (white) mutants</w:t>
      </w:r>
      <w:r>
        <w:rPr>
          <w:rFonts w:cstheme="minorHAnsi"/>
        </w:rPr>
        <w:t>.</w:t>
      </w:r>
      <w:r w:rsidR="007C440C">
        <w:rPr>
          <w:rFonts w:cstheme="minorHAnsi"/>
        </w:rPr>
        <w:t xml:space="preserve"> p-values determining the significant difference between WT fluorescence and mutant fluorescence is shown over the corresponding boxplot.</w:t>
      </w:r>
      <w:r>
        <w:rPr>
          <w:rFonts w:cstheme="minorHAnsi"/>
        </w:rPr>
        <w:t xml:space="preserve"> C) Separated graphs for normalized fluorescence against the design energy score</w:t>
      </w:r>
      <w:r w:rsidR="007C440C">
        <w:rPr>
          <w:rFonts w:cstheme="minorHAnsi"/>
        </w:rPr>
        <w:t>.</w:t>
      </w:r>
    </w:p>
    <w:p w14:paraId="2F4F13E3" w14:textId="276DFD9E" w:rsidR="006F381E" w:rsidRPr="006F381E" w:rsidRDefault="006F381E" w:rsidP="00400C76">
      <w:pPr>
        <w:jc w:val="both"/>
        <w:rPr>
          <w:rFonts w:cstheme="minorHAnsi"/>
          <w:b/>
          <w:bCs/>
        </w:rPr>
      </w:pPr>
      <w:r w:rsidRPr="006F381E">
        <w:rPr>
          <w:rFonts w:cstheme="minorHAnsi"/>
          <w:b/>
          <w:bCs/>
        </w:rPr>
        <w:t>Structural</w:t>
      </w:r>
      <w:r>
        <w:rPr>
          <w:rFonts w:cstheme="minorHAnsi"/>
          <w:b/>
          <w:bCs/>
        </w:rPr>
        <w:t xml:space="preserve"> and energetic</w:t>
      </w:r>
      <w:r w:rsidRPr="006F381E">
        <w:rPr>
          <w:rFonts w:cstheme="minorHAnsi"/>
          <w:b/>
          <w:bCs/>
        </w:rPr>
        <w:t xml:space="preserve"> validation by clashing mutations</w:t>
      </w:r>
    </w:p>
    <w:p w14:paraId="4D70AAFE" w14:textId="5FC0C330" w:rsidR="002B7D7D" w:rsidRDefault="006F381E" w:rsidP="00400C76">
      <w:pPr>
        <w:ind w:firstLine="720"/>
        <w:jc w:val="both"/>
        <w:rPr>
          <w:rFonts w:cstheme="minorHAnsi"/>
        </w:rPr>
      </w:pPr>
      <w:r>
        <w:rPr>
          <w:rFonts w:cstheme="minorHAnsi"/>
        </w:rPr>
        <w:t xml:space="preserve">We next decided to evaluate the structures with interfaces supported by our clashing mutations. We limited this dataset to WT sequences with at least one clashing mutation with a mild monomeric cutoff </w:t>
      </w:r>
      <w:r w:rsidR="00746D6F">
        <w:rPr>
          <w:rFonts w:cstheme="minorHAnsi"/>
        </w:rPr>
        <w:t>(&lt;</w:t>
      </w:r>
      <w:r>
        <w:rPr>
          <w:rFonts w:cstheme="minorHAnsi"/>
        </w:rPr>
        <w:t xml:space="preserve"> 35% </w:t>
      </w:r>
      <w:proofErr w:type="spellStart"/>
      <w:r>
        <w:rPr>
          <w:rFonts w:cstheme="minorHAnsi"/>
        </w:rPr>
        <w:t>GpA</w:t>
      </w:r>
      <w:proofErr w:type="spellEnd"/>
      <w:r w:rsidR="00746D6F">
        <w:rPr>
          <w:rFonts w:cstheme="minorHAnsi"/>
        </w:rPr>
        <w:t>)</w:t>
      </w:r>
      <w:r>
        <w:rPr>
          <w:rFonts w:cstheme="minorHAnsi"/>
        </w:rPr>
        <w:t xml:space="preserve"> or</w:t>
      </w:r>
      <w:r w:rsidR="00746D6F">
        <w:rPr>
          <w:rFonts w:cstheme="minorHAnsi"/>
        </w:rPr>
        <w:t xml:space="preserve"> with fluorescence</w:t>
      </w:r>
      <w:r>
        <w:rPr>
          <w:rFonts w:cstheme="minorHAnsi"/>
        </w:rPr>
        <w:t xml:space="preserve"> 50% less than the WT. We then plotted the fluorescence against our design energy score, allowing us to evaluate the accuracy of our design method</w:t>
      </w:r>
      <w:r w:rsidR="002F5687">
        <w:rPr>
          <w:rFonts w:cstheme="minorHAnsi"/>
        </w:rPr>
        <w:t xml:space="preserve"> (</w:t>
      </w:r>
      <w:r w:rsidR="002F5687" w:rsidRPr="002F5687">
        <w:rPr>
          <w:rFonts w:cstheme="minorHAnsi"/>
          <w:b/>
          <w:bCs/>
        </w:rPr>
        <w:t xml:space="preserve">Figure </w:t>
      </w:r>
      <w:proofErr w:type="spellStart"/>
      <w:r w:rsidR="00577652">
        <w:rPr>
          <w:rFonts w:cstheme="minorHAnsi"/>
          <w:b/>
          <w:bCs/>
        </w:rPr>
        <w:t>primary_</w:t>
      </w:r>
      <w:r w:rsidR="002F5687" w:rsidRPr="002F5687">
        <w:rPr>
          <w:rFonts w:cstheme="minorHAnsi"/>
          <w:b/>
          <w:bCs/>
        </w:rPr>
        <w:t>dataset</w:t>
      </w:r>
      <w:proofErr w:type="spellEnd"/>
      <w:r w:rsidR="002F5687" w:rsidRPr="002F5687">
        <w:rPr>
          <w:rFonts w:cstheme="minorHAnsi"/>
          <w:b/>
          <w:bCs/>
        </w:rPr>
        <w:t xml:space="preserve"> C</w:t>
      </w:r>
      <w:r w:rsidR="002F5687">
        <w:rPr>
          <w:rFonts w:cstheme="minorHAnsi"/>
        </w:rPr>
        <w:t>)</w:t>
      </w:r>
      <w:r>
        <w:rPr>
          <w:rFonts w:cstheme="minorHAnsi"/>
        </w:rPr>
        <w:t xml:space="preserve">. </w:t>
      </w:r>
      <w:r w:rsidR="00666135">
        <w:rPr>
          <w:rFonts w:cstheme="minorHAnsi"/>
        </w:rPr>
        <w:t xml:space="preserve">There were two things that were apparent from this data: </w:t>
      </w:r>
      <w:proofErr w:type="spellStart"/>
      <w:r w:rsidR="00666135">
        <w:rPr>
          <w:rFonts w:cstheme="minorHAnsi"/>
        </w:rPr>
        <w:t>GASrights</w:t>
      </w:r>
      <w:proofErr w:type="spellEnd"/>
      <w:r w:rsidR="00666135">
        <w:rPr>
          <w:rFonts w:cstheme="minorHAnsi"/>
        </w:rPr>
        <w:t xml:space="preserve"> are more stable and appear to follow our design principles better than the other regions</w:t>
      </w:r>
      <w:r w:rsidR="00076FBA">
        <w:rPr>
          <w:rFonts w:cstheme="minorHAnsi"/>
        </w:rPr>
        <w:t xml:space="preserve">. </w:t>
      </w:r>
      <w:proofErr w:type="spellStart"/>
      <w:r w:rsidR="00746D6F">
        <w:rPr>
          <w:rFonts w:cstheme="minorHAnsi"/>
        </w:rPr>
        <w:t>GASright</w:t>
      </w:r>
      <w:proofErr w:type="spellEnd"/>
      <w:r w:rsidR="00746D6F">
        <w:rPr>
          <w:rFonts w:cstheme="minorHAnsi"/>
        </w:rPr>
        <w:t xml:space="preserve"> sequences expressed the most fluorescence of all three design regions, suggesting that interhelical hydrogen bonding is necessary for high level association in membrane proteins. Additionally, our design energy score expected many of the left-handed structures to be more stable than right-handed, which </w:t>
      </w:r>
      <w:r w:rsidR="00577652">
        <w:rPr>
          <w:rFonts w:cstheme="minorHAnsi"/>
        </w:rPr>
        <w:t>is supported by</w:t>
      </w:r>
      <w:r w:rsidR="00746D6F">
        <w:rPr>
          <w:rFonts w:cstheme="minorHAnsi"/>
        </w:rPr>
        <w:t xml:space="preserve"> Figure </w:t>
      </w:r>
      <w:proofErr w:type="spellStart"/>
      <w:r w:rsidR="00577652">
        <w:rPr>
          <w:rFonts w:cstheme="minorHAnsi"/>
        </w:rPr>
        <w:t>primary_</w:t>
      </w:r>
      <w:r w:rsidR="00746D6F">
        <w:rPr>
          <w:rFonts w:cstheme="minorHAnsi"/>
        </w:rPr>
        <w:t>dataset</w:t>
      </w:r>
      <w:proofErr w:type="spellEnd"/>
      <w:r w:rsidR="00746D6F">
        <w:rPr>
          <w:rFonts w:cstheme="minorHAnsi"/>
        </w:rPr>
        <w:t xml:space="preserve"> B. However, it doesn’t appear that our design energy score is able to capture </w:t>
      </w:r>
      <w:r w:rsidR="00205DC7">
        <w:rPr>
          <w:rFonts w:cstheme="minorHAnsi"/>
        </w:rPr>
        <w:t xml:space="preserve">meaningful </w:t>
      </w:r>
      <w:r w:rsidR="00746D6F">
        <w:rPr>
          <w:rFonts w:cstheme="minorHAnsi"/>
        </w:rPr>
        <w:t xml:space="preserve">differences between </w:t>
      </w:r>
      <w:r w:rsidR="00E530D3">
        <w:rPr>
          <w:rFonts w:cstheme="minorHAnsi"/>
        </w:rPr>
        <w:t xml:space="preserve">many structures in the lower threshold of association </w:t>
      </w:r>
      <w:r w:rsidR="00205DC7">
        <w:rPr>
          <w:rFonts w:cstheme="minorHAnsi"/>
        </w:rPr>
        <w:t xml:space="preserve">where many of the Left and Right designs are found </w:t>
      </w:r>
      <w:r w:rsidR="00E530D3">
        <w:rPr>
          <w:rFonts w:cstheme="minorHAnsi"/>
        </w:rPr>
        <w:t>(0.25-0.</w:t>
      </w:r>
      <w:r w:rsidR="00205DC7">
        <w:rPr>
          <w:rFonts w:cstheme="minorHAnsi"/>
        </w:rPr>
        <w:t>6</w:t>
      </w:r>
      <w:r w:rsidR="00E530D3">
        <w:rPr>
          <w:rFonts w:cstheme="minorHAnsi"/>
        </w:rPr>
        <w:t>). This</w:t>
      </w:r>
      <w:r w:rsidR="00746D6F">
        <w:rPr>
          <w:rFonts w:cstheme="minorHAnsi"/>
        </w:rPr>
        <w:t xml:space="preserve"> suggest</w:t>
      </w:r>
      <w:r w:rsidR="00E530D3">
        <w:rPr>
          <w:rFonts w:cstheme="minorHAnsi"/>
        </w:rPr>
        <w:t>s</w:t>
      </w:r>
      <w:r w:rsidR="00746D6F">
        <w:rPr>
          <w:rFonts w:cstheme="minorHAnsi"/>
        </w:rPr>
        <w:t xml:space="preserve"> that our energetic parameters are not well tuned to evaluate </w:t>
      </w:r>
      <w:r w:rsidR="00E530D3">
        <w:rPr>
          <w:rFonts w:cstheme="minorHAnsi"/>
        </w:rPr>
        <w:t>low levels of homodimer association.</w:t>
      </w:r>
      <w:r w:rsidR="00746D6F">
        <w:rPr>
          <w:rFonts w:cstheme="minorHAnsi"/>
        </w:rPr>
        <w:t xml:space="preserve">  </w:t>
      </w:r>
    </w:p>
    <w:p w14:paraId="0B31EDDE" w14:textId="0078EE2F" w:rsidR="00C4534B" w:rsidRPr="000D03F1" w:rsidRDefault="00C4534B" w:rsidP="000D03F1">
      <w:pPr>
        <w:pStyle w:val="ListParagraph"/>
        <w:numPr>
          <w:ilvl w:val="0"/>
          <w:numId w:val="10"/>
        </w:numPr>
        <w:jc w:val="both"/>
        <w:rPr>
          <w:rFonts w:cstheme="minorHAnsi"/>
        </w:rPr>
      </w:pPr>
      <w:r w:rsidRPr="000D03F1">
        <w:rPr>
          <w:rFonts w:cstheme="minorHAnsi"/>
        </w:rPr>
        <w:t>If wanted more info here, could also have a dataset where we get rid of the clashing data (below 25%) and analyze that</w:t>
      </w:r>
    </w:p>
    <w:p w14:paraId="2B84A256" w14:textId="77777777" w:rsidR="00E01E51" w:rsidRDefault="00E01E51" w:rsidP="00C4534B">
      <w:pPr>
        <w:jc w:val="both"/>
        <w:rPr>
          <w:rFonts w:cstheme="minorHAnsi"/>
          <w:b/>
          <w:bCs/>
        </w:rPr>
      </w:pPr>
    </w:p>
    <w:p w14:paraId="38D06257" w14:textId="77777777" w:rsidR="00E01E51" w:rsidRDefault="00E01E51" w:rsidP="00C4534B">
      <w:pPr>
        <w:jc w:val="both"/>
        <w:rPr>
          <w:rFonts w:cstheme="minorHAnsi"/>
          <w:b/>
          <w:bCs/>
        </w:rPr>
      </w:pPr>
    </w:p>
    <w:p w14:paraId="5934BDDE" w14:textId="77777777" w:rsidR="00E01E51" w:rsidRDefault="00E01E51" w:rsidP="00C4534B">
      <w:pPr>
        <w:jc w:val="both"/>
        <w:rPr>
          <w:rFonts w:cstheme="minorHAnsi"/>
          <w:b/>
          <w:bCs/>
        </w:rPr>
      </w:pPr>
    </w:p>
    <w:p w14:paraId="505CD70C" w14:textId="77777777" w:rsidR="00E01E51" w:rsidRDefault="00E01E51" w:rsidP="00C4534B">
      <w:pPr>
        <w:jc w:val="both"/>
        <w:rPr>
          <w:rFonts w:cstheme="minorHAnsi"/>
          <w:b/>
          <w:bCs/>
        </w:rPr>
      </w:pPr>
    </w:p>
    <w:p w14:paraId="29684AAA" w14:textId="77777777" w:rsidR="00E01E51" w:rsidRDefault="00E01E51" w:rsidP="00C4534B">
      <w:pPr>
        <w:jc w:val="both"/>
        <w:rPr>
          <w:rFonts w:cstheme="minorHAnsi"/>
          <w:b/>
          <w:bCs/>
        </w:rPr>
      </w:pPr>
    </w:p>
    <w:p w14:paraId="5F5086FA" w14:textId="77777777" w:rsidR="00E01E51" w:rsidRDefault="00E01E51" w:rsidP="00C4534B">
      <w:pPr>
        <w:jc w:val="both"/>
        <w:rPr>
          <w:rFonts w:cstheme="minorHAnsi"/>
          <w:b/>
          <w:bCs/>
        </w:rPr>
      </w:pPr>
    </w:p>
    <w:p w14:paraId="3AC1850C" w14:textId="77777777" w:rsidR="00E01E51" w:rsidRDefault="00E01E51" w:rsidP="00C4534B">
      <w:pPr>
        <w:jc w:val="both"/>
        <w:rPr>
          <w:rFonts w:cstheme="minorHAnsi"/>
          <w:b/>
          <w:bCs/>
        </w:rPr>
      </w:pPr>
    </w:p>
    <w:p w14:paraId="54C35883" w14:textId="77777777" w:rsidR="00E01E51" w:rsidRDefault="00E01E51" w:rsidP="00C4534B">
      <w:pPr>
        <w:jc w:val="both"/>
        <w:rPr>
          <w:rFonts w:cstheme="minorHAnsi"/>
          <w:b/>
          <w:bCs/>
        </w:rPr>
      </w:pPr>
    </w:p>
    <w:p w14:paraId="3938A9F5" w14:textId="77777777" w:rsidR="00E01E51" w:rsidRDefault="00E01E51" w:rsidP="00C4534B">
      <w:pPr>
        <w:jc w:val="both"/>
        <w:rPr>
          <w:rFonts w:cstheme="minorHAnsi"/>
          <w:b/>
          <w:bCs/>
        </w:rPr>
      </w:pPr>
    </w:p>
    <w:p w14:paraId="2E29CFAA" w14:textId="77777777" w:rsidR="00E01E51" w:rsidRDefault="00E01E51" w:rsidP="00C4534B">
      <w:pPr>
        <w:jc w:val="both"/>
        <w:rPr>
          <w:rFonts w:cstheme="minorHAnsi"/>
          <w:b/>
          <w:bCs/>
        </w:rPr>
      </w:pPr>
    </w:p>
    <w:p w14:paraId="323CD8F8" w14:textId="77777777" w:rsidR="00E01E51" w:rsidRDefault="00E01E51" w:rsidP="00C4534B">
      <w:pPr>
        <w:jc w:val="both"/>
        <w:rPr>
          <w:rFonts w:cstheme="minorHAnsi"/>
          <w:b/>
          <w:bCs/>
        </w:rPr>
      </w:pPr>
    </w:p>
    <w:p w14:paraId="6A00800D" w14:textId="77777777" w:rsidR="00E01E51" w:rsidRDefault="00E01E51" w:rsidP="00C4534B">
      <w:pPr>
        <w:jc w:val="both"/>
        <w:rPr>
          <w:rFonts w:cstheme="minorHAnsi"/>
          <w:b/>
          <w:bCs/>
        </w:rPr>
      </w:pPr>
    </w:p>
    <w:p w14:paraId="3E7A9646" w14:textId="77777777" w:rsidR="00E01E51" w:rsidRDefault="00E01E51" w:rsidP="00C4534B">
      <w:pPr>
        <w:jc w:val="both"/>
        <w:rPr>
          <w:rFonts w:cstheme="minorHAnsi"/>
          <w:b/>
          <w:bCs/>
        </w:rPr>
      </w:pPr>
    </w:p>
    <w:p w14:paraId="60A21EF2" w14:textId="77777777" w:rsidR="00E01E51" w:rsidRDefault="00E01E51" w:rsidP="00C4534B">
      <w:pPr>
        <w:jc w:val="both"/>
        <w:rPr>
          <w:rFonts w:cstheme="minorHAnsi"/>
          <w:b/>
          <w:bCs/>
        </w:rPr>
      </w:pPr>
    </w:p>
    <w:p w14:paraId="3B3FAC70" w14:textId="77777777" w:rsidR="00E01E51" w:rsidRDefault="00E01E51" w:rsidP="00C4534B">
      <w:pPr>
        <w:jc w:val="both"/>
        <w:rPr>
          <w:rFonts w:cstheme="minorHAnsi"/>
          <w:b/>
          <w:bCs/>
        </w:rPr>
      </w:pPr>
    </w:p>
    <w:p w14:paraId="32E2D5A2" w14:textId="77777777" w:rsidR="00E01E51" w:rsidRDefault="00E01E51" w:rsidP="00C4534B">
      <w:pPr>
        <w:jc w:val="both"/>
        <w:rPr>
          <w:rFonts w:cstheme="minorHAnsi"/>
          <w:b/>
          <w:bCs/>
        </w:rPr>
      </w:pPr>
    </w:p>
    <w:p w14:paraId="50B2B57D" w14:textId="77777777" w:rsidR="00E01E51" w:rsidRDefault="00E01E51" w:rsidP="00C4534B">
      <w:pPr>
        <w:jc w:val="both"/>
        <w:rPr>
          <w:rFonts w:cstheme="minorHAnsi"/>
          <w:b/>
          <w:bCs/>
        </w:rPr>
      </w:pPr>
    </w:p>
    <w:p w14:paraId="7F05CB3E" w14:textId="77777777" w:rsidR="00E01E51" w:rsidRDefault="00E01E51" w:rsidP="00C4534B">
      <w:pPr>
        <w:jc w:val="both"/>
        <w:rPr>
          <w:rFonts w:cstheme="minorHAnsi"/>
          <w:b/>
          <w:bCs/>
        </w:rPr>
      </w:pPr>
    </w:p>
    <w:p w14:paraId="4472D536" w14:textId="1C5309BA" w:rsidR="00C4534B" w:rsidRPr="00C247BF" w:rsidRDefault="00C4534B" w:rsidP="00C4534B">
      <w:pPr>
        <w:jc w:val="both"/>
        <w:rPr>
          <w:rFonts w:cstheme="minorHAnsi"/>
          <w:b/>
          <w:bCs/>
        </w:rPr>
      </w:pPr>
      <w:r w:rsidRPr="00C247BF">
        <w:rPr>
          <w:rFonts w:cstheme="minorHAnsi"/>
          <w:b/>
          <w:bCs/>
        </w:rPr>
        <w:lastRenderedPageBreak/>
        <w:t xml:space="preserve">top 5 </w:t>
      </w:r>
    </w:p>
    <w:p w14:paraId="046A4533" w14:textId="334A9656" w:rsidR="00C4534B" w:rsidRDefault="00FD7A19" w:rsidP="00C4534B">
      <w:pPr>
        <w:jc w:val="both"/>
        <w:rPr>
          <w:rFonts w:cstheme="minorHAnsi"/>
        </w:rPr>
      </w:pPr>
      <w:r>
        <w:rPr>
          <w:noProof/>
        </w:rPr>
        <w:drawing>
          <wp:inline distT="0" distB="0" distL="0" distR="0" wp14:anchorId="55A1AA8B" wp14:editId="5F7F03C3">
            <wp:extent cx="6858000" cy="6443345"/>
            <wp:effectExtent l="0" t="0" r="0" b="0"/>
            <wp:docPr id="214053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8289"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6443345"/>
                    </a:xfrm>
                    <a:prstGeom prst="rect">
                      <a:avLst/>
                    </a:prstGeom>
                    <a:noFill/>
                    <a:ln>
                      <a:noFill/>
                    </a:ln>
                  </pic:spPr>
                </pic:pic>
              </a:graphicData>
            </a:graphic>
          </wp:inline>
        </w:drawing>
      </w:r>
    </w:p>
    <w:p w14:paraId="7BED5B10" w14:textId="6E6D6591" w:rsidR="00C4534B" w:rsidRPr="001E1D02" w:rsidRDefault="00C4534B" w:rsidP="00C4534B">
      <w:pPr>
        <w:jc w:val="both"/>
        <w:rPr>
          <w:rFonts w:cstheme="minorHAnsi"/>
        </w:rPr>
      </w:pPr>
      <w:r>
        <w:rPr>
          <w:rFonts w:cstheme="minorHAnsi"/>
        </w:rPr>
        <w:t>Figure</w:t>
      </w:r>
      <w:r w:rsidR="00591C24">
        <w:rPr>
          <w:rFonts w:cstheme="minorHAnsi"/>
        </w:rPr>
        <w:t xml:space="preserve"> top</w:t>
      </w:r>
      <w:r w:rsidR="00E01E51">
        <w:rPr>
          <w:rFonts w:cstheme="minorHAnsi"/>
        </w:rPr>
        <w:t>_</w:t>
      </w:r>
      <w:r w:rsidR="00591C24">
        <w:rPr>
          <w:rFonts w:cstheme="minorHAnsi"/>
        </w:rPr>
        <w:t>5</w:t>
      </w:r>
      <w:r>
        <w:rPr>
          <w:rFonts w:cstheme="minorHAnsi"/>
        </w:rPr>
        <w:t>: Frontal and side view of predicted structures for the top 5 fluorescent sequences for each region.</w:t>
      </w:r>
    </w:p>
    <w:p w14:paraId="0CF59571" w14:textId="22ED4936" w:rsidR="00C4534B" w:rsidRDefault="00C4534B" w:rsidP="00591C24">
      <w:pPr>
        <w:ind w:firstLine="720"/>
        <w:jc w:val="both"/>
        <w:rPr>
          <w:rFonts w:cstheme="minorHAnsi"/>
        </w:rPr>
      </w:pPr>
      <w:r>
        <w:rPr>
          <w:rFonts w:cstheme="minorHAnsi"/>
        </w:rPr>
        <w:t xml:space="preserve">As a representation of our structures, we’ve extracted the </w:t>
      </w:r>
      <w:r w:rsidR="00195BA6">
        <w:rPr>
          <w:rFonts w:cstheme="minorHAnsi"/>
        </w:rPr>
        <w:t>5 of the most stable</w:t>
      </w:r>
      <w:r>
        <w:rPr>
          <w:rFonts w:cstheme="minorHAnsi"/>
        </w:rPr>
        <w:t xml:space="preserve"> structures from each region (figure top</w:t>
      </w:r>
      <w:r w:rsidR="00E01E51">
        <w:rPr>
          <w:rFonts w:cstheme="minorHAnsi"/>
        </w:rPr>
        <w:t>_</w:t>
      </w:r>
      <w:r>
        <w:rPr>
          <w:rFonts w:cstheme="minorHAnsi"/>
        </w:rPr>
        <w:t xml:space="preserve">5). Each of these sequences are quite well packed, with the </w:t>
      </w:r>
      <w:r w:rsidR="00E01E51">
        <w:rPr>
          <w:rFonts w:cstheme="minorHAnsi"/>
        </w:rPr>
        <w:t>Left</w:t>
      </w:r>
      <w:r>
        <w:rPr>
          <w:rFonts w:cstheme="minorHAnsi"/>
        </w:rPr>
        <w:t xml:space="preserve"> and </w:t>
      </w:r>
      <w:r w:rsidR="00E01E51">
        <w:rPr>
          <w:rFonts w:cstheme="minorHAnsi"/>
        </w:rPr>
        <w:t>R</w:t>
      </w:r>
      <w:r>
        <w:rPr>
          <w:rFonts w:cstheme="minorHAnsi"/>
        </w:rPr>
        <w:t xml:space="preserve">ight sequences having small voids at the interface compared to </w:t>
      </w:r>
      <w:proofErr w:type="spellStart"/>
      <w:r>
        <w:rPr>
          <w:rFonts w:cstheme="minorHAnsi"/>
        </w:rPr>
        <w:t>GASright</w:t>
      </w:r>
      <w:proofErr w:type="spellEnd"/>
      <w:r>
        <w:rPr>
          <w:rFonts w:cstheme="minorHAnsi"/>
        </w:rPr>
        <w:t xml:space="preserve">. It is possible that </w:t>
      </w:r>
      <w:proofErr w:type="spellStart"/>
      <w:r>
        <w:rPr>
          <w:rFonts w:cstheme="minorHAnsi"/>
        </w:rPr>
        <w:t>GASright</w:t>
      </w:r>
      <w:proofErr w:type="spellEnd"/>
      <w:r>
        <w:rPr>
          <w:rFonts w:cstheme="minorHAnsi"/>
        </w:rPr>
        <w:t xml:space="preserve"> sequence stability is influenced by increased packing compared to the other regions</w:t>
      </w:r>
      <w:r w:rsidR="00E01E51">
        <w:rPr>
          <w:rFonts w:cstheme="minorHAnsi"/>
        </w:rPr>
        <w:t xml:space="preserve"> and bolstered</w:t>
      </w:r>
      <w:r>
        <w:rPr>
          <w:rFonts w:cstheme="minorHAnsi"/>
        </w:rPr>
        <w:t xml:space="preserve"> by increased stability with interhelical hydrogen bonding.</w:t>
      </w:r>
      <w:r w:rsidR="00C22D36">
        <w:rPr>
          <w:rFonts w:cstheme="minorHAnsi"/>
        </w:rPr>
        <w:t xml:space="preserve"> </w:t>
      </w:r>
      <w:r w:rsidR="00195BA6">
        <w:rPr>
          <w:rFonts w:cstheme="minorHAnsi"/>
        </w:rPr>
        <w:t>To evaluate the validity of our</w:t>
      </w:r>
      <w:r w:rsidR="00E01E51">
        <w:rPr>
          <w:rFonts w:cstheme="minorHAnsi"/>
        </w:rPr>
        <w:t xml:space="preserve"> </w:t>
      </w:r>
      <w:r w:rsidR="00195BA6">
        <w:rPr>
          <w:rFonts w:cstheme="minorHAnsi"/>
        </w:rPr>
        <w:t>design structures</w:t>
      </w:r>
      <w:r w:rsidR="00E01E51">
        <w:rPr>
          <w:rFonts w:cstheme="minorHAnsi"/>
        </w:rPr>
        <w:t xml:space="preserve">, </w:t>
      </w:r>
      <w:r w:rsidR="000D03F1">
        <w:rPr>
          <w:rFonts w:cstheme="minorHAnsi"/>
        </w:rPr>
        <w:t>w</w:t>
      </w:r>
      <w:r w:rsidR="00C22D36">
        <w:rPr>
          <w:rFonts w:cstheme="minorHAnsi"/>
        </w:rPr>
        <w:t>e r</w:t>
      </w:r>
      <w:r w:rsidR="000D03F1">
        <w:rPr>
          <w:rFonts w:cstheme="minorHAnsi"/>
        </w:rPr>
        <w:t>an</w:t>
      </w:r>
      <w:r w:rsidR="00C22D36">
        <w:rPr>
          <w:rFonts w:cstheme="minorHAnsi"/>
        </w:rPr>
        <w:t xml:space="preserve"> the</w:t>
      </w:r>
      <w:r w:rsidR="000D03F1">
        <w:rPr>
          <w:rFonts w:cstheme="minorHAnsi"/>
        </w:rPr>
        <w:t>se</w:t>
      </w:r>
      <w:r w:rsidR="00C22D36">
        <w:rPr>
          <w:rFonts w:cstheme="minorHAnsi"/>
        </w:rPr>
        <w:t xml:space="preserve"> through </w:t>
      </w:r>
      <w:r w:rsidR="00FD7A19">
        <w:rPr>
          <w:rFonts w:cstheme="minorHAnsi"/>
        </w:rPr>
        <w:t xml:space="preserve">TMDOCK </w:t>
      </w:r>
      <w:r w:rsidR="00FD7A19">
        <w:rPr>
          <w:rFonts w:cstheme="minorHAnsi"/>
        </w:rPr>
        <w:fldChar w:fldCharType="begin"/>
      </w:r>
      <w:r w:rsidR="00FD7A19">
        <w:rPr>
          <w:rFonts w:cstheme="minorHAns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format="utc"&gt;1705635643&lt;/last-updated-date&gt;&lt;accession-num&gt;27622289&lt;/accession-num&gt;&lt;electronic-resource-num&gt;10.1016/j.jmb.2016.09.005&lt;/electronic-resource-num&gt;&lt;volume&gt;429&lt;/volume&gt;&lt;/record&gt;&lt;/Cite&gt;&lt;/EndNote&gt;</w:instrText>
      </w:r>
      <w:r w:rsidR="00FD7A19">
        <w:rPr>
          <w:rFonts w:cstheme="minorHAnsi"/>
        </w:rPr>
        <w:fldChar w:fldCharType="separate"/>
      </w:r>
      <w:r w:rsidR="00FD7A19">
        <w:rPr>
          <w:rFonts w:cstheme="minorHAnsi"/>
          <w:noProof/>
        </w:rPr>
        <w:t>(Lomize &amp; Pogozheva, 2017)</w:t>
      </w:r>
      <w:r w:rsidR="00FD7A19">
        <w:rPr>
          <w:rFonts w:cstheme="minorHAnsi"/>
        </w:rPr>
        <w:fldChar w:fldCharType="end"/>
      </w:r>
      <w:r w:rsidR="00FD7A19">
        <w:rPr>
          <w:rFonts w:cstheme="minorHAnsi"/>
        </w:rPr>
        <w:t xml:space="preserve">, an online membrane protein modeling tool. 10 </w:t>
      </w:r>
      <w:r w:rsidR="000D03F1">
        <w:rPr>
          <w:rFonts w:cstheme="minorHAnsi"/>
        </w:rPr>
        <w:t>of the 15 s</w:t>
      </w:r>
      <w:r w:rsidR="00195BA6">
        <w:rPr>
          <w:rFonts w:cstheme="minorHAnsi"/>
        </w:rPr>
        <w:t>tructures</w:t>
      </w:r>
      <w:r w:rsidR="000D03F1">
        <w:rPr>
          <w:rFonts w:cstheme="minorHAnsi"/>
        </w:rPr>
        <w:t xml:space="preserve"> have a C</w:t>
      </w:r>
      <w:r w:rsidR="000D03F1">
        <w:t>α</w:t>
      </w:r>
      <w:r w:rsidR="000D03F1">
        <w:rPr>
          <w:rFonts w:cstheme="minorHAnsi"/>
        </w:rPr>
        <w:t xml:space="preserve"> RMSD below 1.5 angstroms, showing good agreement between our designed structure and the TMDOCK predictions</w:t>
      </w:r>
      <w:r w:rsidR="00195BA6">
        <w:rPr>
          <w:rFonts w:cstheme="minorHAnsi"/>
        </w:rPr>
        <w:t xml:space="preserve"> (figure top_5)</w:t>
      </w:r>
      <w:r w:rsidR="000D03F1">
        <w:rPr>
          <w:rFonts w:cstheme="minorHAnsi"/>
        </w:rPr>
        <w:t xml:space="preserve">. </w:t>
      </w:r>
    </w:p>
    <w:p w14:paraId="19F10277" w14:textId="7481019B" w:rsidR="000D03F1" w:rsidRPr="000D03F1" w:rsidRDefault="000D03F1" w:rsidP="000D03F1">
      <w:pPr>
        <w:pStyle w:val="ListParagraph"/>
        <w:numPr>
          <w:ilvl w:val="0"/>
          <w:numId w:val="10"/>
        </w:numPr>
        <w:jc w:val="both"/>
        <w:rPr>
          <w:rFonts w:cstheme="minorHAnsi"/>
        </w:rPr>
      </w:pPr>
      <w:r>
        <w:rPr>
          <w:rFonts w:cstheme="minorHAnsi"/>
        </w:rPr>
        <w:t>Could make graphs for any of the data in the table</w:t>
      </w:r>
    </w:p>
    <w:p w14:paraId="61D8E21B" w14:textId="77777777" w:rsidR="00C4534B" w:rsidRPr="00C247BF" w:rsidRDefault="00C4534B" w:rsidP="00C4534B">
      <w:pPr>
        <w:jc w:val="both"/>
        <w:rPr>
          <w:rFonts w:cstheme="minorHAnsi"/>
          <w:b/>
          <w:bCs/>
        </w:rPr>
      </w:pPr>
      <w:r w:rsidRPr="00C247BF">
        <w:rPr>
          <w:rFonts w:cstheme="minorHAnsi"/>
          <w:b/>
          <w:bCs/>
        </w:rPr>
        <w:t>Delta G data</w:t>
      </w:r>
    </w:p>
    <w:p w14:paraId="58670172" w14:textId="77777777" w:rsidR="00C4534B" w:rsidRDefault="00C4534B" w:rsidP="00C4534B">
      <w:pPr>
        <w:jc w:val="both"/>
        <w:rPr>
          <w:rFonts w:cstheme="minorHAnsi"/>
        </w:rPr>
      </w:pPr>
      <w:r>
        <w:rPr>
          <w:noProof/>
        </w:rPr>
        <w:lastRenderedPageBreak/>
        <w:drawing>
          <wp:inline distT="0" distB="0" distL="0" distR="0" wp14:anchorId="1AE4C197" wp14:editId="54E36EB6">
            <wp:extent cx="6858000" cy="3469640"/>
            <wp:effectExtent l="0" t="0" r="0" b="0"/>
            <wp:docPr id="1926568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8047" name="Picture 1"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469640"/>
                    </a:xfrm>
                    <a:prstGeom prst="rect">
                      <a:avLst/>
                    </a:prstGeom>
                    <a:noFill/>
                    <a:ln>
                      <a:noFill/>
                    </a:ln>
                  </pic:spPr>
                </pic:pic>
              </a:graphicData>
            </a:graphic>
          </wp:inline>
        </w:drawing>
      </w:r>
    </w:p>
    <w:p w14:paraId="78F4C93B" w14:textId="0D6E4725" w:rsidR="00C4534B" w:rsidRDefault="00C4534B" w:rsidP="00C4534B">
      <w:pPr>
        <w:jc w:val="both"/>
        <w:rPr>
          <w:rFonts w:cstheme="minorHAnsi"/>
        </w:rPr>
      </w:pPr>
      <w:r>
        <w:rPr>
          <w:rFonts w:cstheme="minorHAnsi"/>
        </w:rPr>
        <w:t xml:space="preserve">Figure </w:t>
      </w:r>
      <w:proofErr w:type="spellStart"/>
      <w:r>
        <w:rPr>
          <w:rFonts w:cstheme="minorHAnsi"/>
        </w:rPr>
        <w:t>DeltaG</w:t>
      </w:r>
      <w:proofErr w:type="spellEnd"/>
      <w:r>
        <w:rPr>
          <w:rFonts w:cstheme="minorHAnsi"/>
        </w:rPr>
        <w:t xml:space="preserve">. </w:t>
      </w:r>
      <w:proofErr w:type="spellStart"/>
      <w:proofErr w:type="gramStart"/>
      <w:r>
        <w:rPr>
          <w:rFonts w:cstheme="minorHAnsi"/>
        </w:rPr>
        <w:t>Top:DeltaG</w:t>
      </w:r>
      <w:proofErr w:type="spellEnd"/>
      <w:proofErr w:type="gramEnd"/>
      <w:r>
        <w:rPr>
          <w:rFonts w:cstheme="minorHAnsi"/>
        </w:rPr>
        <w:t xml:space="preserve"> vs the predicted total energy of all of our structures. Bottom: </w:t>
      </w:r>
      <w:proofErr w:type="spellStart"/>
      <w:r>
        <w:rPr>
          <w:rFonts w:cstheme="minorHAnsi"/>
        </w:rPr>
        <w:t>DeltaG</w:t>
      </w:r>
      <w:proofErr w:type="spellEnd"/>
      <w:r>
        <w:rPr>
          <w:rFonts w:cstheme="minorHAnsi"/>
        </w:rPr>
        <w:t xml:space="preserve"> vs the predicted van der Waals energy.</w:t>
      </w:r>
    </w:p>
    <w:p w14:paraId="4AE172D9" w14:textId="300D0E17" w:rsidR="00E01E51" w:rsidRPr="00E01E51" w:rsidRDefault="00E01E51" w:rsidP="00C4534B">
      <w:pPr>
        <w:jc w:val="both"/>
        <w:rPr>
          <w:rFonts w:cstheme="minorHAnsi"/>
          <w:b/>
          <w:bCs/>
        </w:rPr>
      </w:pPr>
      <w:r w:rsidRPr="00E01E51">
        <w:rPr>
          <w:rFonts w:cstheme="minorHAnsi"/>
          <w:b/>
          <w:bCs/>
        </w:rPr>
        <w:t xml:space="preserve">Conversion of fluorescence to </w:t>
      </w:r>
      <w:r w:rsidRPr="00E01E51">
        <w:rPr>
          <w:rFonts w:cstheme="minorHAnsi"/>
          <w:b/>
          <w:bCs/>
        </w:rPr>
        <w:t>ΔG</w:t>
      </w:r>
    </w:p>
    <w:p w14:paraId="62572B9A" w14:textId="2E3C3D4A" w:rsidR="00E530D3" w:rsidRDefault="002B7D7D" w:rsidP="00D22CE8">
      <w:pPr>
        <w:ind w:firstLine="720"/>
        <w:jc w:val="both"/>
        <w:rPr>
          <w:rFonts w:cstheme="minorHAnsi"/>
        </w:rPr>
      </w:pPr>
      <w:r>
        <w:rPr>
          <w:rFonts w:cstheme="minorHAnsi"/>
        </w:rPr>
        <w:t xml:space="preserve">Finally, we converted the fluorescence to </w:t>
      </w:r>
      <w:r w:rsidR="00E530D3">
        <w:rPr>
          <w:rFonts w:cstheme="minorHAnsi"/>
        </w:rPr>
        <w:t xml:space="preserve">biophysical </w:t>
      </w:r>
      <w:r w:rsidR="00E530D3" w:rsidRPr="00E530D3">
        <w:rPr>
          <w:rFonts w:cstheme="minorHAnsi"/>
        </w:rPr>
        <w:t>Δ</w:t>
      </w:r>
      <w:r w:rsidR="00E530D3">
        <w:rPr>
          <w:rFonts w:cstheme="minorHAnsi"/>
        </w:rPr>
        <w:t xml:space="preserve">G </w:t>
      </w:r>
      <w:r>
        <w:rPr>
          <w:rFonts w:cstheme="minorHAnsi"/>
        </w:rPr>
        <w:t xml:space="preserve">using a method from an </w:t>
      </w:r>
      <w:r w:rsidRPr="00C4534B">
        <w:rPr>
          <w:rFonts w:cstheme="minorHAnsi"/>
          <w:i/>
          <w:iCs/>
        </w:rPr>
        <w:t>in vitro</w:t>
      </w:r>
      <w:r>
        <w:rPr>
          <w:rFonts w:cstheme="minorHAnsi"/>
        </w:rPr>
        <w:t xml:space="preserve"> study on </w:t>
      </w:r>
      <w:proofErr w:type="spellStart"/>
      <w:r>
        <w:rPr>
          <w:rFonts w:cstheme="minorHAnsi"/>
        </w:rPr>
        <w:t>GASright</w:t>
      </w:r>
      <w:proofErr w:type="spellEnd"/>
      <w:r>
        <w:rPr>
          <w:rFonts w:cstheme="minorHAnsi"/>
        </w:rPr>
        <w:t xml:space="preserve"> proteins </w:t>
      </w:r>
      <w:r w:rsidR="00F43261">
        <w:rPr>
          <w:rFonts w:cstheme="minorHAnsi"/>
        </w:rPr>
        <w:fldChar w:fldCharType="begin"/>
      </w:r>
      <w:r w:rsidR="00FE01AC">
        <w:rPr>
          <w:rFonts w:cstheme="minorHAnsi"/>
        </w:rPr>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format="utc"&gt;1705531325&lt;/last-updated-date&gt;&lt;accession-num&gt;36371634&lt;/accession-num&gt;&lt;electronic-resource-num&gt;10.1016/j.bpj.2022.11.018&lt;/electronic-resource-num&gt;&lt;volume&gt;122&lt;/volume&gt;&lt;/record&gt;&lt;/Cite&gt;&lt;/EndNote&gt;</w:instrText>
      </w:r>
      <w:r w:rsidR="00F43261">
        <w:rPr>
          <w:rFonts w:cstheme="minorHAnsi"/>
        </w:rPr>
        <w:fldChar w:fldCharType="separate"/>
      </w:r>
      <w:r w:rsidR="00FE01AC">
        <w:rPr>
          <w:rFonts w:cstheme="minorHAnsi"/>
          <w:noProof/>
        </w:rPr>
        <w:t>(Díaz Vázquez et al., 2023)</w:t>
      </w:r>
      <w:r w:rsidR="00F43261">
        <w:rPr>
          <w:rFonts w:cstheme="minorHAnsi"/>
        </w:rPr>
        <w:fldChar w:fldCharType="end"/>
      </w:r>
      <w:r>
        <w:rPr>
          <w:rFonts w:cstheme="minorHAnsi"/>
        </w:rPr>
        <w:t xml:space="preserve">. We then compared these </w:t>
      </w:r>
      <w:r w:rsidR="00E530D3" w:rsidRPr="00E530D3">
        <w:rPr>
          <w:rFonts w:cstheme="minorHAnsi"/>
        </w:rPr>
        <w:t>Δ</w:t>
      </w:r>
      <w:r w:rsidR="00E530D3">
        <w:rPr>
          <w:rFonts w:cstheme="minorHAnsi"/>
        </w:rPr>
        <w:t xml:space="preserve">G </w:t>
      </w:r>
      <w:r>
        <w:rPr>
          <w:rFonts w:cstheme="minorHAnsi"/>
        </w:rPr>
        <w:t>values to the energetics from our design algorithm (</w:t>
      </w:r>
      <w:r w:rsidRPr="002B7D7D">
        <w:rPr>
          <w:rFonts w:cstheme="minorHAnsi"/>
          <w:b/>
          <w:bCs/>
        </w:rPr>
        <w:t xml:space="preserve">figure </w:t>
      </w:r>
      <w:proofErr w:type="spellStart"/>
      <w:r w:rsidRPr="002B7D7D">
        <w:rPr>
          <w:rFonts w:cstheme="minorHAnsi"/>
          <w:b/>
          <w:bCs/>
        </w:rPr>
        <w:t>deltaG</w:t>
      </w:r>
      <w:proofErr w:type="spellEnd"/>
      <w:r w:rsidRPr="002B7D7D">
        <w:rPr>
          <w:rFonts w:cstheme="minorHAnsi"/>
          <w:b/>
          <w:bCs/>
        </w:rPr>
        <w:t xml:space="preserve"> data</w:t>
      </w:r>
      <w:r>
        <w:rPr>
          <w:rFonts w:cstheme="minorHAnsi"/>
        </w:rPr>
        <w:t>). Although our energetics do not seem to capture the overall trend of stability, it allows us to visualize the distribution of the</w:t>
      </w:r>
      <w:r w:rsidR="00E530D3">
        <w:rPr>
          <w:rFonts w:cstheme="minorHAnsi"/>
        </w:rPr>
        <w:t xml:space="preserve"> calculate biophysical stability of these sequences</w:t>
      </w:r>
      <w:r>
        <w:rPr>
          <w:rFonts w:cstheme="minorHAnsi"/>
        </w:rPr>
        <w:t>.</w:t>
      </w:r>
      <w:r w:rsidR="00E530D3">
        <w:rPr>
          <w:rFonts w:cstheme="minorHAnsi"/>
        </w:rPr>
        <w:t xml:space="preserve"> This data shows that both left- and right-handed structures, stabilized to a </w:t>
      </w:r>
      <w:r w:rsidR="00E530D3" w:rsidRPr="00E530D3">
        <w:rPr>
          <w:rFonts w:cstheme="minorHAnsi"/>
        </w:rPr>
        <w:t>Δ</w:t>
      </w:r>
      <w:r w:rsidR="00E530D3">
        <w:rPr>
          <w:rFonts w:cstheme="minorHAnsi"/>
        </w:rPr>
        <w:t xml:space="preserve">G around -3 to -3.5 while many of the most stable </w:t>
      </w:r>
      <w:proofErr w:type="spellStart"/>
      <w:r w:rsidR="00E530D3">
        <w:rPr>
          <w:rFonts w:cstheme="minorHAnsi"/>
        </w:rPr>
        <w:t>GASrights</w:t>
      </w:r>
      <w:proofErr w:type="spellEnd"/>
      <w:r w:rsidR="00E530D3">
        <w:rPr>
          <w:rFonts w:cstheme="minorHAnsi"/>
        </w:rPr>
        <w:t xml:space="preserve"> are calculated to have a </w:t>
      </w:r>
      <w:r w:rsidR="00E530D3" w:rsidRPr="00E530D3">
        <w:rPr>
          <w:rFonts w:cstheme="minorHAnsi"/>
        </w:rPr>
        <w:t>Δ</w:t>
      </w:r>
      <w:r w:rsidR="00E530D3">
        <w:rPr>
          <w:rFonts w:cstheme="minorHAnsi"/>
        </w:rPr>
        <w:t>G -4 to -5</w:t>
      </w:r>
      <w:r w:rsidR="00D22CE8">
        <w:rPr>
          <w:rFonts w:cstheme="minorHAnsi"/>
        </w:rPr>
        <w:t xml:space="preserve">. This data suggests that interactions that stabilize the left- and right-handed structures result in around 60% of the stability found in </w:t>
      </w:r>
      <w:proofErr w:type="spellStart"/>
      <w:r w:rsidR="00D22CE8">
        <w:rPr>
          <w:rFonts w:cstheme="minorHAnsi"/>
        </w:rPr>
        <w:t>GASrights</w:t>
      </w:r>
      <w:proofErr w:type="spellEnd"/>
      <w:r w:rsidR="00D22CE8">
        <w:rPr>
          <w:rFonts w:cstheme="minorHAnsi"/>
        </w:rPr>
        <w:t xml:space="preserve">. </w:t>
      </w:r>
      <w:r w:rsidR="00D22CE8" w:rsidRPr="00D847BF">
        <w:rPr>
          <w:rFonts w:cstheme="minorHAnsi"/>
          <w:b/>
          <w:bCs/>
        </w:rPr>
        <w:t xml:space="preserve">… I think we need some way here to say that these proteins are likely to be stabilized just by </w:t>
      </w:r>
      <w:proofErr w:type="spellStart"/>
      <w:r w:rsidR="00D22CE8" w:rsidRPr="00D847BF">
        <w:rPr>
          <w:rFonts w:cstheme="minorHAnsi"/>
          <w:b/>
          <w:bCs/>
        </w:rPr>
        <w:t>vdW</w:t>
      </w:r>
      <w:proofErr w:type="spellEnd"/>
      <w:r w:rsidR="00D22CE8" w:rsidRPr="00D847BF">
        <w:rPr>
          <w:rFonts w:cstheme="minorHAnsi"/>
          <w:b/>
          <w:bCs/>
        </w:rPr>
        <w:t xml:space="preserve"> and nothing else… </w:t>
      </w:r>
      <w:r w:rsidR="00D22CE8">
        <w:rPr>
          <w:rFonts w:cstheme="minorHAnsi"/>
        </w:rPr>
        <w:t xml:space="preserve">Suggesting that </w:t>
      </w:r>
      <w:r w:rsidR="00E530D3">
        <w:rPr>
          <w:rFonts w:cstheme="minorHAnsi"/>
        </w:rPr>
        <w:t xml:space="preserve">packing has a major impact on stability, but other contributions from hydrogen bonding to polar interactions are necessary for </w:t>
      </w:r>
      <w:r w:rsidR="00D22CE8">
        <w:rPr>
          <w:rFonts w:cstheme="minorHAnsi"/>
        </w:rPr>
        <w:t>many interactions that result in highly stable structures.</w:t>
      </w:r>
      <w:r w:rsidR="00E530D3">
        <w:rPr>
          <w:rFonts w:cstheme="minorHAnsi"/>
        </w:rPr>
        <w:t xml:space="preserve"> </w:t>
      </w:r>
    </w:p>
    <w:p w14:paraId="656FDCAD" w14:textId="70FAFC94" w:rsidR="00E530D3" w:rsidRPr="00E530D3" w:rsidRDefault="00E530D3" w:rsidP="00E530D3">
      <w:pPr>
        <w:pStyle w:val="ListParagraph"/>
        <w:numPr>
          <w:ilvl w:val="0"/>
          <w:numId w:val="10"/>
        </w:numPr>
        <w:jc w:val="both"/>
        <w:rPr>
          <w:rFonts w:cstheme="minorHAnsi"/>
        </w:rPr>
      </w:pPr>
      <w:r>
        <w:rPr>
          <w:rFonts w:cstheme="minorHAnsi"/>
        </w:rPr>
        <w:t>Maybe just bin this data instead of showing it against energetics?</w:t>
      </w:r>
    </w:p>
    <w:p w14:paraId="0049C281" w14:textId="692EDB89" w:rsidR="002B7D7D" w:rsidRPr="002B7D7D" w:rsidRDefault="002B7D7D" w:rsidP="002B7D7D">
      <w:pPr>
        <w:rPr>
          <w:rFonts w:cstheme="minorHAnsi"/>
          <w:b/>
          <w:bCs/>
        </w:rPr>
      </w:pPr>
      <w:r w:rsidRPr="002B7D7D">
        <w:rPr>
          <w:rFonts w:cstheme="minorHAnsi"/>
          <w:b/>
          <w:bCs/>
        </w:rPr>
        <w:t>Discussion</w:t>
      </w:r>
      <w:r>
        <w:rPr>
          <w:rFonts w:cstheme="minorHAnsi"/>
          <w:b/>
          <w:bCs/>
        </w:rPr>
        <w:t xml:space="preserve"> and Conclusion</w:t>
      </w:r>
    </w:p>
    <w:p w14:paraId="501D43F6" w14:textId="1F7F3315" w:rsidR="001E1D02" w:rsidRDefault="000D03F1" w:rsidP="00C247BF">
      <w:pPr>
        <w:rPr>
          <w:rFonts w:cstheme="minorHAnsi"/>
          <w:b/>
          <w:bCs/>
        </w:rPr>
      </w:pPr>
      <w:r>
        <w:rPr>
          <w:rFonts w:cstheme="minorHAnsi"/>
          <w:b/>
          <w:bCs/>
        </w:rPr>
        <w:t>…</w:t>
      </w:r>
    </w:p>
    <w:p w14:paraId="5D206904" w14:textId="77777777" w:rsidR="001E1D02" w:rsidRDefault="001E1D02" w:rsidP="00C247BF">
      <w:pPr>
        <w:rPr>
          <w:rFonts w:cstheme="minorHAnsi"/>
          <w:b/>
          <w:bCs/>
        </w:rPr>
      </w:pPr>
    </w:p>
    <w:p w14:paraId="44A8BBF2" w14:textId="77777777" w:rsidR="001E1D02" w:rsidRDefault="001E1D02">
      <w:pPr>
        <w:rPr>
          <w:rFonts w:cstheme="minorHAnsi"/>
          <w:b/>
          <w:bCs/>
        </w:rPr>
      </w:pPr>
    </w:p>
    <w:p w14:paraId="73E250B1" w14:textId="77777777" w:rsidR="001E1D02" w:rsidRDefault="001E1D02">
      <w:pPr>
        <w:rPr>
          <w:rFonts w:cstheme="minorHAnsi"/>
          <w:b/>
          <w:bCs/>
        </w:rPr>
      </w:pPr>
    </w:p>
    <w:p w14:paraId="286B0056" w14:textId="0D66962B" w:rsidR="002B7D7D" w:rsidRDefault="002B7D7D">
      <w:pPr>
        <w:rPr>
          <w:rFonts w:cstheme="minorHAnsi"/>
          <w:b/>
          <w:bCs/>
        </w:rPr>
      </w:pPr>
      <w:r>
        <w:rPr>
          <w:rFonts w:cstheme="minorHAnsi"/>
          <w:b/>
          <w:bCs/>
        </w:rPr>
        <w:t>Other things that can be included:</w:t>
      </w:r>
    </w:p>
    <w:p w14:paraId="096D7256" w14:textId="2DA88E5E" w:rsidR="00682A1D" w:rsidRDefault="001E1D02">
      <w:pPr>
        <w:rPr>
          <w:rFonts w:cstheme="minorHAnsi"/>
          <w:b/>
          <w:bCs/>
        </w:rPr>
      </w:pPr>
      <w:r>
        <w:rPr>
          <w:noProof/>
        </w:rPr>
        <w:lastRenderedPageBreak/>
        <w:drawing>
          <wp:anchor distT="0" distB="0" distL="114300" distR="114300" simplePos="0" relativeHeight="251653632" behindDoc="0" locked="0" layoutInCell="1" allowOverlap="1" wp14:anchorId="00714EF5" wp14:editId="3ED5E6FD">
            <wp:simplePos x="0" y="0"/>
            <wp:positionH relativeFrom="column">
              <wp:posOffset>69850</wp:posOffset>
            </wp:positionH>
            <wp:positionV relativeFrom="paragraph">
              <wp:posOffset>407670</wp:posOffset>
            </wp:positionV>
            <wp:extent cx="5943600" cy="278638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2786380"/>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b/>
          <w:bCs/>
        </w:rPr>
        <w:t>Amino acid distribution per Fluorescence</w:t>
      </w:r>
    </w:p>
    <w:p w14:paraId="46C802D1" w14:textId="029B38D3" w:rsidR="00682A1D" w:rsidRDefault="00682A1D">
      <w:pPr>
        <w:rPr>
          <w:rFonts w:cstheme="minorHAnsi"/>
          <w:b/>
          <w:bCs/>
        </w:rPr>
      </w:pPr>
    </w:p>
    <w:p w14:paraId="0220E0E6" w14:textId="0371813A"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0F79EF6B" w:rsidR="00682A1D" w:rsidRDefault="0080361C">
      <w:pPr>
        <w:pStyle w:val="ListParagraph"/>
        <w:numPr>
          <w:ilvl w:val="0"/>
          <w:numId w:val="1"/>
        </w:numPr>
        <w:rPr>
          <w:rFonts w:cstheme="minorHAnsi"/>
        </w:rPr>
      </w:pPr>
      <w:r>
        <w:rPr>
          <w:rFonts w:cstheme="minorHAnsi"/>
        </w:rPr>
        <w:t>In all regions, isoleucine is more prevalently found in sequences with lower fluorescence</w:t>
      </w:r>
    </w:p>
    <w:p w14:paraId="0CA5C4E1" w14:textId="1466E552" w:rsidR="00682A1D" w:rsidRDefault="0080361C">
      <w:pPr>
        <w:pStyle w:val="ListParagraph"/>
        <w:numPr>
          <w:ilvl w:val="0"/>
          <w:numId w:val="1"/>
        </w:numPr>
        <w:rPr>
          <w:rFonts w:cstheme="minorHAnsi"/>
        </w:rPr>
      </w:pPr>
      <w:r>
        <w:rPr>
          <w:rFonts w:cstheme="minorHAnsi"/>
        </w:rPr>
        <w:t>Phenylalanine is also more prevalently found in mutant sequences with lower fluorescence</w:t>
      </w:r>
    </w:p>
    <w:p w14:paraId="4E7E9240" w14:textId="67867E4F" w:rsidR="00682A1D" w:rsidRDefault="0080361C">
      <w:pPr>
        <w:pStyle w:val="ListParagraph"/>
        <w:numPr>
          <w:ilvl w:val="0"/>
          <w:numId w:val="1"/>
        </w:numPr>
        <w:rPr>
          <w:rFonts w:cstheme="minorHAnsi"/>
        </w:rPr>
      </w:pPr>
      <w:r>
        <w:rPr>
          <w:rFonts w:cstheme="minorHAnsi"/>
        </w:rPr>
        <w:t>Tyrosine is kind of variable, but more prevalently found in mutant sequences with lower fluorescence</w:t>
      </w:r>
    </w:p>
    <w:p w14:paraId="68BD8906" w14:textId="77777777" w:rsidR="00682A1D" w:rsidRDefault="0080361C">
      <w:pPr>
        <w:pStyle w:val="ListParagraph"/>
        <w:numPr>
          <w:ilvl w:val="1"/>
          <w:numId w:val="1"/>
        </w:numPr>
        <w:rPr>
          <w:rFonts w:cstheme="minorHAnsi"/>
        </w:rPr>
      </w:pPr>
      <w:r>
        <w:rPr>
          <w:rFonts w:cstheme="minorHAnsi"/>
        </w:rPr>
        <w:t>Suggest that these AAs disrupt association</w:t>
      </w:r>
    </w:p>
    <w:p w14:paraId="4A3E9AF9" w14:textId="5306E6CA" w:rsidR="00682A1D" w:rsidRDefault="0080361C">
      <w:pPr>
        <w:pStyle w:val="ListParagraph"/>
        <w:numPr>
          <w:ilvl w:val="0"/>
          <w:numId w:val="1"/>
        </w:numPr>
        <w:rPr>
          <w:rFonts w:cstheme="minorHAnsi"/>
        </w:rPr>
      </w:pPr>
      <w:r>
        <w:rPr>
          <w:rFonts w:cstheme="minorHAnsi"/>
        </w:rPr>
        <w:t>Alanine is more prevalent in sequences with higher fluorescence</w:t>
      </w:r>
    </w:p>
    <w:p w14:paraId="5ECC1C98" w14:textId="0F094CD0" w:rsidR="00682A1D" w:rsidRDefault="0080361C">
      <w:pPr>
        <w:pStyle w:val="ListParagraph"/>
        <w:numPr>
          <w:ilvl w:val="1"/>
          <w:numId w:val="1"/>
        </w:numPr>
        <w:rPr>
          <w:rFonts w:cstheme="minorHAnsi"/>
        </w:rPr>
      </w:pPr>
      <w:r>
        <w:rPr>
          <w:rFonts w:cstheme="minorHAnsi"/>
        </w:rPr>
        <w:t>Suggests that it helps facilitate association</w:t>
      </w:r>
    </w:p>
    <w:p w14:paraId="5771E0C3" w14:textId="3C41444D" w:rsidR="00682A1D" w:rsidRDefault="0080361C">
      <w:pPr>
        <w:pStyle w:val="ListParagraph"/>
        <w:numPr>
          <w:ilvl w:val="0"/>
          <w:numId w:val="1"/>
        </w:numPr>
        <w:rPr>
          <w:rFonts w:cstheme="minorHAnsi"/>
        </w:rPr>
      </w:pPr>
      <w:r>
        <w:rPr>
          <w:rFonts w:cstheme="minorHAnsi"/>
        </w:rPr>
        <w:t xml:space="preserve">Distributions of </w:t>
      </w:r>
      <w:proofErr w:type="spellStart"/>
      <w:r>
        <w:rPr>
          <w:rFonts w:cstheme="minorHAnsi"/>
        </w:rPr>
        <w:t>hbond</w:t>
      </w:r>
      <w:proofErr w:type="spellEnd"/>
      <w:r>
        <w:rPr>
          <w:rFonts w:cstheme="minorHAnsi"/>
        </w:rPr>
        <w:t xml:space="preserve"> AAs (Ser, </w:t>
      </w:r>
      <w:proofErr w:type="spellStart"/>
      <w:r>
        <w:rPr>
          <w:rFonts w:cstheme="minorHAnsi"/>
        </w:rPr>
        <w:t>Thr</w:t>
      </w:r>
      <w:proofErr w:type="spellEnd"/>
      <w:r>
        <w:rPr>
          <w:rFonts w:cstheme="minorHAnsi"/>
        </w:rPr>
        <w:t xml:space="preserve">) are similar throughout, suggesting that potential </w:t>
      </w:r>
      <w:proofErr w:type="spellStart"/>
      <w:r>
        <w:rPr>
          <w:rFonts w:cstheme="minorHAnsi"/>
        </w:rPr>
        <w:t>hbonding</w:t>
      </w:r>
      <w:proofErr w:type="spellEnd"/>
      <w:r>
        <w:rPr>
          <w:rFonts w:cstheme="minorHAnsi"/>
        </w:rPr>
        <w:t xml:space="preserve"> by these AAs is not the main driving force for association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BB7468E"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5CE40497" w14:textId="77777777" w:rsidR="00682A1D" w:rsidRDefault="00682A1D" w:rsidP="002B7D7D"/>
    <w:p w14:paraId="32910DCA" w14:textId="77777777" w:rsidR="00682A1D" w:rsidRDefault="0080361C">
      <w:pPr>
        <w:rPr>
          <w:rFonts w:cstheme="minorHAnsi"/>
          <w:b/>
          <w:bCs/>
        </w:rPr>
      </w:pPr>
      <w:r>
        <w:rPr>
          <w:rFonts w:cstheme="minorHAnsi"/>
          <w:b/>
          <w:bCs/>
        </w:rPr>
        <w:lastRenderedPageBreak/>
        <w:t xml:space="preserve">Figure </w:t>
      </w:r>
      <w:r>
        <w:rPr>
          <w:rFonts w:cstheme="minorHAnsi"/>
          <w:b/>
          <w:bCs/>
          <w:noProof/>
        </w:rPr>
        <w:drawing>
          <wp:anchor distT="0" distB="0" distL="114300" distR="114300" simplePos="0" relativeHeight="251651584"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2"/>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251652608"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3"/>
                    <a:srcRect l="8198" t="59677"/>
                    <a:stretch>
                      <a:fillRect/>
                    </a:stretch>
                  </pic:blipFill>
                  <pic:spPr bwMode="auto">
                    <a:xfrm>
                      <a:off x="0" y="0"/>
                      <a:ext cx="2849880" cy="1678305"/>
                    </a:xfrm>
                    <a:prstGeom prst="rect">
                      <a:avLst/>
                    </a:prstGeom>
                  </pic:spPr>
                </pic:pic>
              </a:graphicData>
            </a:graphic>
          </wp:anchor>
        </w:drawing>
      </w:r>
      <w:proofErr w:type="spellStart"/>
      <w:r>
        <w:rPr>
          <w:rFonts w:cstheme="minorHAnsi"/>
          <w:b/>
          <w:bCs/>
        </w:rPr>
        <w:t>exp_design</w:t>
      </w:r>
      <w:proofErr w:type="spellEnd"/>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 xml:space="preserve">Figure </w:t>
      </w:r>
      <w:proofErr w:type="spellStart"/>
      <w:r>
        <w:t>exp_design</w:t>
      </w:r>
      <w:proofErr w:type="spellEnd"/>
      <w:r>
        <w:t xml:space="preserve">. Controlling for expression and insertion variability. (a) [Design algorithm name] was run on a 21 amino acid poly-leucine backbone, allowing for 8 variable amino acid positions. </w:t>
      </w:r>
      <w:proofErr w:type="spellStart"/>
      <w:r>
        <w:t>GASright</w:t>
      </w:r>
      <w:proofErr w:type="spellEnd"/>
      <w:r>
        <w:t xml:space="preserve"> and </w:t>
      </w:r>
      <w:proofErr w:type="gramStart"/>
      <w:r>
        <w:t>right handed</w:t>
      </w:r>
      <w:proofErr w:type="gramEnd"/>
      <w:r>
        <w:t xml:space="preserve"> positions are identical, while left handed positions are based on knobs into holes packing motifs found within coiled coils. (b) TOXGREEN fuses the designed protein to maltose binding protein (MBP) in the periplasm and </w:t>
      </w:r>
      <w:proofErr w:type="spellStart"/>
      <w:r>
        <w:t>ToxR</w:t>
      </w:r>
      <w:proofErr w:type="spellEnd"/>
      <w:r>
        <w:t xml:space="preserve">, a dimeric transcription factor, in the cytoplasm. Dimerization of designs results in the dimerization of </w:t>
      </w:r>
      <w:proofErr w:type="spellStart"/>
      <w:r>
        <w:t>ToxR</w:t>
      </w:r>
      <w:proofErr w:type="spellEnd"/>
      <w:r>
        <w:t>, and subsequently the transcription and translation of GFP as a readout of association strength.</w:t>
      </w:r>
    </w:p>
    <w:p w14:paraId="3018E531" w14:textId="77777777" w:rsidR="002B7D7D" w:rsidRDefault="002B7D7D">
      <w:pPr>
        <w:jc w:val="both"/>
      </w:pPr>
    </w:p>
    <w:p w14:paraId="7791CFA2" w14:textId="77777777" w:rsidR="00342FB0" w:rsidRDefault="00342FB0" w:rsidP="00342FB0">
      <w:pPr>
        <w:pStyle w:val="Standard"/>
        <w:jc w:val="both"/>
        <w:rPr>
          <w:rFonts w:asciiTheme="minorHAnsi" w:hAnsiTheme="minorHAnsi" w:cstheme="minorHAnsi"/>
          <w:sz w:val="22"/>
          <w:szCs w:val="22"/>
        </w:rPr>
      </w:pPr>
      <w:r>
        <w:rPr>
          <w:rFonts w:asciiTheme="minorHAnsi" w:hAnsiTheme="minorHAnsi" w:cstheme="minorHAnsi"/>
          <w:sz w:val="22"/>
          <w:szCs w:val="22"/>
        </w:rPr>
        <w:t>Sequence logo info:</w:t>
      </w:r>
    </w:p>
    <w:p w14:paraId="7F6D421C" w14:textId="47610697" w:rsidR="00726A91" w:rsidRDefault="00726A91" w:rsidP="00726A91">
      <w:pPr>
        <w:pStyle w:val="Standard"/>
        <w:numPr>
          <w:ilvl w:val="0"/>
          <w:numId w:val="10"/>
        </w:numPr>
        <w:jc w:val="both"/>
        <w:rPr>
          <w:rFonts w:asciiTheme="minorHAnsi" w:hAnsiTheme="minorHAnsi" w:cstheme="minorHAnsi"/>
          <w:sz w:val="22"/>
          <w:szCs w:val="22"/>
        </w:rPr>
      </w:pPr>
      <w:r>
        <w:rPr>
          <w:rFonts w:asciiTheme="minorHAnsi" w:hAnsiTheme="minorHAnsi" w:cstheme="minorHAnsi"/>
          <w:sz w:val="22"/>
          <w:szCs w:val="22"/>
        </w:rPr>
        <w:t>Have these images somewhere for sequences from the PDB</w:t>
      </w:r>
    </w:p>
    <w:p w14:paraId="2FD7660D" w14:textId="77777777" w:rsidR="00342FB0" w:rsidRDefault="00342FB0"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We then took the WT sequences found in these dense regions and created sequence logos, aiming to determine if there are any common motifs to be used in design. These sequence logos show that the region in the bottom left of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A is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a well characterized dimerization motif with a known sequence signature where small amino acids glycine, alanine, and serine are typically found at the interface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logos). This sequence signature of small amino acids allows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helices to come into close contact, resulting in stabilization by a combination of tight van der Waals packing and interhelical hydrogen bonding. There were no common motifs found in the other regions, but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sequence motif will be used to design sequences in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region.</w:t>
      </w:r>
    </w:p>
    <w:p w14:paraId="702761B4" w14:textId="77777777" w:rsidR="002B7D7D" w:rsidRDefault="002B7D7D">
      <w:pPr>
        <w:jc w:val="both"/>
      </w:pPr>
    </w:p>
    <w:p w14:paraId="08E5BD37" w14:textId="44C20E91" w:rsidR="00A56808" w:rsidRDefault="00A56808">
      <w:pPr>
        <w:jc w:val="both"/>
      </w:pPr>
      <w:r>
        <w:t>Mutants:</w:t>
      </w:r>
    </w:p>
    <w:p w14:paraId="28E8F1FF" w14:textId="0B9896BC" w:rsidR="00A56808" w:rsidRDefault="00A56808">
      <w:pPr>
        <w:jc w:val="both"/>
        <w:rPr>
          <w:rFonts w:cstheme="minorHAnsi"/>
        </w:rPr>
      </w:pPr>
      <w:r>
        <w:rPr>
          <w:rFonts w:cstheme="minorHAnsi"/>
        </w:rPr>
        <w:t xml:space="preserve">We chose two of the least stable mutants by energy (clash) or largest differences in solvent accessible surface area (void) for each sequence </w:t>
      </w:r>
      <w:r w:rsidRPr="00D82B47">
        <w:rPr>
          <w:rFonts w:cstheme="minorHAnsi"/>
          <w:b/>
          <w:bCs/>
        </w:rPr>
        <w:t>(supplement methods</w:t>
      </w:r>
      <w:r w:rsidRPr="00A9570E">
        <w:rPr>
          <w:rFonts w:cstheme="minorHAnsi"/>
          <w:b/>
          <w:bCs/>
        </w:rPr>
        <w:t>)</w:t>
      </w:r>
      <w:r>
        <w:rPr>
          <w:rFonts w:cstheme="minorHAnsi"/>
        </w:rPr>
        <w:t>.</w:t>
      </w:r>
    </w:p>
    <w:p w14:paraId="44F6576D" w14:textId="449B8B5F" w:rsidR="00DC6586" w:rsidRDefault="00DC6586">
      <w:pPr>
        <w:jc w:val="both"/>
        <w:rPr>
          <w:rFonts w:cstheme="minorHAnsi"/>
        </w:rPr>
      </w:pPr>
      <w:r>
        <w:rPr>
          <w:rFonts w:cstheme="minorHAnsi"/>
        </w:rPr>
        <w:t>Baseline term:</w:t>
      </w:r>
    </w:p>
    <w:p w14:paraId="364B7CE1" w14:textId="09028741" w:rsidR="00DC6586" w:rsidRDefault="00DC6586">
      <w:pPr>
        <w:jc w:val="both"/>
      </w:pPr>
      <w:r>
        <w:rPr>
          <w:rFonts w:cstheme="minorHAnsi"/>
        </w:rPr>
        <w:t>To reduce computational expense, we developed a baseline energetic term that functioned as an estimate for the energy of the monomeric state, allowing us to accept sequences with the best stability between the dimer-monomer state.</w:t>
      </w:r>
    </w:p>
    <w:p w14:paraId="68525519" w14:textId="77777777" w:rsidR="002B7D7D" w:rsidRDefault="002B7D7D">
      <w:pPr>
        <w:jc w:val="both"/>
      </w:pPr>
    </w:p>
    <w:p w14:paraId="076E9365" w14:textId="77777777" w:rsidR="002B7D7D" w:rsidRDefault="002B7D7D">
      <w:pPr>
        <w:jc w:val="both"/>
      </w:pPr>
    </w:p>
    <w:p w14:paraId="3CE1BA0F" w14:textId="77777777" w:rsidR="002B7D7D" w:rsidRDefault="002B7D7D">
      <w:pPr>
        <w:jc w:val="both"/>
      </w:pPr>
    </w:p>
    <w:p w14:paraId="65EE3207" w14:textId="77777777" w:rsidR="002B7D7D" w:rsidRDefault="002B7D7D">
      <w:pPr>
        <w:jc w:val="both"/>
      </w:pPr>
    </w:p>
    <w:p w14:paraId="3432039F" w14:textId="77777777" w:rsidR="002B7D7D" w:rsidRDefault="002B7D7D">
      <w:pPr>
        <w:jc w:val="both"/>
      </w:pPr>
    </w:p>
    <w:p w14:paraId="61EDA465" w14:textId="77777777" w:rsidR="00726A91" w:rsidRDefault="00726A91">
      <w:pPr>
        <w:jc w:val="both"/>
      </w:pPr>
    </w:p>
    <w:p w14:paraId="6C053D74" w14:textId="77777777" w:rsidR="002F5687" w:rsidRDefault="002F5687" w:rsidP="002F5687">
      <w:pPr>
        <w:rPr>
          <w:rFonts w:cstheme="minorHAnsi"/>
          <w:b/>
          <w:bCs/>
        </w:rPr>
      </w:pPr>
      <w:r>
        <w:rPr>
          <w:rFonts w:cstheme="minorHAnsi"/>
          <w:b/>
          <w:bCs/>
        </w:rPr>
        <w:t>Delta Fluorescence Figure</w:t>
      </w:r>
    </w:p>
    <w:p w14:paraId="20138966" w14:textId="77777777" w:rsidR="002F5687" w:rsidRDefault="002F5687" w:rsidP="002F5687">
      <w:pPr>
        <w:rPr>
          <w:rFonts w:cstheme="minorHAnsi"/>
        </w:rPr>
      </w:pPr>
      <w:r>
        <w:rPr>
          <w:noProof/>
        </w:rPr>
        <w:drawing>
          <wp:inline distT="0" distB="0" distL="0" distR="0" wp14:anchorId="4D79F8F0" wp14:editId="5B4FEA39">
            <wp:extent cx="5943600" cy="1392555"/>
            <wp:effectExtent l="0" t="0" r="0" b="0"/>
            <wp:docPr id="3" name="Image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aph with lines and numbers&#10;&#10;Description automatically generated"/>
                    <pic:cNvPicPr>
                      <a:picLocks noChangeAspect="1" noChangeArrowheads="1"/>
                    </pic:cNvPicPr>
                  </pic:nvPicPr>
                  <pic:blipFill>
                    <a:blip r:embed="rId14"/>
                    <a:stretch>
                      <a:fillRect/>
                    </a:stretch>
                  </pic:blipFill>
                  <pic:spPr bwMode="auto">
                    <a:xfrm>
                      <a:off x="0" y="0"/>
                      <a:ext cx="5943600" cy="1392555"/>
                    </a:xfrm>
                    <a:prstGeom prst="rect">
                      <a:avLst/>
                    </a:prstGeom>
                  </pic:spPr>
                </pic:pic>
              </a:graphicData>
            </a:graphic>
          </wp:inline>
        </w:drawing>
      </w:r>
    </w:p>
    <w:p w14:paraId="288AC414" w14:textId="77777777" w:rsidR="002F5687" w:rsidRDefault="002F5687" w:rsidP="002F5687">
      <w:pPr>
        <w:rPr>
          <w:rFonts w:cstheme="minorHAnsi"/>
        </w:rPr>
      </w:pPr>
      <w:r>
        <w:rPr>
          <w:rFonts w:cstheme="minorHAnsi"/>
        </w:rPr>
        <w:t>Fluorescence of wild type designs subtracted by fluorescence of their corresponding mutants is plotted above.</w:t>
      </w:r>
    </w:p>
    <w:p w14:paraId="6E910BAE" w14:textId="77777777" w:rsidR="002F5687" w:rsidRDefault="002F5687" w:rsidP="002F5687">
      <w:pPr>
        <w:pStyle w:val="ListParagraph"/>
        <w:numPr>
          <w:ilvl w:val="0"/>
          <w:numId w:val="2"/>
        </w:numPr>
        <w:rPr>
          <w:rFonts w:cstheme="minorHAnsi"/>
        </w:rPr>
      </w:pPr>
      <w:r>
        <w:rPr>
          <w:rFonts w:cstheme="minorHAnsi"/>
        </w:rPr>
        <w:t>Plot this as an x vs y plot, might likely be supplement of just a subset of the previous figure</w:t>
      </w:r>
    </w:p>
    <w:p w14:paraId="1C56455B" w14:textId="77777777" w:rsidR="002F5687" w:rsidRDefault="002F5687" w:rsidP="002F5687">
      <w:pPr>
        <w:pStyle w:val="ListParagraph"/>
        <w:numPr>
          <w:ilvl w:val="1"/>
          <w:numId w:val="2"/>
        </w:numPr>
        <w:rPr>
          <w:rFonts w:cstheme="minorHAnsi"/>
        </w:rPr>
      </w:pPr>
      <w:r>
        <w:rPr>
          <w:rFonts w:cstheme="minorHAnsi"/>
        </w:rPr>
        <w:t xml:space="preserve">However, there are a variety of sequences above the 40% </w:t>
      </w:r>
      <w:proofErr w:type="spellStart"/>
      <w:r>
        <w:rPr>
          <w:rFonts w:cstheme="minorHAnsi"/>
        </w:rPr>
        <w:t>GpA</w:t>
      </w:r>
      <w:proofErr w:type="spellEnd"/>
      <w:r>
        <w:rPr>
          <w:rFonts w:cstheme="minorHAnsi"/>
        </w:rPr>
        <w:t xml:space="preserve"> in both the </w:t>
      </w:r>
      <w:proofErr w:type="gramStart"/>
      <w:r>
        <w:rPr>
          <w:rFonts w:cstheme="minorHAnsi"/>
        </w:rPr>
        <w:t>right and left handed</w:t>
      </w:r>
      <w:proofErr w:type="gramEnd"/>
      <w:r>
        <w:rPr>
          <w:rFonts w:cstheme="minorHAnsi"/>
        </w:rPr>
        <w:t xml:space="preserve"> regions (conservative limit for association)</w:t>
      </w:r>
    </w:p>
    <w:p w14:paraId="34AF633A" w14:textId="77777777" w:rsidR="002F5687" w:rsidRDefault="002F5687" w:rsidP="002F5687">
      <w:pPr>
        <w:pStyle w:val="ListParagraph"/>
        <w:numPr>
          <w:ilvl w:val="2"/>
          <w:numId w:val="2"/>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46D433A9" w14:textId="18761E75" w:rsidR="002B7D7D" w:rsidRDefault="002B7D7D" w:rsidP="002B7D7D">
      <w:pPr>
        <w:rPr>
          <w:rFonts w:cstheme="minorHAnsi"/>
        </w:rPr>
      </w:pPr>
    </w:p>
    <w:p w14:paraId="22397B8C" w14:textId="25B8B80B" w:rsidR="002B7D7D" w:rsidRPr="002B7D7D" w:rsidRDefault="002B7D7D" w:rsidP="002B7D7D">
      <w:pPr>
        <w:rPr>
          <w:rFonts w:cstheme="minorHAnsi"/>
          <w:b/>
          <w:bCs/>
        </w:rPr>
      </w:pPr>
      <w:r w:rsidRPr="002B7D7D">
        <w:rPr>
          <w:b/>
          <w:bCs/>
          <w:noProof/>
        </w:rPr>
        <w:lastRenderedPageBreak/>
        <w:drawing>
          <wp:anchor distT="0" distB="0" distL="114300" distR="114300" simplePos="0" relativeHeight="251659776" behindDoc="0" locked="0" layoutInCell="1" allowOverlap="1" wp14:anchorId="57F0C9EA" wp14:editId="3A79494D">
            <wp:simplePos x="0" y="0"/>
            <wp:positionH relativeFrom="column">
              <wp:posOffset>260350</wp:posOffset>
            </wp:positionH>
            <wp:positionV relativeFrom="paragraph">
              <wp:posOffset>450850</wp:posOffset>
            </wp:positionV>
            <wp:extent cx="6115990" cy="7641590"/>
            <wp:effectExtent l="0" t="0" r="0" b="0"/>
            <wp:wrapTopAndBottom/>
            <wp:docPr id="198321197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1972" name="Picture 2"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990" cy="7641590"/>
                    </a:xfrm>
                    <a:prstGeom prst="rect">
                      <a:avLst/>
                    </a:prstGeom>
                    <a:noFill/>
                    <a:ln>
                      <a:noFill/>
                    </a:ln>
                  </pic:spPr>
                </pic:pic>
              </a:graphicData>
            </a:graphic>
          </wp:anchor>
        </w:drawing>
      </w:r>
      <w:r w:rsidRPr="002B7D7D">
        <w:rPr>
          <w:rFonts w:cstheme="minorHAnsi"/>
          <w:b/>
          <w:bCs/>
        </w:rPr>
        <w:t>Percent SASA figure</w:t>
      </w:r>
    </w:p>
    <w:p w14:paraId="0F1104C1" w14:textId="77777777" w:rsidR="002B7D7D" w:rsidRDefault="002B7D7D" w:rsidP="002B7D7D">
      <w:pPr>
        <w:rPr>
          <w:rFonts w:cstheme="minorHAnsi"/>
        </w:rPr>
      </w:pPr>
    </w:p>
    <w:p w14:paraId="0A17B7E8" w14:textId="77777777" w:rsidR="002B7D7D" w:rsidRPr="002B7D7D" w:rsidRDefault="002B7D7D" w:rsidP="002B7D7D">
      <w:pPr>
        <w:rPr>
          <w:rFonts w:cstheme="minorHAnsi"/>
        </w:rPr>
      </w:pPr>
    </w:p>
    <w:p w14:paraId="05A672B7" w14:textId="5D1B4CA9" w:rsidR="00F43261" w:rsidRDefault="000D03F1">
      <w:pPr>
        <w:jc w:val="both"/>
      </w:pPr>
      <w:r>
        <w:t xml:space="preserve"> </w:t>
      </w:r>
    </w:p>
    <w:p w14:paraId="4B4863CD" w14:textId="1098DC42" w:rsidR="004232C8" w:rsidRPr="004232C8" w:rsidRDefault="00F43261" w:rsidP="004232C8">
      <w:pPr>
        <w:pStyle w:val="EndNoteBibliography"/>
        <w:spacing w:after="0"/>
        <w:ind w:left="720" w:hanging="720"/>
      </w:pPr>
      <w:r>
        <w:lastRenderedPageBreak/>
        <w:fldChar w:fldCharType="begin"/>
      </w:r>
      <w:r>
        <w:instrText xml:space="preserve"> ADDIN EN.REFLIST </w:instrText>
      </w:r>
      <w:r>
        <w:fldChar w:fldCharType="separate"/>
      </w:r>
      <w:r w:rsidR="004232C8" w:rsidRPr="004232C8">
        <w:t xml:space="preserve">Anderson, S. M., Mueller, B. K., Lange, E. J., &amp; Senes, A. (2017). Combination of Cα-H Hydrogen Bonds and van der Waals Packing Modulates the Stability of GxxxG-Mediated Dimers in Membranes. </w:t>
      </w:r>
      <w:r w:rsidR="004232C8" w:rsidRPr="004232C8">
        <w:rPr>
          <w:i/>
        </w:rPr>
        <w:t>J Am Chem Soc</w:t>
      </w:r>
      <w:r w:rsidR="004232C8" w:rsidRPr="004232C8">
        <w:t>,</w:t>
      </w:r>
      <w:r w:rsidR="004232C8" w:rsidRPr="004232C8">
        <w:rPr>
          <w:i/>
        </w:rPr>
        <w:t xml:space="preserve"> 139</w:t>
      </w:r>
      <w:r w:rsidR="004232C8" w:rsidRPr="004232C8">
        <w:t xml:space="preserve">(44), 15774-15783. </w:t>
      </w:r>
      <w:hyperlink r:id="rId16" w:history="1">
        <w:r w:rsidR="004232C8" w:rsidRPr="004232C8">
          <w:rPr>
            <w:rStyle w:val="Hyperlink"/>
          </w:rPr>
          <w:t>https://doi.org/10.1021/jacs.7b07505</w:t>
        </w:r>
      </w:hyperlink>
      <w:r w:rsidR="004232C8" w:rsidRPr="004232C8">
        <w:t xml:space="preserve"> </w:t>
      </w:r>
    </w:p>
    <w:p w14:paraId="5B51D610" w14:textId="26E3E3A5" w:rsidR="004232C8" w:rsidRPr="004232C8" w:rsidRDefault="004232C8" w:rsidP="004232C8">
      <w:pPr>
        <w:pStyle w:val="EndNoteBibliography"/>
        <w:spacing w:after="0"/>
        <w:ind w:left="720" w:hanging="720"/>
      </w:pPr>
      <w:r w:rsidRPr="004232C8">
        <w:t xml:space="preserve">Carpenter, E. P., Beis, K., Cameron, A. D., &amp; Iwata, S. (2008). Overcoming the challenges of membrane protein crystallography. </w:t>
      </w:r>
      <w:r w:rsidRPr="004232C8">
        <w:rPr>
          <w:i/>
        </w:rPr>
        <w:t>Curr Opin Struct Biol</w:t>
      </w:r>
      <w:r w:rsidRPr="004232C8">
        <w:t>,</w:t>
      </w:r>
      <w:r w:rsidRPr="004232C8">
        <w:rPr>
          <w:i/>
        </w:rPr>
        <w:t xml:space="preserve"> 18</w:t>
      </w:r>
      <w:r w:rsidRPr="004232C8">
        <w:t xml:space="preserve">(5), 581-586. </w:t>
      </w:r>
      <w:hyperlink r:id="rId17" w:history="1">
        <w:r w:rsidRPr="004232C8">
          <w:rPr>
            <w:rStyle w:val="Hyperlink"/>
          </w:rPr>
          <w:t>https://doi.org/10.1016/j.sbi.2008.07.001</w:t>
        </w:r>
      </w:hyperlink>
      <w:r w:rsidRPr="004232C8">
        <w:t xml:space="preserve"> </w:t>
      </w:r>
    </w:p>
    <w:p w14:paraId="762D7484" w14:textId="2BB2A3AE" w:rsidR="004232C8" w:rsidRPr="004232C8" w:rsidRDefault="004232C8" w:rsidP="004232C8">
      <w:pPr>
        <w:pStyle w:val="EndNoteBibliography"/>
        <w:spacing w:after="0"/>
        <w:ind w:left="720" w:hanging="720"/>
      </w:pPr>
      <w:r w:rsidRPr="004232C8">
        <w:t xml:space="preserve">Díaz Vázquez, G., Cui, Q., &amp; Senes, A. (2023). Thermodynamic analysis of the GAS. </w:t>
      </w:r>
      <w:r w:rsidRPr="004232C8">
        <w:rPr>
          <w:i/>
        </w:rPr>
        <w:t>Biophys J</w:t>
      </w:r>
      <w:r w:rsidRPr="004232C8">
        <w:t>,</w:t>
      </w:r>
      <w:r w:rsidRPr="004232C8">
        <w:rPr>
          <w:i/>
        </w:rPr>
        <w:t xml:space="preserve"> 122</w:t>
      </w:r>
      <w:r w:rsidRPr="004232C8">
        <w:t xml:space="preserve">(1), 143-155. </w:t>
      </w:r>
      <w:hyperlink r:id="rId18" w:history="1">
        <w:r w:rsidRPr="004232C8">
          <w:rPr>
            <w:rStyle w:val="Hyperlink"/>
          </w:rPr>
          <w:t>https://doi.org/10.1016/j.bpj.2022.11.018</w:t>
        </w:r>
      </w:hyperlink>
      <w:r w:rsidRPr="004232C8">
        <w:t xml:space="preserve"> </w:t>
      </w:r>
    </w:p>
    <w:p w14:paraId="037FE286" w14:textId="22636E7C" w:rsidR="004232C8" w:rsidRPr="004232C8" w:rsidRDefault="004232C8" w:rsidP="004232C8">
      <w:pPr>
        <w:pStyle w:val="EndNoteBibliography"/>
        <w:spacing w:after="0"/>
        <w:ind w:left="720" w:hanging="720"/>
      </w:pPr>
      <w:r w:rsidRPr="004232C8">
        <w:t xml:space="preserve">Fagerberg, L., Jonasson, K., von Heijne, G., Uhlén, M., &amp; Berglund, L. (2010). Prediction of the human membrane proteome. </w:t>
      </w:r>
      <w:r w:rsidRPr="004232C8">
        <w:rPr>
          <w:i/>
        </w:rPr>
        <w:t>Proteomics</w:t>
      </w:r>
      <w:r w:rsidRPr="004232C8">
        <w:t>,</w:t>
      </w:r>
      <w:r w:rsidRPr="004232C8">
        <w:rPr>
          <w:i/>
        </w:rPr>
        <w:t xml:space="preserve"> 10</w:t>
      </w:r>
      <w:r w:rsidRPr="004232C8">
        <w:t xml:space="preserve">(6), 1141-1149. </w:t>
      </w:r>
      <w:hyperlink r:id="rId19" w:history="1">
        <w:r w:rsidRPr="004232C8">
          <w:rPr>
            <w:rStyle w:val="Hyperlink"/>
          </w:rPr>
          <w:t>https://doi.org/10.1002/pmic.200900258</w:t>
        </w:r>
      </w:hyperlink>
      <w:r w:rsidRPr="004232C8">
        <w:t xml:space="preserve"> </w:t>
      </w:r>
    </w:p>
    <w:p w14:paraId="0117E521" w14:textId="5F1A170D" w:rsidR="004232C8" w:rsidRPr="004232C8" w:rsidRDefault="004232C8" w:rsidP="004232C8">
      <w:pPr>
        <w:pStyle w:val="EndNoteBibliography"/>
        <w:spacing w:after="0"/>
        <w:ind w:left="720" w:hanging="720"/>
      </w:pPr>
      <w:r w:rsidRPr="004232C8">
        <w:t xml:space="preserve">Faham, S., Yang, D., Bare, E., Yohannan, S., Whitelegge, J. P., &amp; Bowie, J. U. (2004). Side-chain contributions to membrane protein structure and stability. </w:t>
      </w:r>
      <w:r w:rsidRPr="004232C8">
        <w:rPr>
          <w:i/>
        </w:rPr>
        <w:t>J Mol Biol</w:t>
      </w:r>
      <w:r w:rsidRPr="004232C8">
        <w:t>,</w:t>
      </w:r>
      <w:r w:rsidRPr="004232C8">
        <w:rPr>
          <w:i/>
        </w:rPr>
        <w:t xml:space="preserve"> 335</w:t>
      </w:r>
      <w:r w:rsidRPr="004232C8">
        <w:t xml:space="preserve">(1), 297-305. </w:t>
      </w:r>
      <w:hyperlink r:id="rId20" w:history="1">
        <w:r w:rsidRPr="004232C8">
          <w:rPr>
            <w:rStyle w:val="Hyperlink"/>
          </w:rPr>
          <w:t>https://doi.org/10.1016/j.jmb.2003.10.041</w:t>
        </w:r>
      </w:hyperlink>
      <w:r w:rsidRPr="004232C8">
        <w:t xml:space="preserve"> </w:t>
      </w:r>
    </w:p>
    <w:p w14:paraId="66A629C2" w14:textId="1995653C" w:rsidR="004232C8" w:rsidRPr="004232C8" w:rsidRDefault="004232C8" w:rsidP="004232C8">
      <w:pPr>
        <w:pStyle w:val="EndNoteBibliography"/>
        <w:spacing w:after="0"/>
        <w:ind w:left="720" w:hanging="720"/>
      </w:pPr>
      <w:r w:rsidRPr="004232C8">
        <w:t xml:space="preserve">Fleming, K. G., Ackerman, A. L., &amp; Engelman, D. M. (1997). The effect of point mutations on the free energy of transmembrane alpha-helix dimerization. </w:t>
      </w:r>
      <w:r w:rsidRPr="004232C8">
        <w:rPr>
          <w:i/>
        </w:rPr>
        <w:t>J Mol Biol</w:t>
      </w:r>
      <w:r w:rsidRPr="004232C8">
        <w:t>,</w:t>
      </w:r>
      <w:r w:rsidRPr="004232C8">
        <w:rPr>
          <w:i/>
        </w:rPr>
        <w:t xml:space="preserve"> 272</w:t>
      </w:r>
      <w:r w:rsidRPr="004232C8">
        <w:t xml:space="preserve">(2), 266-275. </w:t>
      </w:r>
      <w:hyperlink r:id="rId21" w:history="1">
        <w:r w:rsidRPr="004232C8">
          <w:rPr>
            <w:rStyle w:val="Hyperlink"/>
          </w:rPr>
          <w:t>https://doi.org/10.1006/jmbi.1997.1236</w:t>
        </w:r>
      </w:hyperlink>
      <w:r w:rsidRPr="004232C8">
        <w:t xml:space="preserve"> </w:t>
      </w:r>
    </w:p>
    <w:p w14:paraId="592190F7" w14:textId="38AE5017" w:rsidR="004232C8" w:rsidRPr="004232C8" w:rsidRDefault="004232C8" w:rsidP="004232C8">
      <w:pPr>
        <w:pStyle w:val="EndNoteBibliography"/>
        <w:spacing w:after="0"/>
        <w:ind w:left="720" w:hanging="720"/>
      </w:pPr>
      <w:r w:rsidRPr="004232C8">
        <w:t xml:space="preserve">Gregersen, N., Bross, P., Vang, S., &amp; Christensen, J. H. (2006). Protein misfolding and human disease. </w:t>
      </w:r>
      <w:r w:rsidRPr="004232C8">
        <w:rPr>
          <w:i/>
        </w:rPr>
        <w:t>Annu Rev Genomics Hum Genet</w:t>
      </w:r>
      <w:r w:rsidRPr="004232C8">
        <w:t>,</w:t>
      </w:r>
      <w:r w:rsidRPr="004232C8">
        <w:rPr>
          <w:i/>
        </w:rPr>
        <w:t xml:space="preserve"> 7</w:t>
      </w:r>
      <w:r w:rsidRPr="004232C8">
        <w:t xml:space="preserve">, 103-124. </w:t>
      </w:r>
      <w:hyperlink r:id="rId22" w:history="1">
        <w:r w:rsidRPr="004232C8">
          <w:rPr>
            <w:rStyle w:val="Hyperlink"/>
          </w:rPr>
          <w:t>https://doi.org/10.1146/annurev.genom.7.080505.115737</w:t>
        </w:r>
      </w:hyperlink>
      <w:r w:rsidRPr="004232C8">
        <w:t xml:space="preserve"> </w:t>
      </w:r>
    </w:p>
    <w:p w14:paraId="1ABEAD9D" w14:textId="40A43B6E" w:rsidR="004232C8" w:rsidRPr="004232C8" w:rsidRDefault="004232C8" w:rsidP="004232C8">
      <w:pPr>
        <w:pStyle w:val="EndNoteBibliography"/>
        <w:spacing w:after="0"/>
        <w:ind w:left="720" w:hanging="720"/>
      </w:pPr>
      <w:r w:rsidRPr="004232C8">
        <w:t xml:space="preserve">Hong, H. (2014). Toward understanding driving forces in membrane protein folding. </w:t>
      </w:r>
      <w:r w:rsidRPr="004232C8">
        <w:rPr>
          <w:i/>
        </w:rPr>
        <w:t>Arch Biochem Biophys</w:t>
      </w:r>
      <w:r w:rsidRPr="004232C8">
        <w:t>,</w:t>
      </w:r>
      <w:r w:rsidRPr="004232C8">
        <w:rPr>
          <w:i/>
        </w:rPr>
        <w:t xml:space="preserve"> 564</w:t>
      </w:r>
      <w:r w:rsidRPr="004232C8">
        <w:t xml:space="preserve">, 297-313. </w:t>
      </w:r>
      <w:hyperlink r:id="rId23" w:history="1">
        <w:r w:rsidRPr="004232C8">
          <w:rPr>
            <w:rStyle w:val="Hyperlink"/>
          </w:rPr>
          <w:t>https://doi.org/10.1016/j.abb.2014.07.031</w:t>
        </w:r>
      </w:hyperlink>
      <w:r w:rsidRPr="004232C8">
        <w:t xml:space="preserve"> </w:t>
      </w:r>
    </w:p>
    <w:p w14:paraId="4609639A" w14:textId="42CC84F4" w:rsidR="004232C8" w:rsidRPr="004232C8" w:rsidRDefault="004232C8" w:rsidP="004232C8">
      <w:pPr>
        <w:pStyle w:val="EndNoteBibliography"/>
        <w:spacing w:after="0"/>
        <w:ind w:left="720" w:hanging="720"/>
      </w:pPr>
      <w:r w:rsidRPr="004232C8">
        <w:t xml:space="preserve">Huang, B., Xu, Y., Hu, X., Liu, Y., Liao, S., Zhang, J., . . . Liu, H. (2022). A backbone-centred energy function of neural networks for protein design. </w:t>
      </w:r>
      <w:r w:rsidRPr="004232C8">
        <w:rPr>
          <w:i/>
        </w:rPr>
        <w:t>Nature</w:t>
      </w:r>
      <w:r w:rsidRPr="004232C8">
        <w:t>,</w:t>
      </w:r>
      <w:r w:rsidRPr="004232C8">
        <w:rPr>
          <w:i/>
        </w:rPr>
        <w:t xml:space="preserve"> 602</w:t>
      </w:r>
      <w:r w:rsidRPr="004232C8">
        <w:t xml:space="preserve">(7897), 523-528. </w:t>
      </w:r>
      <w:hyperlink r:id="rId24" w:history="1">
        <w:r w:rsidRPr="004232C8">
          <w:rPr>
            <w:rStyle w:val="Hyperlink"/>
          </w:rPr>
          <w:t>https://doi.org/10.1038/s41586-021-04383-5</w:t>
        </w:r>
      </w:hyperlink>
      <w:r w:rsidRPr="004232C8">
        <w:t xml:space="preserve"> </w:t>
      </w:r>
    </w:p>
    <w:p w14:paraId="55B12418" w14:textId="750BE6D1" w:rsidR="004232C8" w:rsidRPr="004232C8" w:rsidRDefault="004232C8" w:rsidP="004232C8">
      <w:pPr>
        <w:pStyle w:val="EndNoteBibliography"/>
        <w:spacing w:after="0"/>
        <w:ind w:left="720" w:hanging="720"/>
      </w:pPr>
      <w:r w:rsidRPr="004232C8">
        <w:t xml:space="preserve">Joh, N. H., Oberai, A., Yang, D., Whitelegge, J. P., &amp; Bowie, J. U. (2009). Similar energetic contributions of packing in the core of membrane and water-soluble proteins. </w:t>
      </w:r>
      <w:r w:rsidRPr="004232C8">
        <w:rPr>
          <w:i/>
        </w:rPr>
        <w:t>J Am Chem Soc</w:t>
      </w:r>
      <w:r w:rsidRPr="004232C8">
        <w:t>,</w:t>
      </w:r>
      <w:r w:rsidRPr="004232C8">
        <w:rPr>
          <w:i/>
        </w:rPr>
        <w:t xml:space="preserve"> 131</w:t>
      </w:r>
      <w:r w:rsidRPr="004232C8">
        <w:t xml:space="preserve">(31), 10846-10847. </w:t>
      </w:r>
      <w:hyperlink r:id="rId25" w:history="1">
        <w:r w:rsidRPr="004232C8">
          <w:rPr>
            <w:rStyle w:val="Hyperlink"/>
          </w:rPr>
          <w:t>https://doi.org/10.1021/ja904711k</w:t>
        </w:r>
      </w:hyperlink>
      <w:r w:rsidRPr="004232C8">
        <w:t xml:space="preserve"> </w:t>
      </w:r>
    </w:p>
    <w:p w14:paraId="2E55A205" w14:textId="15EABA34" w:rsidR="004232C8" w:rsidRPr="004232C8" w:rsidRDefault="004232C8" w:rsidP="004232C8">
      <w:pPr>
        <w:pStyle w:val="EndNoteBibliography"/>
        <w:spacing w:after="0"/>
        <w:ind w:left="720" w:hanging="720"/>
      </w:pPr>
      <w:r w:rsidRPr="004232C8">
        <w:t xml:space="preserve">Johnson, R. M., Hecht, K., &amp; Deber, C. M. (2007). Aromatic and cation-pi interactions enhance helix-helix association in a membrane environment. </w:t>
      </w:r>
      <w:r w:rsidRPr="004232C8">
        <w:rPr>
          <w:i/>
        </w:rPr>
        <w:t>Biochemistry</w:t>
      </w:r>
      <w:r w:rsidRPr="004232C8">
        <w:t>,</w:t>
      </w:r>
      <w:r w:rsidRPr="004232C8">
        <w:rPr>
          <w:i/>
        </w:rPr>
        <w:t xml:space="preserve"> 46</w:t>
      </w:r>
      <w:r w:rsidRPr="004232C8">
        <w:t xml:space="preserve">(32), 9208-9214. </w:t>
      </w:r>
      <w:hyperlink r:id="rId26" w:history="1">
        <w:r w:rsidRPr="004232C8">
          <w:rPr>
            <w:rStyle w:val="Hyperlink"/>
          </w:rPr>
          <w:t>https://doi.org/10.1021/bi7008773</w:t>
        </w:r>
      </w:hyperlink>
      <w:r w:rsidRPr="004232C8">
        <w:t xml:space="preserve"> </w:t>
      </w:r>
    </w:p>
    <w:p w14:paraId="6BD0C3A2" w14:textId="7FDFC6E5" w:rsidR="004232C8" w:rsidRPr="004232C8" w:rsidRDefault="004232C8" w:rsidP="004232C8">
      <w:pPr>
        <w:pStyle w:val="EndNoteBibliography"/>
        <w:spacing w:after="0"/>
        <w:ind w:left="720" w:hanging="720"/>
      </w:pPr>
      <w:r w:rsidRPr="004232C8">
        <w:t xml:space="preserve">Krivov, G. G., Shapovalov, M. V., &amp; Dunbrack, R. L. (2009). Improved prediction of protein side-chain conformations with SCWRL4. </w:t>
      </w:r>
      <w:r w:rsidRPr="004232C8">
        <w:rPr>
          <w:i/>
        </w:rPr>
        <w:t>Proteins</w:t>
      </w:r>
      <w:r w:rsidRPr="004232C8">
        <w:t>,</w:t>
      </w:r>
      <w:r w:rsidRPr="004232C8">
        <w:rPr>
          <w:i/>
        </w:rPr>
        <w:t xml:space="preserve"> 77</w:t>
      </w:r>
      <w:r w:rsidRPr="004232C8">
        <w:t xml:space="preserve">(4), 778-795. </w:t>
      </w:r>
      <w:hyperlink r:id="rId27" w:history="1">
        <w:r w:rsidRPr="004232C8">
          <w:rPr>
            <w:rStyle w:val="Hyperlink"/>
          </w:rPr>
          <w:t>https://doi.org/10.1002/prot.22488</w:t>
        </w:r>
      </w:hyperlink>
      <w:r w:rsidRPr="004232C8">
        <w:t xml:space="preserve"> </w:t>
      </w:r>
    </w:p>
    <w:p w14:paraId="4690A8A1" w14:textId="030EED9F" w:rsidR="004232C8" w:rsidRPr="004232C8" w:rsidRDefault="004232C8" w:rsidP="004232C8">
      <w:pPr>
        <w:pStyle w:val="EndNoteBibliography"/>
        <w:spacing w:after="0"/>
        <w:ind w:left="720" w:hanging="720"/>
      </w:pPr>
      <w:r w:rsidRPr="004232C8">
        <w:t xml:space="preserve">Kuhlman, B., Dantas, G., Ireton, G. C., Varani, G., Stoddard, B. L., &amp; Baker, D. (2003). Design of a novel globular protein fold with atomic-level accuracy. </w:t>
      </w:r>
      <w:r w:rsidRPr="004232C8">
        <w:rPr>
          <w:i/>
        </w:rPr>
        <w:t>Science</w:t>
      </w:r>
      <w:r w:rsidRPr="004232C8">
        <w:t>,</w:t>
      </w:r>
      <w:r w:rsidRPr="004232C8">
        <w:rPr>
          <w:i/>
        </w:rPr>
        <w:t xml:space="preserve"> 302</w:t>
      </w:r>
      <w:r w:rsidRPr="004232C8">
        <w:t xml:space="preserve">(5649), 1364-1368. </w:t>
      </w:r>
      <w:hyperlink r:id="rId28" w:history="1">
        <w:r w:rsidRPr="004232C8">
          <w:rPr>
            <w:rStyle w:val="Hyperlink"/>
          </w:rPr>
          <w:t>https://doi.org/10.1126/science.1089427</w:t>
        </w:r>
      </w:hyperlink>
      <w:r w:rsidRPr="004232C8">
        <w:t xml:space="preserve"> </w:t>
      </w:r>
    </w:p>
    <w:p w14:paraId="6E9F2853" w14:textId="57CEB5D9" w:rsidR="004232C8" w:rsidRPr="004232C8" w:rsidRDefault="004232C8" w:rsidP="004232C8">
      <w:pPr>
        <w:pStyle w:val="EndNoteBibliography"/>
        <w:spacing w:after="0"/>
        <w:ind w:left="720" w:hanging="720"/>
      </w:pPr>
      <w:r w:rsidRPr="004232C8">
        <w:t xml:space="preserve">Kulp, D. W., Subramaniam, S., Donald, J. E., Hannigan, B. T., Mueller, B. K., Grigoryan, G., &amp; Senes, A. (2012). Structural informatics, modeling, and design with an open-source Molecular Software Library (MSL). </w:t>
      </w:r>
      <w:r w:rsidRPr="004232C8">
        <w:rPr>
          <w:i/>
        </w:rPr>
        <w:t>J Comput Chem</w:t>
      </w:r>
      <w:r w:rsidRPr="004232C8">
        <w:t>,</w:t>
      </w:r>
      <w:r w:rsidRPr="004232C8">
        <w:rPr>
          <w:i/>
        </w:rPr>
        <w:t xml:space="preserve"> 33</w:t>
      </w:r>
      <w:r w:rsidRPr="004232C8">
        <w:t xml:space="preserve">(20), 1645-1661. </w:t>
      </w:r>
      <w:hyperlink r:id="rId29" w:history="1">
        <w:r w:rsidRPr="004232C8">
          <w:rPr>
            <w:rStyle w:val="Hyperlink"/>
          </w:rPr>
          <w:t>https://doi.org/10.1002/jcc.22968</w:t>
        </w:r>
      </w:hyperlink>
      <w:r w:rsidRPr="004232C8">
        <w:t xml:space="preserve"> </w:t>
      </w:r>
    </w:p>
    <w:p w14:paraId="35A6B99A" w14:textId="4C5AD7A0" w:rsidR="004232C8" w:rsidRPr="004232C8" w:rsidRDefault="004232C8" w:rsidP="004232C8">
      <w:pPr>
        <w:pStyle w:val="EndNoteBibliography"/>
        <w:spacing w:after="0"/>
        <w:ind w:left="720" w:hanging="720"/>
      </w:pPr>
      <w:r w:rsidRPr="004232C8">
        <w:t xml:space="preserve">Lazaridis, T. (2003). Effective energy function for proteins in lipid membranes. </w:t>
      </w:r>
      <w:r w:rsidRPr="004232C8">
        <w:rPr>
          <w:i/>
        </w:rPr>
        <w:t>Proteins</w:t>
      </w:r>
      <w:r w:rsidRPr="004232C8">
        <w:t>,</w:t>
      </w:r>
      <w:r w:rsidRPr="004232C8">
        <w:rPr>
          <w:i/>
        </w:rPr>
        <w:t xml:space="preserve"> 52</w:t>
      </w:r>
      <w:r w:rsidRPr="004232C8">
        <w:t xml:space="preserve">(2), 176-192. </w:t>
      </w:r>
      <w:hyperlink r:id="rId30" w:history="1">
        <w:r w:rsidRPr="004232C8">
          <w:rPr>
            <w:rStyle w:val="Hyperlink"/>
          </w:rPr>
          <w:t>https://doi.org/10.1002/prot.10410</w:t>
        </w:r>
      </w:hyperlink>
      <w:r w:rsidRPr="004232C8">
        <w:t xml:space="preserve"> </w:t>
      </w:r>
    </w:p>
    <w:p w14:paraId="3DCFCC33" w14:textId="5F7365DE" w:rsidR="004232C8" w:rsidRPr="004232C8" w:rsidRDefault="004232C8" w:rsidP="004232C8">
      <w:pPr>
        <w:pStyle w:val="EndNoteBibliography"/>
        <w:spacing w:after="0"/>
        <w:ind w:left="720" w:hanging="720"/>
      </w:pPr>
      <w:r w:rsidRPr="004232C8">
        <w:t xml:space="preserve">Liu, Y., Engelman, D. M., &amp; Gerstein, M. (2002). Genomic analysis of membrane protein families: abundance and conserved motifs. </w:t>
      </w:r>
      <w:r w:rsidRPr="004232C8">
        <w:rPr>
          <w:i/>
        </w:rPr>
        <w:t>Genome Biol</w:t>
      </w:r>
      <w:r w:rsidRPr="004232C8">
        <w:t>,</w:t>
      </w:r>
      <w:r w:rsidRPr="004232C8">
        <w:rPr>
          <w:i/>
        </w:rPr>
        <w:t xml:space="preserve"> 3</w:t>
      </w:r>
      <w:r w:rsidRPr="004232C8">
        <w:t xml:space="preserve">(10), research0054. </w:t>
      </w:r>
      <w:hyperlink r:id="rId31" w:history="1">
        <w:r w:rsidRPr="004232C8">
          <w:rPr>
            <w:rStyle w:val="Hyperlink"/>
          </w:rPr>
          <w:t>https://doi.org/10.1186/gb-2002-3-10-research0054</w:t>
        </w:r>
      </w:hyperlink>
      <w:r w:rsidRPr="004232C8">
        <w:t xml:space="preserve"> </w:t>
      </w:r>
    </w:p>
    <w:p w14:paraId="234B8B14" w14:textId="413D9A01" w:rsidR="004232C8" w:rsidRPr="004232C8" w:rsidRDefault="004232C8" w:rsidP="004232C8">
      <w:pPr>
        <w:pStyle w:val="EndNoteBibliography"/>
        <w:spacing w:after="0"/>
        <w:ind w:left="720" w:hanging="720"/>
      </w:pPr>
      <w:r w:rsidRPr="004232C8">
        <w:t xml:space="preserve">Lomize, A. L., &amp; Pogozheva, I. D. (2017). TMDOCK: An Energy-Based Method for Modeling α-Helical Dimers in Membranes. </w:t>
      </w:r>
      <w:r w:rsidRPr="004232C8">
        <w:rPr>
          <w:i/>
        </w:rPr>
        <w:t>J Mol Biol</w:t>
      </w:r>
      <w:r w:rsidRPr="004232C8">
        <w:t>,</w:t>
      </w:r>
      <w:r w:rsidRPr="004232C8">
        <w:rPr>
          <w:i/>
        </w:rPr>
        <w:t xml:space="preserve"> 429</w:t>
      </w:r>
      <w:r w:rsidRPr="004232C8">
        <w:t xml:space="preserve">(3), 390-398. </w:t>
      </w:r>
      <w:hyperlink r:id="rId32" w:history="1">
        <w:r w:rsidRPr="004232C8">
          <w:rPr>
            <w:rStyle w:val="Hyperlink"/>
          </w:rPr>
          <w:t>https://doi.org/10.1016/j.jmb.2016.09.005</w:t>
        </w:r>
      </w:hyperlink>
      <w:r w:rsidRPr="004232C8">
        <w:t xml:space="preserve"> </w:t>
      </w:r>
    </w:p>
    <w:p w14:paraId="569AB170" w14:textId="5052438F" w:rsidR="004232C8" w:rsidRPr="004232C8" w:rsidRDefault="004232C8" w:rsidP="004232C8">
      <w:pPr>
        <w:pStyle w:val="EndNoteBibliography"/>
        <w:spacing w:after="0"/>
        <w:ind w:left="720" w:hanging="720"/>
      </w:pPr>
      <w:r w:rsidRPr="004232C8">
        <w:t xml:space="preserve">MacKerell, A. D., Bashford, D., Bellott, M., Dunbrack, R. L., Evanseck, J. D., Field, M. J., . . . Karplus, M. (1998). All-atom empirical potential for molecular modeling and dynamics studies of proteins. </w:t>
      </w:r>
      <w:r w:rsidRPr="004232C8">
        <w:rPr>
          <w:i/>
        </w:rPr>
        <w:t>J Phys Chem B</w:t>
      </w:r>
      <w:r w:rsidRPr="004232C8">
        <w:t>,</w:t>
      </w:r>
      <w:r w:rsidRPr="004232C8">
        <w:rPr>
          <w:i/>
        </w:rPr>
        <w:t xml:space="preserve"> 102</w:t>
      </w:r>
      <w:r w:rsidRPr="004232C8">
        <w:t xml:space="preserve">(18), 3586-3616. </w:t>
      </w:r>
      <w:hyperlink r:id="rId33" w:history="1">
        <w:r w:rsidRPr="004232C8">
          <w:rPr>
            <w:rStyle w:val="Hyperlink"/>
          </w:rPr>
          <w:t>https://doi.org/10.1021/jp973084f</w:t>
        </w:r>
      </w:hyperlink>
      <w:r w:rsidRPr="004232C8">
        <w:t xml:space="preserve"> </w:t>
      </w:r>
    </w:p>
    <w:p w14:paraId="417CCEB2" w14:textId="544AE03B" w:rsidR="004232C8" w:rsidRPr="004232C8" w:rsidRDefault="004232C8" w:rsidP="004232C8">
      <w:pPr>
        <w:pStyle w:val="EndNoteBibliography"/>
        <w:spacing w:after="0"/>
        <w:ind w:left="720" w:hanging="720"/>
      </w:pPr>
      <w:r w:rsidRPr="004232C8">
        <w:t xml:space="preserve">Mravic, M., Thomaston, J. L., Tucker, M., Solomon, P. E., Liu, L., &amp; DeGrado, W. F. (2019). Packing of apolar side chains enables accurate design of highly stable membrane proteins. </w:t>
      </w:r>
      <w:r w:rsidRPr="004232C8">
        <w:rPr>
          <w:i/>
        </w:rPr>
        <w:t>Science</w:t>
      </w:r>
      <w:r w:rsidRPr="004232C8">
        <w:t>,</w:t>
      </w:r>
      <w:r w:rsidRPr="004232C8">
        <w:rPr>
          <w:i/>
        </w:rPr>
        <w:t xml:space="preserve"> 363</w:t>
      </w:r>
      <w:r w:rsidRPr="004232C8">
        <w:t xml:space="preserve">(6434), 1418-1423. </w:t>
      </w:r>
      <w:hyperlink r:id="rId34" w:history="1">
        <w:r w:rsidRPr="004232C8">
          <w:rPr>
            <w:rStyle w:val="Hyperlink"/>
          </w:rPr>
          <w:t>https://doi.org/10.1126/science.aav7541</w:t>
        </w:r>
      </w:hyperlink>
      <w:r w:rsidRPr="004232C8">
        <w:t xml:space="preserve"> </w:t>
      </w:r>
    </w:p>
    <w:p w14:paraId="197EBB00" w14:textId="2DDCE20F" w:rsidR="004232C8" w:rsidRPr="004232C8" w:rsidRDefault="004232C8" w:rsidP="004232C8">
      <w:pPr>
        <w:pStyle w:val="EndNoteBibliography"/>
        <w:spacing w:after="0"/>
        <w:ind w:left="720" w:hanging="720"/>
      </w:pPr>
      <w:r w:rsidRPr="004232C8">
        <w:t xml:space="preserve">Nash, A., Notman, R., &amp; Dixon, A. M. (2015). De novo design of transmembrane helix-helix interactions and measurement of stability in a biological membrane. </w:t>
      </w:r>
      <w:r w:rsidRPr="004232C8">
        <w:rPr>
          <w:i/>
        </w:rPr>
        <w:t>Biochim Biophys Acta</w:t>
      </w:r>
      <w:r w:rsidRPr="004232C8">
        <w:t>,</w:t>
      </w:r>
      <w:r w:rsidRPr="004232C8">
        <w:rPr>
          <w:i/>
        </w:rPr>
        <w:t xml:space="preserve"> 1848</w:t>
      </w:r>
      <w:r w:rsidRPr="004232C8">
        <w:t xml:space="preserve">(5), 1248-1257. </w:t>
      </w:r>
      <w:hyperlink r:id="rId35" w:history="1">
        <w:r w:rsidRPr="004232C8">
          <w:rPr>
            <w:rStyle w:val="Hyperlink"/>
          </w:rPr>
          <w:t>https://doi.org/10.1016/j.bbamem.2015.02.020</w:t>
        </w:r>
      </w:hyperlink>
      <w:r w:rsidRPr="004232C8">
        <w:t xml:space="preserve"> </w:t>
      </w:r>
    </w:p>
    <w:p w14:paraId="5D82D82C" w14:textId="301F15C2" w:rsidR="004232C8" w:rsidRPr="004232C8" w:rsidRDefault="004232C8" w:rsidP="004232C8">
      <w:pPr>
        <w:pStyle w:val="EndNoteBibliography"/>
        <w:spacing w:after="0"/>
        <w:ind w:left="720" w:hanging="720"/>
      </w:pPr>
      <w:r w:rsidRPr="004232C8">
        <w:t xml:space="preserve">Popot, J. L., &amp; Engelman, D. M. (1990). Membrane protein folding and oligomerization: the two-stage model. </w:t>
      </w:r>
      <w:r w:rsidRPr="004232C8">
        <w:rPr>
          <w:i/>
        </w:rPr>
        <w:t>Biochemistry</w:t>
      </w:r>
      <w:r w:rsidRPr="004232C8">
        <w:t>,</w:t>
      </w:r>
      <w:r w:rsidRPr="004232C8">
        <w:rPr>
          <w:i/>
        </w:rPr>
        <w:t xml:space="preserve"> 29</w:t>
      </w:r>
      <w:r w:rsidRPr="004232C8">
        <w:t xml:space="preserve">(17), 4031-4037. </w:t>
      </w:r>
      <w:hyperlink r:id="rId36" w:history="1">
        <w:r w:rsidRPr="004232C8">
          <w:rPr>
            <w:rStyle w:val="Hyperlink"/>
          </w:rPr>
          <w:t>https://doi.org/10.1021/bi00469a001</w:t>
        </w:r>
      </w:hyperlink>
      <w:r w:rsidRPr="004232C8">
        <w:t xml:space="preserve"> </w:t>
      </w:r>
    </w:p>
    <w:p w14:paraId="16E8ECE3" w14:textId="46A583E1" w:rsidR="004232C8" w:rsidRPr="004232C8" w:rsidRDefault="004232C8" w:rsidP="004232C8">
      <w:pPr>
        <w:pStyle w:val="EndNoteBibliography"/>
        <w:spacing w:after="0"/>
        <w:ind w:left="720" w:hanging="720"/>
      </w:pPr>
      <w:r w:rsidRPr="004232C8">
        <w:t xml:space="preserve">Sanders, C. R., &amp; Myers, J. K. (2004). Disease-related misassembly of membrane proteins. </w:t>
      </w:r>
      <w:r w:rsidRPr="004232C8">
        <w:rPr>
          <w:i/>
        </w:rPr>
        <w:t>Annu Rev Biophys Biomol Struct</w:t>
      </w:r>
      <w:r w:rsidRPr="004232C8">
        <w:t>,</w:t>
      </w:r>
      <w:r w:rsidRPr="004232C8">
        <w:rPr>
          <w:i/>
        </w:rPr>
        <w:t xml:space="preserve"> 33</w:t>
      </w:r>
      <w:r w:rsidRPr="004232C8">
        <w:t xml:space="preserve">, 25-51. </w:t>
      </w:r>
      <w:hyperlink r:id="rId37" w:history="1">
        <w:r w:rsidRPr="004232C8">
          <w:rPr>
            <w:rStyle w:val="Hyperlink"/>
          </w:rPr>
          <w:t>https://doi.org/10.1146/annurev.biophys.33.110502.140348</w:t>
        </w:r>
      </w:hyperlink>
      <w:r w:rsidRPr="004232C8">
        <w:t xml:space="preserve"> </w:t>
      </w:r>
    </w:p>
    <w:p w14:paraId="7231590E" w14:textId="39C6C77C" w:rsidR="004232C8" w:rsidRPr="004232C8" w:rsidRDefault="004232C8" w:rsidP="004232C8">
      <w:pPr>
        <w:pStyle w:val="EndNoteBibliography"/>
        <w:spacing w:after="0"/>
        <w:ind w:left="720" w:hanging="720"/>
      </w:pPr>
      <w:r w:rsidRPr="004232C8">
        <w:t xml:space="preserve">Senes, A. (2011). Computational design of membrane proteins. </w:t>
      </w:r>
      <w:r w:rsidRPr="004232C8">
        <w:rPr>
          <w:i/>
        </w:rPr>
        <w:t>Curr Opin Struct Biol</w:t>
      </w:r>
      <w:r w:rsidRPr="004232C8">
        <w:t>,</w:t>
      </w:r>
      <w:r w:rsidRPr="004232C8">
        <w:rPr>
          <w:i/>
        </w:rPr>
        <w:t xml:space="preserve"> 21</w:t>
      </w:r>
      <w:r w:rsidRPr="004232C8">
        <w:t xml:space="preserve">(4), 460-466. </w:t>
      </w:r>
      <w:hyperlink r:id="rId38" w:history="1">
        <w:r w:rsidRPr="004232C8">
          <w:rPr>
            <w:rStyle w:val="Hyperlink"/>
          </w:rPr>
          <w:t>https://doi.org/10.1016/j.sbi.2011.06.004</w:t>
        </w:r>
      </w:hyperlink>
      <w:r w:rsidRPr="004232C8">
        <w:t xml:space="preserve"> </w:t>
      </w:r>
    </w:p>
    <w:p w14:paraId="1FB1D51A" w14:textId="567AA42A" w:rsidR="004232C8" w:rsidRPr="004232C8" w:rsidRDefault="004232C8" w:rsidP="004232C8">
      <w:pPr>
        <w:pStyle w:val="EndNoteBibliography"/>
        <w:spacing w:after="0"/>
        <w:ind w:left="720" w:hanging="720"/>
      </w:pPr>
      <w:r w:rsidRPr="004232C8">
        <w:lastRenderedPageBreak/>
        <w:t xml:space="preserve">Yano, Y., Takemoto, T., Kobayashi, S., Yasui, H., Sakurai, H., Ohashi, W., . . . Matsuzaki, K. (2002). Topological stability and self-association of a completely hydrophobic model transmembrane helix in lipid bilayers. </w:t>
      </w:r>
      <w:r w:rsidRPr="004232C8">
        <w:rPr>
          <w:i/>
        </w:rPr>
        <w:t>Biochemistry</w:t>
      </w:r>
      <w:r w:rsidRPr="004232C8">
        <w:t>,</w:t>
      </w:r>
      <w:r w:rsidRPr="004232C8">
        <w:rPr>
          <w:i/>
        </w:rPr>
        <w:t xml:space="preserve"> 41</w:t>
      </w:r>
      <w:r w:rsidRPr="004232C8">
        <w:t xml:space="preserve">(9), 3073-3080. </w:t>
      </w:r>
      <w:hyperlink r:id="rId39" w:history="1">
        <w:r w:rsidRPr="004232C8">
          <w:rPr>
            <w:rStyle w:val="Hyperlink"/>
          </w:rPr>
          <w:t>https://doi.org/10.1021/bi011161y</w:t>
        </w:r>
      </w:hyperlink>
      <w:r w:rsidRPr="004232C8">
        <w:t xml:space="preserve"> </w:t>
      </w:r>
    </w:p>
    <w:p w14:paraId="7EC2833D" w14:textId="72DA4B88" w:rsidR="004232C8" w:rsidRPr="004232C8" w:rsidRDefault="004232C8" w:rsidP="004232C8">
      <w:pPr>
        <w:pStyle w:val="EndNoteBibliography"/>
        <w:ind w:left="720" w:hanging="720"/>
      </w:pPr>
      <w:r w:rsidRPr="004232C8">
        <w:t xml:space="preserve">Zhou, F. X., Merianos, H. J., Brunger, A. T., &amp; Engelman, D. M. (2001). Polar residues drive association of polyleucine transmembrane helices. </w:t>
      </w:r>
      <w:r w:rsidRPr="004232C8">
        <w:rPr>
          <w:i/>
        </w:rPr>
        <w:t>Proc Natl Acad Sci U S A</w:t>
      </w:r>
      <w:r w:rsidRPr="004232C8">
        <w:t>,</w:t>
      </w:r>
      <w:r w:rsidRPr="004232C8">
        <w:rPr>
          <w:i/>
        </w:rPr>
        <w:t xml:space="preserve"> 98</w:t>
      </w:r>
      <w:r w:rsidRPr="004232C8">
        <w:t xml:space="preserve">(5), 2250-2255. </w:t>
      </w:r>
      <w:hyperlink r:id="rId40" w:history="1">
        <w:r w:rsidRPr="004232C8">
          <w:rPr>
            <w:rStyle w:val="Hyperlink"/>
          </w:rPr>
          <w:t>https://doi.org/10.1073/pnas.041593698</w:t>
        </w:r>
      </w:hyperlink>
      <w:r w:rsidRPr="004232C8">
        <w:t xml:space="preserve"> </w:t>
      </w:r>
    </w:p>
    <w:p w14:paraId="7703E8C1" w14:textId="0448FA99" w:rsidR="002F5687" w:rsidRDefault="00F43261">
      <w:pPr>
        <w:jc w:val="both"/>
      </w:pPr>
      <w:r>
        <w:fldChar w:fldCharType="end"/>
      </w:r>
    </w:p>
    <w:sectPr w:rsidR="002F5687" w:rsidSect="001B48D5">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charset w:val="00"/>
    <w:family w:val="auto"/>
    <w:pitch w:val="variable"/>
  </w:font>
  <w:font w:name="Liberation Sans">
    <w:altName w:val="Arial"/>
    <w:panose1 w:val="020B0604020202020204"/>
    <w:charset w:val="00"/>
    <w:family w:val="swiss"/>
    <w:pitch w:val="variable"/>
    <w:sig w:usb0="E0000AFF" w:usb1="500078FF" w:usb2="00000021" w:usb3="00000000" w:csb0="000001BF" w:csb1="00000000"/>
  </w:font>
  <w:font w:name="Noto Sans CJK SC">
    <w:charset w:val="00"/>
    <w:family w:val="roman"/>
    <w:pitch w:val="default"/>
  </w:font>
  <w:font w:name="Lohit Devanagari">
    <w:altName w:val="Cambria"/>
    <w:charset w:val="00"/>
    <w:family w:val="roman"/>
    <w:pitch w:val="default"/>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04F5D75"/>
    <w:multiLevelType w:val="hybridMultilevel"/>
    <w:tmpl w:val="EF7AA11A"/>
    <w:lvl w:ilvl="0" w:tplc="D32CB6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7A54810"/>
    <w:multiLevelType w:val="hybridMultilevel"/>
    <w:tmpl w:val="EE386DD6"/>
    <w:lvl w:ilvl="0" w:tplc="B3F0933C">
      <w:numFmt w:val="bullet"/>
      <w:lvlText w:val="-"/>
      <w:lvlJc w:val="left"/>
      <w:pPr>
        <w:ind w:left="720" w:hanging="360"/>
      </w:pPr>
      <w:rPr>
        <w:rFonts w:ascii="Calibri" w:eastAsia="Noto Serif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5"/>
  </w:num>
  <w:num w:numId="2" w16cid:durableId="490604065">
    <w:abstractNumId w:val="1"/>
  </w:num>
  <w:num w:numId="3" w16cid:durableId="537668925">
    <w:abstractNumId w:val="6"/>
  </w:num>
  <w:num w:numId="4" w16cid:durableId="1002195818">
    <w:abstractNumId w:val="3"/>
  </w:num>
  <w:num w:numId="5" w16cid:durableId="431390474">
    <w:abstractNumId w:val="8"/>
  </w:num>
  <w:num w:numId="6" w16cid:durableId="703404739">
    <w:abstractNumId w:val="7"/>
  </w:num>
  <w:num w:numId="7" w16cid:durableId="1986932259">
    <w:abstractNumId w:val="0"/>
  </w:num>
  <w:num w:numId="8" w16cid:durableId="525212239">
    <w:abstractNumId w:val="9"/>
  </w:num>
  <w:num w:numId="9" w16cid:durableId="1786849622">
    <w:abstractNumId w:val="10"/>
  </w:num>
  <w:num w:numId="10" w16cid:durableId="1021127027">
    <w:abstractNumId w:val="2"/>
  </w:num>
  <w:num w:numId="11" w16cid:durableId="10467605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82A1D"/>
    <w:rsid w:val="00022601"/>
    <w:rsid w:val="00022722"/>
    <w:rsid w:val="00036E06"/>
    <w:rsid w:val="000446A5"/>
    <w:rsid w:val="00076FBA"/>
    <w:rsid w:val="0009370F"/>
    <w:rsid w:val="000D03F1"/>
    <w:rsid w:val="000D07F3"/>
    <w:rsid w:val="00105287"/>
    <w:rsid w:val="00125775"/>
    <w:rsid w:val="0013200D"/>
    <w:rsid w:val="001742CF"/>
    <w:rsid w:val="00195BA6"/>
    <w:rsid w:val="001B48D5"/>
    <w:rsid w:val="001E1D02"/>
    <w:rsid w:val="00201299"/>
    <w:rsid w:val="00205DC7"/>
    <w:rsid w:val="00222044"/>
    <w:rsid w:val="00235DFD"/>
    <w:rsid w:val="0024010A"/>
    <w:rsid w:val="00290FED"/>
    <w:rsid w:val="002B3ED1"/>
    <w:rsid w:val="002B4F00"/>
    <w:rsid w:val="002B63C6"/>
    <w:rsid w:val="002B7D7D"/>
    <w:rsid w:val="002C3DC9"/>
    <w:rsid w:val="002F5687"/>
    <w:rsid w:val="00303C8B"/>
    <w:rsid w:val="00313ECB"/>
    <w:rsid w:val="00316929"/>
    <w:rsid w:val="003221F5"/>
    <w:rsid w:val="00342FB0"/>
    <w:rsid w:val="00375F6E"/>
    <w:rsid w:val="003D7D5D"/>
    <w:rsid w:val="003E04F0"/>
    <w:rsid w:val="00400C76"/>
    <w:rsid w:val="004232C8"/>
    <w:rsid w:val="00444AB4"/>
    <w:rsid w:val="00444AF6"/>
    <w:rsid w:val="00446D17"/>
    <w:rsid w:val="00451009"/>
    <w:rsid w:val="00467D55"/>
    <w:rsid w:val="004A03F0"/>
    <w:rsid w:val="004B6106"/>
    <w:rsid w:val="004D4288"/>
    <w:rsid w:val="004E5505"/>
    <w:rsid w:val="0053113A"/>
    <w:rsid w:val="00544713"/>
    <w:rsid w:val="005509C0"/>
    <w:rsid w:val="00577652"/>
    <w:rsid w:val="00577B05"/>
    <w:rsid w:val="00591C24"/>
    <w:rsid w:val="005B54F1"/>
    <w:rsid w:val="006018A9"/>
    <w:rsid w:val="006037CC"/>
    <w:rsid w:val="0066310A"/>
    <w:rsid w:val="00666135"/>
    <w:rsid w:val="006824B8"/>
    <w:rsid w:val="00682A1D"/>
    <w:rsid w:val="006A6841"/>
    <w:rsid w:val="006D1AF3"/>
    <w:rsid w:val="006D2839"/>
    <w:rsid w:val="006D3DDD"/>
    <w:rsid w:val="006E4A53"/>
    <w:rsid w:val="006E72D9"/>
    <w:rsid w:val="006E7FD6"/>
    <w:rsid w:val="006F381E"/>
    <w:rsid w:val="00702DFD"/>
    <w:rsid w:val="00726A91"/>
    <w:rsid w:val="007279BE"/>
    <w:rsid w:val="00746D6F"/>
    <w:rsid w:val="007554E6"/>
    <w:rsid w:val="007707C3"/>
    <w:rsid w:val="007A77DC"/>
    <w:rsid w:val="007C440C"/>
    <w:rsid w:val="007E7D47"/>
    <w:rsid w:val="007F721C"/>
    <w:rsid w:val="0080361C"/>
    <w:rsid w:val="00840B94"/>
    <w:rsid w:val="0085366E"/>
    <w:rsid w:val="0085783E"/>
    <w:rsid w:val="0086080D"/>
    <w:rsid w:val="008666B1"/>
    <w:rsid w:val="00875005"/>
    <w:rsid w:val="008B1163"/>
    <w:rsid w:val="008C3C60"/>
    <w:rsid w:val="008C4309"/>
    <w:rsid w:val="008D738E"/>
    <w:rsid w:val="009010DE"/>
    <w:rsid w:val="0093511B"/>
    <w:rsid w:val="00955604"/>
    <w:rsid w:val="009B18DC"/>
    <w:rsid w:val="009B2FD7"/>
    <w:rsid w:val="009C70D2"/>
    <w:rsid w:val="00A121A2"/>
    <w:rsid w:val="00A207B6"/>
    <w:rsid w:val="00A45AEF"/>
    <w:rsid w:val="00A45F58"/>
    <w:rsid w:val="00A56808"/>
    <w:rsid w:val="00A9570E"/>
    <w:rsid w:val="00AA1540"/>
    <w:rsid w:val="00AB07A9"/>
    <w:rsid w:val="00AB7226"/>
    <w:rsid w:val="00B32393"/>
    <w:rsid w:val="00B3487B"/>
    <w:rsid w:val="00B478FC"/>
    <w:rsid w:val="00BD0549"/>
    <w:rsid w:val="00BF67F9"/>
    <w:rsid w:val="00C02B36"/>
    <w:rsid w:val="00C22D36"/>
    <w:rsid w:val="00C23A95"/>
    <w:rsid w:val="00C247BF"/>
    <w:rsid w:val="00C4534B"/>
    <w:rsid w:val="00C55CE2"/>
    <w:rsid w:val="00CA1BB8"/>
    <w:rsid w:val="00CC07D0"/>
    <w:rsid w:val="00CF6100"/>
    <w:rsid w:val="00D0462B"/>
    <w:rsid w:val="00D058EF"/>
    <w:rsid w:val="00D22CE8"/>
    <w:rsid w:val="00D42987"/>
    <w:rsid w:val="00D77208"/>
    <w:rsid w:val="00D82B47"/>
    <w:rsid w:val="00D847BF"/>
    <w:rsid w:val="00DC3CB3"/>
    <w:rsid w:val="00DC521D"/>
    <w:rsid w:val="00DC6586"/>
    <w:rsid w:val="00DF0EF8"/>
    <w:rsid w:val="00E0094F"/>
    <w:rsid w:val="00E01E51"/>
    <w:rsid w:val="00E05E1A"/>
    <w:rsid w:val="00E1262F"/>
    <w:rsid w:val="00E530D3"/>
    <w:rsid w:val="00E82DB1"/>
    <w:rsid w:val="00EB5B2D"/>
    <w:rsid w:val="00F43261"/>
    <w:rsid w:val="00F6356F"/>
    <w:rsid w:val="00F648BC"/>
    <w:rsid w:val="00F732D9"/>
    <w:rsid w:val="00FD7A19"/>
    <w:rsid w:val="00FE01A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90FBFCA3-291A-493E-9D75-CB3E7EDD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link w:val="StandardChar"/>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 w:type="paragraph" w:customStyle="1" w:styleId="EndNoteBibliographyTitle">
    <w:name w:val="EndNote Bibliography Title"/>
    <w:basedOn w:val="Normal"/>
    <w:link w:val="EndNoteBibliographyTitleChar"/>
    <w:rsid w:val="00F43261"/>
    <w:pPr>
      <w:spacing w:after="0"/>
      <w:jc w:val="center"/>
    </w:pPr>
    <w:rPr>
      <w:rFonts w:ascii="Calibri" w:hAnsi="Calibri" w:cs="Calibri"/>
      <w:noProof/>
    </w:rPr>
  </w:style>
  <w:style w:type="character" w:customStyle="1" w:styleId="StandardChar">
    <w:name w:val="Standard Char"/>
    <w:basedOn w:val="DefaultParagraphFont"/>
    <w:link w:val="Standard"/>
    <w:rsid w:val="00F43261"/>
    <w:rPr>
      <w:rFonts w:ascii="Liberation Serif" w:eastAsia="Noto Serif CJK SC" w:hAnsi="Liberation Serif" w:cs="Lohit Devanagari"/>
      <w:sz w:val="24"/>
      <w:szCs w:val="24"/>
      <w:lang w:eastAsia="zh-CN" w:bidi="hi-IN"/>
    </w:rPr>
  </w:style>
  <w:style w:type="character" w:customStyle="1" w:styleId="EndNoteBibliographyTitleChar">
    <w:name w:val="EndNote Bibliography Title Char"/>
    <w:basedOn w:val="StandardChar"/>
    <w:link w:val="EndNoteBibliographyTitle"/>
    <w:rsid w:val="00F43261"/>
    <w:rPr>
      <w:rFonts w:ascii="Calibri" w:eastAsia="Noto Serif CJK SC" w:hAnsi="Calibri" w:cs="Calibri"/>
      <w:noProof/>
      <w:sz w:val="24"/>
      <w:szCs w:val="24"/>
      <w:lang w:eastAsia="zh-CN" w:bidi="hi-IN"/>
    </w:rPr>
  </w:style>
  <w:style w:type="paragraph" w:customStyle="1" w:styleId="EndNoteBibliography">
    <w:name w:val="EndNote Bibliography"/>
    <w:basedOn w:val="Normal"/>
    <w:link w:val="EndNoteBibliographyChar"/>
    <w:rsid w:val="00F43261"/>
    <w:pPr>
      <w:spacing w:line="240" w:lineRule="auto"/>
      <w:jc w:val="both"/>
    </w:pPr>
    <w:rPr>
      <w:rFonts w:ascii="Calibri" w:hAnsi="Calibri" w:cs="Calibri"/>
      <w:noProof/>
    </w:rPr>
  </w:style>
  <w:style w:type="character" w:customStyle="1" w:styleId="EndNoteBibliographyChar">
    <w:name w:val="EndNote Bibliography Char"/>
    <w:basedOn w:val="StandardChar"/>
    <w:link w:val="EndNoteBibliography"/>
    <w:rsid w:val="00F43261"/>
    <w:rPr>
      <w:rFonts w:ascii="Calibri" w:eastAsia="Noto Serif CJK SC" w:hAnsi="Calibri" w:cs="Calibri"/>
      <w:noProof/>
      <w:sz w:val="24"/>
      <w:szCs w:val="24"/>
      <w:lang w:eastAsia="zh-CN" w:bidi="hi-IN"/>
    </w:rPr>
  </w:style>
  <w:style w:type="character" w:styleId="Hyperlink">
    <w:name w:val="Hyperlink"/>
    <w:basedOn w:val="DefaultParagraphFont"/>
    <w:uiPriority w:val="99"/>
    <w:unhideWhenUsed/>
    <w:rsid w:val="00FE01AC"/>
    <w:rPr>
      <w:color w:val="0563C1" w:themeColor="hyperlink"/>
      <w:u w:val="single"/>
    </w:rPr>
  </w:style>
  <w:style w:type="character" w:styleId="UnresolvedMention">
    <w:name w:val="Unresolved Mention"/>
    <w:basedOn w:val="DefaultParagraphFont"/>
    <w:uiPriority w:val="99"/>
    <w:semiHidden/>
    <w:unhideWhenUsed/>
    <w:rsid w:val="00FE0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1016/j.bpj.2022.11.018" TargetMode="External"/><Relationship Id="rId26" Type="http://schemas.openxmlformats.org/officeDocument/2006/relationships/hyperlink" Target="https://doi.org/10.1021/bi7008773" TargetMode="External"/><Relationship Id="rId39" Type="http://schemas.openxmlformats.org/officeDocument/2006/relationships/hyperlink" Target="https://doi.org/10.1021/bi011161y" TargetMode="External"/><Relationship Id="rId21" Type="http://schemas.openxmlformats.org/officeDocument/2006/relationships/hyperlink" Target="https://doi.org/10.1006/jmbi.1997.1236" TargetMode="External"/><Relationship Id="rId34" Type="http://schemas.openxmlformats.org/officeDocument/2006/relationships/hyperlink" Target="https://doi.org/10.1126/science.aav7541"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oi.org/10.1021/jacs.7b07505" TargetMode="External"/><Relationship Id="rId20" Type="http://schemas.openxmlformats.org/officeDocument/2006/relationships/hyperlink" Target="https://doi.org/10.1016/j.jmb.2003.10.041" TargetMode="External"/><Relationship Id="rId29" Type="http://schemas.openxmlformats.org/officeDocument/2006/relationships/hyperlink" Target="https://doi.org/10.1002/jcc.2296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38/s41586-021-04383-5" TargetMode="External"/><Relationship Id="rId32" Type="http://schemas.openxmlformats.org/officeDocument/2006/relationships/hyperlink" Target="https://doi.org/10.1016/j.jmb.2016.09.005" TargetMode="External"/><Relationship Id="rId37" Type="http://schemas.openxmlformats.org/officeDocument/2006/relationships/hyperlink" Target="https://doi.org/10.1146/annurev.biophys.33.110502.140348" TargetMode="External"/><Relationship Id="rId40" Type="http://schemas.openxmlformats.org/officeDocument/2006/relationships/hyperlink" Target="https://doi.org/10.1073/pnas.04159369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16/j.abb.2014.07.031" TargetMode="External"/><Relationship Id="rId28" Type="http://schemas.openxmlformats.org/officeDocument/2006/relationships/hyperlink" Target="https://doi.org/10.1126/science.1089427" TargetMode="External"/><Relationship Id="rId36" Type="http://schemas.openxmlformats.org/officeDocument/2006/relationships/hyperlink" Target="https://doi.org/10.1021/bi00469a001" TargetMode="External"/><Relationship Id="rId10" Type="http://schemas.openxmlformats.org/officeDocument/2006/relationships/image" Target="media/image6.png"/><Relationship Id="rId19" Type="http://schemas.openxmlformats.org/officeDocument/2006/relationships/hyperlink" Target="https://doi.org/10.1002/pmic.200900258" TargetMode="External"/><Relationship Id="rId31" Type="http://schemas.openxmlformats.org/officeDocument/2006/relationships/hyperlink" Target="https://doi.org/10.1186/gb-2002-3-10-research005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46/annurev.genom.7.080505.115737" TargetMode="External"/><Relationship Id="rId27" Type="http://schemas.openxmlformats.org/officeDocument/2006/relationships/hyperlink" Target="https://doi.org/10.1002/prot.22488" TargetMode="External"/><Relationship Id="rId30" Type="http://schemas.openxmlformats.org/officeDocument/2006/relationships/hyperlink" Target="https://doi.org/10.1002/prot.10410" TargetMode="External"/><Relationship Id="rId35" Type="http://schemas.openxmlformats.org/officeDocument/2006/relationships/hyperlink" Target="https://doi.org/10.1016/j.bbamem.2015.02.020"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016/j.sbi.2008.07.001" TargetMode="External"/><Relationship Id="rId25" Type="http://schemas.openxmlformats.org/officeDocument/2006/relationships/hyperlink" Target="https://doi.org/10.1021/ja904711k" TargetMode="External"/><Relationship Id="rId33" Type="http://schemas.openxmlformats.org/officeDocument/2006/relationships/hyperlink" Target="https://doi.org/10.1021/jp973084f" TargetMode="External"/><Relationship Id="rId38" Type="http://schemas.openxmlformats.org/officeDocument/2006/relationships/hyperlink" Target="https://doi.org/10.1016/j.sbi.2011.06.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14</Pages>
  <Words>6385</Words>
  <Characters>36395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10</cp:revision>
  <dcterms:created xsi:type="dcterms:W3CDTF">2024-01-24T17:31:00Z</dcterms:created>
  <dcterms:modified xsi:type="dcterms:W3CDTF">2024-01-25T18:40:00Z</dcterms:modified>
  <dc:language>en-US</dc:language>
</cp:coreProperties>
</file>