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다음 회의(4/22) 떄까지 해야 할 일 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1. 논문 심도 있게 각자 분석 + 데이터 수집 범위 파악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- 데이터 수집 기간 -</w:t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2. Open API 함수 미리 만들기.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3. 크롤링 여부 확인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—--------------------------------------------------------------------------------------------------------------------------------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6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논문 분석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left="72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메인논문위주(주식)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15"/>
        </w:numPr>
        <w:spacing w:line="240" w:lineRule="auto"/>
        <w:ind w:left="144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분석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5"/>
        </w:numPr>
        <w:spacing w:line="240" w:lineRule="auto"/>
        <w:ind w:left="144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데이터수집(기본적분석/기술적분석) 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7"/>
        </w:numPr>
        <w:spacing w:line="240" w:lineRule="auto"/>
        <w:ind w:left="216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크롤링(네이버증권)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7"/>
        </w:numPr>
        <w:spacing w:line="240" w:lineRule="auto"/>
        <w:ind w:left="216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딥서치 </w:t>
      </w:r>
      <w:hyperlink r:id="rId6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0"/>
            <w:szCs w:val="20"/>
            <w:u w:val="single"/>
            <w:rtl w:val="0"/>
          </w:rPr>
          <w:t xml:space="preserve">관련 지표 검색 | 딥서치 (deepsearch.com)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7"/>
        </w:numPr>
        <w:spacing w:line="240" w:lineRule="auto"/>
        <w:ind w:left="216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FN스페이스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7"/>
        </w:numPr>
        <w:spacing w:line="240" w:lineRule="auto"/>
        <w:ind w:left="216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hyperlink r:id="rId7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0"/>
            <w:szCs w:val="20"/>
            <w:u w:val="single"/>
            <w:rtl w:val="0"/>
          </w:rPr>
          <w:t xml:space="preserve">통계 - KRX | 정보데이터시스템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</w:rPr>
        <w:drawing>
          <wp:inline distB="114300" distT="114300" distL="114300" distR="114300">
            <wp:extent cx="3709988" cy="5067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논문내용분석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기술적분석/기본적분석을 통한 주가포트폴리오 구성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기본적분석은 per, pbr,배당수익률등으로 구성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2"/>
        </w:numPr>
        <w:spacing w:line="240" w:lineRule="auto"/>
        <w:ind w:left="72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기술적분석은 이동평균선, obr(거래량), 볼린저밴드등으로 구성</w:t>
      </w:r>
    </w:p>
    <w:p w:rsidR="00000000" w:rsidDel="00000000" w:rsidP="00000000" w:rsidRDefault="00000000" w:rsidRPr="00000000" w14:paraId="00000019">
      <w:pPr>
        <w:widowControl w:val="0"/>
        <w:spacing w:line="240" w:lineRule="auto"/>
        <w:ind w:left="72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1"/>
        </w:numPr>
        <w:spacing w:line="240" w:lineRule="auto"/>
        <w:ind w:left="72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코스피 대외영향 : 고용률,실업률, 종업원수,연봉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1"/>
        </w:numPr>
        <w:spacing w:line="240" w:lineRule="auto"/>
        <w:ind w:left="72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거시경제지표 : 경제성장률대비 코스피 지수 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9"/>
        </w:numPr>
        <w:spacing w:line="240" w:lineRule="auto"/>
        <w:ind w:left="72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</w:rPr>
        <w:drawing>
          <wp:inline distB="114300" distT="114300" distL="114300" distR="114300">
            <wp:extent cx="5731200" cy="1358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ind w:left="72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ind w:left="72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시총대비 연봉 등 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9"/>
        </w:numPr>
        <w:spacing w:line="240" w:lineRule="auto"/>
        <w:ind w:left="72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9"/>
        </w:numPr>
        <w:spacing w:line="240" w:lineRule="auto"/>
        <w:ind w:left="72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데이터 수집사이트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6"/>
        </w:numPr>
        <w:spacing w:line="240" w:lineRule="auto"/>
        <w:ind w:left="72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기본적 분석은 1) 네이버 크롤링 2) 딥서치 등 사이트 활용하여 엑셀다운 3)dart oepn api사이트 활용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6"/>
        </w:numPr>
        <w:spacing w:line="240" w:lineRule="auto"/>
        <w:ind w:left="72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시계열분석사용</w:t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8"/>
        </w:numPr>
        <w:spacing w:line="240" w:lineRule="auto"/>
        <w:ind w:left="72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데이터 수집범위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1"/>
        </w:numPr>
        <w:spacing w:line="240" w:lineRule="auto"/>
        <w:ind w:left="144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주식 : IFRS 도입 후 2013년1분기 부터 ~2021년 4분기 까지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spacing w:line="240" w:lineRule="auto"/>
        <w:ind w:left="144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2022년 1분기 자료는 2022년 5월 15일까지 공시되므로 제외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spacing w:line="240" w:lineRule="auto"/>
        <w:ind w:left="144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KOSPI 전체 산업군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"/>
        </w:numPr>
        <w:spacing w:line="240" w:lineRule="auto"/>
        <w:ind w:left="144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거래량등 기술적 분석은 보조적지표로서 활용</w:t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144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*결측치 케이스</w:t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14"/>
        </w:numPr>
        <w:spacing w:line="240" w:lineRule="auto"/>
        <w:ind w:left="72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재고 존재 여부에 따라 재고자산분석율, 유동자산등의  결측치 존재 </w:t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72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재고있음 -&gt; 원가가 있음</w:t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72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재고없음 -&gt; 원가가 없음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72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해소방법 : 산업군별로 분석</w:t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72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단점 : 연결기준으로 보게 될 경우, 자회사 중 재고가 있는 회사 존재시 재고자산이 등장</w:t>
      </w:r>
    </w:p>
    <w:p w:rsidR="00000000" w:rsidDel="00000000" w:rsidP="00000000" w:rsidRDefault="00000000" w:rsidRPr="00000000" w14:paraId="00000031">
      <w:pPr>
        <w:widowControl w:val="0"/>
        <w:spacing w:line="240" w:lineRule="auto"/>
        <w:ind w:left="72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서비스업일경우 결측치 인정</w:t>
      </w:r>
    </w:p>
    <w:p w:rsidR="00000000" w:rsidDel="00000000" w:rsidP="00000000" w:rsidRDefault="00000000" w:rsidRPr="00000000" w14:paraId="00000032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40" w:lineRule="auto"/>
        <w:ind w:left="72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4"/>
        </w:numPr>
        <w:spacing w:line="240" w:lineRule="auto"/>
        <w:ind w:left="72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KOSPI산업군 기준일경우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3"/>
        </w:numPr>
        <w:spacing w:line="240" w:lineRule="auto"/>
        <w:ind w:left="144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주요 산업군이 변경/추가 될 경우 결측치가 발생하는 연도가 존재할 수 있음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3"/>
        </w:numPr>
        <w:spacing w:line="240" w:lineRule="auto"/>
        <w:ind w:left="144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결측치 인정, 새로운 산업군이 등장, 이경우 별도 분석</w:t>
      </w:r>
    </w:p>
    <w:p w:rsidR="00000000" w:rsidDel="00000000" w:rsidP="00000000" w:rsidRDefault="00000000" w:rsidRPr="00000000" w14:paraId="00000037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4"/>
        </w:numPr>
        <w:spacing w:line="240" w:lineRule="auto"/>
        <w:ind w:left="72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배당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4"/>
        </w:numPr>
        <w:spacing w:line="240" w:lineRule="auto"/>
        <w:ind w:left="144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배당지급여부에 따라 결측치 발생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4"/>
        </w:numPr>
        <w:spacing w:line="240" w:lineRule="auto"/>
        <w:ind w:left="144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이 경우 결측치는 인정</w:t>
      </w:r>
    </w:p>
    <w:p w:rsidR="00000000" w:rsidDel="00000000" w:rsidP="00000000" w:rsidRDefault="00000000" w:rsidRPr="00000000" w14:paraId="0000003B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4"/>
        </w:numPr>
        <w:spacing w:line="240" w:lineRule="auto"/>
        <w:ind w:left="72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산업군별비교일 경우</w:t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10"/>
        </w:numPr>
        <w:spacing w:line="240" w:lineRule="auto"/>
        <w:ind w:left="144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증권사에서 제공하는 업종은 “중복”된 “종목”이 있음 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0"/>
        </w:numPr>
        <w:spacing w:line="240" w:lineRule="auto"/>
        <w:ind w:left="144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예) 크라운제과- 제조업 and 음식료업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10"/>
        </w:numPr>
        <w:spacing w:line="240" w:lineRule="auto"/>
        <w:ind w:left="144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대안) 딥서치에서 분류한 산업군 사용해보기 </w:t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10"/>
        </w:numPr>
        <w:spacing w:line="240" w:lineRule="auto"/>
        <w:ind w:left="144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대안) 중복인정</w:t>
      </w:r>
    </w:p>
    <w:p w:rsidR="00000000" w:rsidDel="00000000" w:rsidP="00000000" w:rsidRDefault="00000000" w:rsidRPr="00000000" w14:paraId="00000041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43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</w:rPr>
        <w:drawing>
          <wp:inline distB="114300" distT="114300" distL="114300" distR="114300">
            <wp:extent cx="3886200" cy="3916214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16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</w:rPr>
        <w:drawing>
          <wp:inline distB="114300" distT="114300" distL="114300" distR="114300">
            <wp:extent cx="3914775" cy="366236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66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</w:rPr>
        <w:drawing>
          <wp:inline distB="114300" distT="114300" distL="114300" distR="114300">
            <wp:extent cx="4400550" cy="6134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240" w:lineRule="auto"/>
        <w:ind w:left="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투자자성향분석</w:t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13"/>
        </w:numPr>
        <w:spacing w:line="240" w:lineRule="auto"/>
        <w:ind w:left="72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방어적</w:t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13"/>
        </w:numPr>
        <w:spacing w:line="240" w:lineRule="auto"/>
        <w:ind w:left="72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공격적</w:t>
      </w:r>
    </w:p>
    <w:p w:rsidR="00000000" w:rsidDel="00000000" w:rsidP="00000000" w:rsidRDefault="00000000" w:rsidRPr="00000000" w14:paraId="0000005E">
      <w:pPr>
        <w:widowControl w:val="0"/>
        <w:spacing w:line="240" w:lineRule="auto"/>
        <w:ind w:left="720" w:firstLine="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12"/>
        </w:numPr>
        <w:spacing w:line="240" w:lineRule="auto"/>
        <w:ind w:left="144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방어적일경우</w:t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1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32" w:lineRule="auto"/>
        <w:ind w:left="1440" w:hanging="36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3"/>
          <w:szCs w:val="23"/>
          <w:rtl w:val="0"/>
        </w:rPr>
        <w:t xml:space="preserve">1. 기업의 충분한 규모</w:t>
      </w:r>
    </w:p>
    <w:p w:rsidR="00000000" w:rsidDel="00000000" w:rsidP="00000000" w:rsidRDefault="00000000" w:rsidRPr="00000000" w14:paraId="00000061">
      <w:pPr>
        <w:widowControl w:val="0"/>
        <w:numPr>
          <w:ilvl w:val="0"/>
          <w:numId w:val="1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32" w:lineRule="auto"/>
        <w:ind w:left="1440" w:hanging="36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3"/>
          <w:szCs w:val="23"/>
          <w:rtl w:val="0"/>
        </w:rPr>
        <w:t xml:space="preserve">2. 매우 건전한 재무상태</w:t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1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32" w:lineRule="auto"/>
        <w:ind w:left="1440" w:hanging="36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3"/>
          <w:szCs w:val="23"/>
          <w:rtl w:val="0"/>
        </w:rPr>
        <w:t xml:space="preserve">3. 최근 10년 동안 적자사례 없음</w:t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1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32" w:lineRule="auto"/>
        <w:ind w:left="1440" w:hanging="36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3"/>
          <w:szCs w:val="23"/>
          <w:rtl w:val="0"/>
        </w:rPr>
        <w:t xml:space="preserve">4. 최근 20년 이상 연속 배당지급 실적</w:t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1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32" w:lineRule="auto"/>
        <w:ind w:left="1440" w:hanging="36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3"/>
          <w:szCs w:val="23"/>
          <w:rtl w:val="0"/>
        </w:rPr>
        <w:t xml:space="preserve">5. EPS 10년 성장률이 33% 이상</w:t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1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32" w:lineRule="auto"/>
        <w:ind w:left="1440" w:hanging="36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3"/>
          <w:szCs w:val="23"/>
          <w:rtl w:val="0"/>
        </w:rPr>
        <w:t xml:space="preserve">6. PER 15 이하(최근 3년 평균 이익 기준).</w:t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1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32" w:lineRule="auto"/>
        <w:ind w:left="1440" w:hanging="36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3"/>
          <w:szCs w:val="23"/>
          <w:rtl w:val="0"/>
        </w:rPr>
        <w:t xml:space="preserve">7. PBR 1.5 이하</w:t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1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32" w:lineRule="auto"/>
        <w:ind w:left="1440" w:hanging="360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b w:val="1"/>
          <w:color w:val="333333"/>
          <w:sz w:val="23"/>
          <w:szCs w:val="23"/>
          <w:rtl w:val="0"/>
        </w:rPr>
        <w:t xml:space="preserve">​</w:t>
      </w:r>
    </w:p>
    <w:p w:rsidR="00000000" w:rsidDel="00000000" w:rsidP="00000000" w:rsidRDefault="00000000" w:rsidRPr="00000000" w14:paraId="00000068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32" w:lineRule="auto"/>
        <w:ind w:left="0" w:firstLine="0"/>
        <w:jc w:val="both"/>
        <w:rPr>
          <w:b w:val="1"/>
          <w:color w:val="333333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3"/>
          <w:szCs w:val="23"/>
          <w:rtl w:val="0"/>
        </w:rPr>
        <w:t xml:space="preserve">저 per, 저 pbr, 고성장추구 </w:t>
      </w:r>
    </w:p>
    <w:p w:rsidR="00000000" w:rsidDel="00000000" w:rsidP="00000000" w:rsidRDefault="00000000" w:rsidRPr="00000000" w14:paraId="00000069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32" w:lineRule="auto"/>
        <w:ind w:left="0" w:firstLine="0"/>
        <w:jc w:val="both"/>
        <w:rPr>
          <w:b w:val="1"/>
          <w:color w:val="333333"/>
          <w:sz w:val="23"/>
          <w:szCs w:val="23"/>
        </w:rPr>
      </w:pPr>
      <w:hyperlink r:id="rId13">
        <w:r w:rsidDel="00000000" w:rsidR="00000000" w:rsidRPr="00000000">
          <w:rPr>
            <w:b w:val="1"/>
            <w:color w:val="1155cc"/>
            <w:sz w:val="23"/>
            <w:szCs w:val="23"/>
            <w:u w:val="single"/>
            <w:rtl w:val="0"/>
          </w:rPr>
          <w:t xml:space="preserve">https://blog.naver.com/lover4908/221815141990</w:t>
        </w:r>
      </w:hyperlink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3"/>
          <w:szCs w:val="23"/>
          <w:rtl w:val="0"/>
        </w:rPr>
        <w:t xml:space="preserve"> 참고블로그</w:t>
      </w:r>
    </w:p>
    <w:p w:rsidR="00000000" w:rsidDel="00000000" w:rsidP="00000000" w:rsidRDefault="00000000" w:rsidRPr="00000000" w14:paraId="0000006A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32" w:lineRule="auto"/>
        <w:ind w:left="0" w:firstLine="0"/>
        <w:jc w:val="both"/>
        <w:rPr>
          <w:b w:val="1"/>
          <w:color w:val="333333"/>
          <w:sz w:val="23"/>
          <w:szCs w:val="23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33333"/>
          <w:sz w:val="23"/>
          <w:szCs w:val="23"/>
          <w:rtl w:val="0"/>
        </w:rPr>
        <w:t xml:space="preserve">예시) 벤자민그레이엄관련 </w:t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12"/>
        </w:numPr>
        <w:spacing w:line="240" w:lineRule="auto"/>
        <w:ind w:left="1440" w:hanging="360"/>
        <w:jc w:val="both"/>
        <w:rPr>
          <w:rFonts w:ascii="Calibri" w:cs="Calibri" w:eastAsia="Calibri" w:hAnsi="Calibri"/>
          <w:b w:val="1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</w:rPr>
        <w:drawing>
          <wp:inline distB="114300" distT="114300" distL="114300" distR="114300">
            <wp:extent cx="5491163" cy="1989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19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피터린치-저 per투자</w:t>
      </w:r>
    </w:p>
    <w:p w:rsidR="00000000" w:rsidDel="00000000" w:rsidP="00000000" w:rsidRDefault="00000000" w:rsidRPr="00000000" w14:paraId="0000006F">
      <w:pPr>
        <w:widowControl w:val="0"/>
        <w:spacing w:line="240" w:lineRule="auto"/>
        <w:jc w:val="both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rtl w:val="0"/>
        </w:rPr>
        <w:t xml:space="preserve">주가수익률</w:t>
      </w:r>
    </w:p>
    <w:p w:rsidR="00000000" w:rsidDel="00000000" w:rsidP="00000000" w:rsidRDefault="00000000" w:rsidRPr="00000000" w14:paraId="00000070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주가를 주당순이익(EPS)으로 나눈 값(per)</w:t>
      </w:r>
    </w:p>
    <w:p w:rsidR="00000000" w:rsidDel="00000000" w:rsidP="00000000" w:rsidRDefault="00000000" w:rsidRPr="00000000" w14:paraId="00000071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-&gt;순이익을 기준으로 하기 때문에 적자기업은 평가못함</w:t>
      </w:r>
    </w:p>
    <w:p w:rsidR="00000000" w:rsidDel="00000000" w:rsidP="00000000" w:rsidRDefault="00000000" w:rsidRPr="00000000" w14:paraId="00000072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주식수익률</w:t>
      </w:r>
    </w:p>
    <w:p w:rsidR="00000000" w:rsidDel="00000000" w:rsidP="00000000" w:rsidRDefault="00000000" w:rsidRPr="00000000" w14:paraId="00000074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-&gt; (매도금액-매수금액-제비용)/ 주식수</w:t>
      </w:r>
    </w:p>
    <w:p w:rsidR="00000000" w:rsidDel="00000000" w:rsidP="00000000" w:rsidRDefault="00000000" w:rsidRPr="00000000" w14:paraId="00000075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4/27 수익률공부</w:t>
      </w:r>
    </w:p>
    <w:p w:rsidR="00000000" w:rsidDel="00000000" w:rsidP="00000000" w:rsidRDefault="00000000" w:rsidRPr="00000000" w14:paraId="0000007D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1.시가총액가중방식  </w:t>
      </w:r>
    </w:p>
    <w:p w:rsidR="00000000" w:rsidDel="00000000" w:rsidP="00000000" w:rsidRDefault="00000000" w:rsidRPr="00000000" w14:paraId="0000007F">
      <w:pPr>
        <w:widowControl w:val="0"/>
        <w:spacing w:line="240" w:lineRule="auto"/>
        <w:jc w:val="both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jc w:val="both"/>
        <w:rPr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0"/>
          <w:szCs w:val="20"/>
          <w:highlight w:val="white"/>
          <w:rtl w:val="0"/>
        </w:rPr>
        <w:t xml:space="preserve">= 시가총액 가중이란 각 기업의 시가총액, 즉 시장가치에 비례해 비중을 두는 방식.</w:t>
      </w:r>
    </w:p>
    <w:p w:rsidR="00000000" w:rsidDel="00000000" w:rsidP="00000000" w:rsidRDefault="00000000" w:rsidRPr="00000000" w14:paraId="00000081">
      <w:pPr>
        <w:widowControl w:val="0"/>
        <w:spacing w:line="240" w:lineRule="auto"/>
        <w:jc w:val="both"/>
        <w:rPr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0"/>
          <w:szCs w:val="20"/>
          <w:highlight w:val="white"/>
          <w:rtl w:val="0"/>
        </w:rPr>
        <w:t xml:space="preserve">S&amp;P 500, NASDAQ, KOSPI 등 대부분의 지수가 이러한 방식을 채택함. </w:t>
      </w:r>
    </w:p>
    <w:p w:rsidR="00000000" w:rsidDel="00000000" w:rsidP="00000000" w:rsidRDefault="00000000" w:rsidRPr="00000000" w14:paraId="00000082">
      <w:pPr>
        <w:widowControl w:val="0"/>
        <w:spacing w:line="240" w:lineRule="auto"/>
        <w:jc w:val="both"/>
        <w:rPr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0"/>
          <w:szCs w:val="20"/>
          <w:highlight w:val="white"/>
          <w:rtl w:val="0"/>
        </w:rPr>
        <w:t xml:space="preserve">똑같은 수익률의 변화가 일어났어도 시가총액이 많은 주식이 더 많이 지수에 영향을 줌</w:t>
      </w:r>
    </w:p>
    <w:p w:rsidR="00000000" w:rsidDel="00000000" w:rsidP="00000000" w:rsidRDefault="00000000" w:rsidRPr="00000000" w14:paraId="00000083">
      <w:pPr>
        <w:widowControl w:val="0"/>
        <w:spacing w:line="240" w:lineRule="auto"/>
        <w:jc w:val="both"/>
        <w:rPr>
          <w:color w:val="333333"/>
          <w:sz w:val="20"/>
          <w:szCs w:val="20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0"/>
          <w:szCs w:val="20"/>
          <w:highlight w:val="white"/>
          <w:rtl w:val="0"/>
        </w:rPr>
        <w:t xml:space="preserve">S&amp;P 500의 경우 500개 주식 모두를 시총 비중에 비례한 포트폴리오 수익률과 같음.</w:t>
      </w:r>
    </w:p>
    <w:p w:rsidR="00000000" w:rsidDel="00000000" w:rsidP="00000000" w:rsidRDefault="00000000" w:rsidRPr="00000000" w14:paraId="00000084">
      <w:pPr>
        <w:widowControl w:val="0"/>
        <w:spacing w:line="240" w:lineRule="auto"/>
        <w:jc w:val="both"/>
        <w:rPr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2.동일가중방식</w:t>
      </w:r>
    </w:p>
    <w:p w:rsidR="00000000" w:rsidDel="00000000" w:rsidP="00000000" w:rsidRDefault="00000000" w:rsidRPr="00000000" w14:paraId="00000086">
      <w:pPr>
        <w:widowControl w:val="0"/>
        <w:spacing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= 모든 포트폴리오의 비중을 같게 같은 금액을 투자함.</w:t>
      </w:r>
    </w:p>
    <w:p w:rsidR="00000000" w:rsidDel="00000000" w:rsidP="00000000" w:rsidRDefault="00000000" w:rsidRPr="00000000" w14:paraId="00000087">
      <w:pPr>
        <w:widowControl w:val="0"/>
        <w:spacing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= 중소형주의 움직임을 잘 반영할 수 있음</w:t>
      </w:r>
    </w:p>
    <w:p w:rsidR="00000000" w:rsidDel="00000000" w:rsidP="00000000" w:rsidRDefault="00000000" w:rsidRPr="00000000" w14:paraId="00000088">
      <w:pPr>
        <w:widowControl w:val="0"/>
        <w:spacing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= 차별화장세 (대형주장세) 수익율 낮음</w:t>
      </w:r>
    </w:p>
    <w:p w:rsidR="00000000" w:rsidDel="00000000" w:rsidP="00000000" w:rsidRDefault="00000000" w:rsidRPr="00000000" w14:paraId="00000089">
      <w:pPr>
        <w:widowControl w:val="0"/>
        <w:spacing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= 폭락장 수익율낮음(리먼브라더스 사태등) 시총이 가볍기 때문에 낙폭이 큼</w:t>
      </w:r>
    </w:p>
    <w:p w:rsidR="00000000" w:rsidDel="00000000" w:rsidP="00000000" w:rsidRDefault="00000000" w:rsidRPr="00000000" w14:paraId="0000008A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3.누적초과수익률</w:t>
      </w:r>
    </w:p>
    <w:p w:rsidR="00000000" w:rsidDel="00000000" w:rsidP="00000000" w:rsidRDefault="00000000" w:rsidRPr="00000000" w14:paraId="0000008C">
      <w:pPr>
        <w:widowControl w:val="0"/>
        <w:spacing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=</w:t>
      </w:r>
      <w:r w:rsidDel="00000000" w:rsidR="00000000" w:rsidRPr="00000000">
        <w:rPr>
          <w:rFonts w:ascii="Malgun Gothic" w:cs="Malgun Gothic" w:eastAsia="Malgun Gothic" w:hAnsi="Malgun Gothic"/>
          <w:color w:val="333333"/>
          <w:sz w:val="21"/>
          <w:szCs w:val="21"/>
          <w:highlight w:val="white"/>
          <w:rtl w:val="0"/>
        </w:rPr>
        <w:t xml:space="preserve">특정기간 CAR은 그 기간 동안 시장모형(market model)을 이용해서 실증 분석한 증권수익률의 평균잔차(average residuals)의 합을 말한다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4.동일가중조정수익률</w:t>
      </w:r>
    </w:p>
    <w:p w:rsidR="00000000" w:rsidDel="00000000" w:rsidP="00000000" w:rsidRDefault="00000000" w:rsidRPr="00000000" w14:paraId="0000008F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28067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5.규모조정수익률(SAR: Size Adjusted Returns)</w:t>
      </w:r>
    </w:p>
    <w:p w:rsidR="00000000" w:rsidDel="00000000" w:rsidP="00000000" w:rsidRDefault="00000000" w:rsidRPr="00000000" w14:paraId="00000093">
      <w:pPr>
        <w:widowControl w:val="0"/>
        <w:spacing w:line="240" w:lineRule="auto"/>
        <w:jc w:val="both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= CAPM 및 효율적 자본시 장에 대한 연구 중에는 기업규모효과를 고려한 경우가 많이 있다. 즉, 소기업 주식에 대한 위험조정수익률은 대기업에 비해 더 높다는 것이다. 따라서 소기업을 대상으로 초과수익률을 구하게 되면 이러한 기업규모 효 과로 인하여 별다른 사건이 발생하지 않은 경우에도 양의 초과수익률을 얻게 될 수 있다. 이러한 기업규모 효과를 고려하여 초과수익률을 구하는 방법이 규모조정수익률인데, 규모조정수익률 모형에서 초과수익률은 해당 주식의 수익률에서 해당 주식이 속한 기업규모 포트폴리오의 수익률을 차감하여 산출한다. 본 연구에 서는 시가총액기준 10분위수로 집단을 나눈 후, 개별기업 주식수익률에서 개별기업이 속한 집단의 평균 수 익률을 차감하여 계산한다.</w:t>
      </w:r>
    </w:p>
    <w:p w:rsidR="00000000" w:rsidDel="00000000" w:rsidP="00000000" w:rsidRDefault="00000000" w:rsidRPr="00000000" w14:paraId="00000094">
      <w:pPr>
        <w:widowControl w:val="0"/>
        <w:spacing w:line="240" w:lineRule="auto"/>
        <w:jc w:val="both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3022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jc w:val="both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jc w:val="both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jc w:val="both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생산성과 매개변수를 함께 분석한 3단계에서 주가수익률(SAR)과 매개변수들은 유의한 정(+)의 관계가 있는 반면, 매개변수가 없을 때 유의한 정(+)의 관계가 있었던 생산성 변수들은 모두 유의하지 않았다. </w:t>
      </w:r>
    </w:p>
    <w:p w:rsidR="00000000" w:rsidDel="00000000" w:rsidP="00000000" w:rsidRDefault="00000000" w:rsidRPr="00000000" w14:paraId="00000098">
      <w:pPr>
        <w:widowControl w:val="0"/>
        <w:spacing w:line="240" w:lineRule="auto"/>
        <w:jc w:val="both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따라서 이러한 결과는 생산성 변수들과 주가수익률과의 관계는 수익성과 활동성이라는 매개효과를 통해서 나타난다 는 가설 H1을 지지하는 결과이다. 추가적으로 매개효과는 완전매개와 부분매개로 구분할 수 있는데, 만약 생산성이 유의하면서 매개변수도 유의했으면 부분매개이다. 하지만 본 연구의 결과는 생산성이 유의하지 않고 매개변수들만 주가수익률과 유 의한 관계를 가지고 있기 때문에 완전매개효과로 나타났다. 생산성과 주가수익률과의 관계는 매개효과를 통해서 나타난다는 것과, 완전매개효과라는 본 연구의 결과 들은 생산성과 주가(혹은 주가수익률)의 관계가 있다는 선행연구와 없다는 선행연구들이 혼재된 이유를 설 명해 줄 수 있다. 만약 생산성과 주가의 관계를 분석하면서 매개변수들을 고려하지 않을수록 생산성과 주가 의 관계가 유의하게 나타났을 것으로 예상되며, 수익성 및 활동성 관련 매개변수들을 많이 고려할수록 생산 성과 주가와의 관계가 유의하지 않았을 것으로 유추 할 수 있다. 따라서 본 연구의 결과는 생산성과 주가수익률과의 혼재된 관계에 대한 한 가지 이유를 설명함으로써 생산성의 정보효과 등의 연구에 공헌한다고 판 단된다</w:t>
      </w:r>
    </w:p>
    <w:p w:rsidR="00000000" w:rsidDel="00000000" w:rsidP="00000000" w:rsidRDefault="00000000" w:rsidRPr="00000000" w14:paraId="00000099">
      <w:pPr>
        <w:widowControl w:val="0"/>
        <w:spacing w:line="240" w:lineRule="auto"/>
        <w:jc w:val="both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jc w:val="both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http://koreascience.kr/article/JAKO202012461863304.pdf</w:t>
      </w:r>
    </w:p>
    <w:p w:rsidR="00000000" w:rsidDel="00000000" w:rsidP="00000000" w:rsidRDefault="00000000" w:rsidRPr="00000000" w14:paraId="0000009B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재무제표 요소 기반 종목선정 </w:t>
      </w:r>
    </w:p>
    <w:p w:rsidR="00000000" w:rsidDel="00000000" w:rsidP="00000000" w:rsidRDefault="00000000" w:rsidRPr="00000000" w14:paraId="000000A9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벤자민 그레이엄, 워렌버핏, 피터린치 제외</w:t>
      </w:r>
    </w:p>
    <w:p w:rsidR="00000000" w:rsidDel="00000000" w:rsidP="00000000" w:rsidRDefault="00000000" w:rsidRPr="00000000" w14:paraId="000000AA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재무비율 요소 로 선정할수있는 것들</w:t>
      </w:r>
    </w:p>
    <w:p w:rsidR="00000000" w:rsidDel="00000000" w:rsidP="00000000" w:rsidRDefault="00000000" w:rsidRPr="00000000" w14:paraId="000000AE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629275" cy="2287042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287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365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유보율 : 기업이 얼마나 많은 자금을 보유하고 있는가 , 자금량 측정지표</w:t>
      </w:r>
    </w:p>
    <w:p w:rsidR="00000000" w:rsidDel="00000000" w:rsidP="00000000" w:rsidRDefault="00000000" w:rsidRPr="00000000" w14:paraId="000000B6">
      <w:pPr>
        <w:widowControl w:val="0"/>
        <w:spacing w:line="24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재무비율 기반 종목선정방식 알아오시면 될것 같습니다</w:t>
      </w:r>
    </w:p>
    <w:p w:rsidR="00000000" w:rsidDel="00000000" w:rsidP="00000000" w:rsidRDefault="00000000" w:rsidRPr="00000000" w14:paraId="000000BB">
      <w:pPr>
        <w:widowControl w:val="0"/>
        <w:numPr>
          <w:ilvl w:val="0"/>
          <w:numId w:val="5"/>
        </w:numPr>
        <w:spacing w:line="240" w:lineRule="auto"/>
        <w:ind w:left="720" w:hanging="360"/>
        <w:jc w:val="both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highlight w:val="white"/>
          <w:rtl w:val="0"/>
        </w:rPr>
        <w:t xml:space="preserve">수익성/성장성/안정성/활동성/유보율 등 </w:t>
      </w:r>
    </w:p>
    <w:p w:rsidR="00000000" w:rsidDel="00000000" w:rsidP="00000000" w:rsidRDefault="00000000" w:rsidRPr="00000000" w14:paraId="000000BC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734050" cy="4395788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9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</w:rPr>
        <w:drawing>
          <wp:inline distB="114300" distT="114300" distL="114300" distR="114300">
            <wp:extent cx="5734050" cy="51196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1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4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Arial Unicode MS"/>
  <w:font w:name="Malgun Gothic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hyperlink" Target="https://blog.naver.com/lover4908/221815141990" TargetMode="External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hyperlink" Target="https://www.deepsearch.com/analytics/economic-indicator?pageView=0" TargetMode="External"/><Relationship Id="rId18" Type="http://schemas.openxmlformats.org/officeDocument/2006/relationships/image" Target="media/image6.png"/><Relationship Id="rId7" Type="http://schemas.openxmlformats.org/officeDocument/2006/relationships/hyperlink" Target="http://data.krx.co.kr/contents/MDC/MDI/mdiLoader/index.cmd?menuId=MDC0201020102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