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SCD and Traceability Reference</w:t>
      </w:r>
    </w:p>
    <w:p/>
    <w:p>
      <w:r>
        <w:t>Reference for which dimensions are SCD (Slowly Changing Dimension) and which fact table columns are traceable to dimensions.</w:t>
      </w:r>
    </w:p>
    <w:p/>
    <w:p>
      <w:r>
        <w:t>---</w:t>
      </w:r>
    </w:p>
    <w:p/>
    <w:p>
      <w:pPr>
        <w:pStyle w:val="Heading2"/>
      </w:pPr>
      <w:r>
        <w:t>1. Dimension types</w:t>
      </w:r>
    </w:p>
    <w:p/>
    <w:p>
      <w:pPr>
        <w:pStyle w:val="Heading3"/>
      </w:pPr>
      <w:r>
        <w:t>SCD Type 2 dimensions (history kept)</w:t>
      </w:r>
    </w:p>
    <w:p/>
    <w:p>
      <w:r>
        <w:t xml:space="preserve">These dimensions keep full history: multiple rows per business key with </w:t>
      </w:r>
      <w:r>
        <w:rPr>
          <w:b/>
        </w:rPr>
        <w:t>EFF_DATE</w:t>
      </w:r>
      <w:r>
        <w:t xml:space="preserve">, </w:t>
      </w:r>
      <w:r>
        <w:rPr>
          <w:b/>
        </w:rPr>
        <w:t>END_DATE</w:t>
      </w:r>
      <w:r>
        <w:t xml:space="preserve">, </w:t>
      </w:r>
      <w:r>
        <w:rPr>
          <w:b/>
        </w:rPr>
        <w:t>CRE_DATE</w:t>
      </w:r>
      <w:r>
        <w:t xml:space="preserve">, </w:t>
      </w:r>
      <w:r>
        <w:rPr>
          <w:b/>
        </w:rPr>
        <w:t>UDT_DATE</w:t>
      </w:r>
      <w:r>
        <w:t xml:space="preserve">, </w:t>
      </w:r>
      <w:r>
        <w:rPr>
          <w:b/>
        </w:rPr>
        <w:t>CURR_IND</w:t>
      </w:r>
      <w:r>
        <w:t xml:space="preserve">. Use the fact’s event date (e.g. </w:t>
      </w:r>
      <w:r>
        <w:rPr>
          <w:b/>
        </w:rPr>
        <w:t>EFFECTIVE_DATE_SK</w:t>
      </w:r>
      <w:r>
        <w:t>) when joining to get the correct historical row.</w:t>
      </w:r>
    </w:p>
    <w:p/>
    <w:p>
      <w:r>
        <w:t>| Dimension table | Business key column(s) | SCD2 columns |</w:t>
      </w:r>
    </w:p>
    <w:p>
      <w:r>
        <w:t>|-----------------|------------------------|--------------|</w:t>
      </w:r>
    </w:p>
    <w:p>
      <w:r>
        <w:t xml:space="preserve">| </w:t>
      </w:r>
      <w:r>
        <w:rPr>
          <w:b/>
        </w:rPr>
        <w:t>D_ACCOUNT</w:t>
      </w:r>
      <w:r>
        <w:t xml:space="preserve"> | ACCOUNT_ID | EFF_DATE, END_DATE, CRE_DATE, UDT_DATE, CURR_IND |</w:t>
      </w:r>
    </w:p>
    <w:p>
      <w:r>
        <w:t xml:space="preserve">| </w:t>
      </w:r>
      <w:r>
        <w:rPr>
          <w:b/>
        </w:rPr>
        <w:t>D_BUSINESS_OFFERING</w:t>
      </w:r>
      <w:r>
        <w:t xml:space="preserve"> | BUSINESS_OFFERING_ID | EFF_DATE, END_DATE, CRE_DATE, UDT_DATE, CURR_IND |</w:t>
      </w:r>
    </w:p>
    <w:p>
      <w:r>
        <w:t xml:space="preserve">| </w:t>
      </w:r>
      <w:r>
        <w:rPr>
          <w:b/>
        </w:rPr>
        <w:t>D_COMPANY</w:t>
      </w:r>
      <w:r>
        <w:t xml:space="preserve"> | COMPANY_ID | EFF_DATE, END_DATE, CRE_DATE, UDT_DATE, CURR_IND |</w:t>
      </w:r>
    </w:p>
    <w:p>
      <w:r>
        <w:t xml:space="preserve">| </w:t>
      </w:r>
      <w:r>
        <w:rPr>
          <w:b/>
        </w:rPr>
        <w:t>D_COST_CENTER</w:t>
      </w:r>
      <w:r>
        <w:t xml:space="preserve"> | COST_CENTER_ID | EFF_DATE, END_DATE, CRE_DATE, UDT_DATE, CURR_IND |</w:t>
      </w:r>
    </w:p>
    <w:p>
      <w:r>
        <w:t xml:space="preserve">| </w:t>
      </w:r>
      <w:r>
        <w:rPr>
          <w:b/>
        </w:rPr>
        <w:t>D_INDUSTRY</w:t>
      </w:r>
      <w:r>
        <w:t xml:space="preserve"> | INDUSTRY_ID | EFF_DATE, END_DATE, CRE_DATE, UDT_DATE, CURR_IND |</w:t>
      </w:r>
    </w:p>
    <w:p>
      <w:r>
        <w:t xml:space="preserve">| </w:t>
      </w:r>
      <w:r>
        <w:rPr>
          <w:b/>
        </w:rPr>
        <w:t>D_INTERCOMPANY</w:t>
      </w:r>
      <w:r>
        <w:t xml:space="preserve"> | INTERCOMPANY_ID | EFF_DATE, END_DATE, CRE_DATE, UDT_DATE, CURR_IND |</w:t>
      </w:r>
    </w:p>
    <w:p>
      <w:r>
        <w:t xml:space="preserve">| </w:t>
      </w:r>
      <w:r>
        <w:rPr>
          <w:b/>
        </w:rPr>
        <w:t>D_BUSINESS_UNIT</w:t>
      </w:r>
      <w:r>
        <w:t xml:space="preserve"> | BUSINESS_UNIT_ID | EFF_DATE, END_DATE, CRE_DATE, UDT_DATE, CURR_IND |</w:t>
      </w:r>
    </w:p>
    <w:p>
      <w:r>
        <w:t xml:space="preserve">| </w:t>
      </w:r>
      <w:r>
        <w:rPr>
          <w:b/>
        </w:rPr>
        <w:t>D_CUSTOMER_ACCOUNT</w:t>
      </w:r>
      <w:r>
        <w:t xml:space="preserve"> | CUSTOMER_ACCOUNT_ID | EFF_DATE, END_DATE, CRE_DATE, UDT_DATE, CURR_IND |</w:t>
      </w:r>
    </w:p>
    <w:p>
      <w:r>
        <w:t xml:space="preserve">| </w:t>
      </w:r>
      <w:r>
        <w:rPr>
          <w:b/>
        </w:rPr>
        <w:t>D_CUSTOMER_ACCOUNT_SITE</w:t>
      </w:r>
      <w:r>
        <w:t xml:space="preserve"> | (composite) | EFF_DATE, END_DATE, CRE_DATE, UDT_DATE, CURR_IND |</w:t>
      </w:r>
    </w:p>
    <w:p>
      <w:r>
        <w:t xml:space="preserve">| </w:t>
      </w:r>
      <w:r>
        <w:rPr>
          <w:b/>
        </w:rPr>
        <w:t>D_ITEM</w:t>
      </w:r>
      <w:r>
        <w:t xml:space="preserve"> | ITEM_ID | EFF_DATE, END_DATE, CRE_DATE, UDT_DATE, CURR_IND |</w:t>
      </w:r>
    </w:p>
    <w:p>
      <w:r>
        <w:t xml:space="preserve">| </w:t>
      </w:r>
      <w:r>
        <w:rPr>
          <w:b/>
        </w:rPr>
        <w:t>D_LEDGER</w:t>
      </w:r>
      <w:r>
        <w:t xml:space="preserve"> | LEDGER_ID | EFF_DATE, END_DATE, CRE_DATE, UDT_DATE, CURR_IND |</w:t>
      </w:r>
    </w:p>
    <w:p>
      <w:r>
        <w:t xml:space="preserve">| </w:t>
      </w:r>
      <w:r>
        <w:rPr>
          <w:b/>
        </w:rPr>
        <w:t>D_LEGAL_ENTITY</w:t>
      </w:r>
      <w:r>
        <w:t xml:space="preserve"> | LEGAL_ENTITY_ID | EFF_DATE, END_DATE, CRE_DATE, UDT_DATE, CURR_IND |</w:t>
      </w:r>
    </w:p>
    <w:p>
      <w:r>
        <w:t xml:space="preserve">| </w:t>
      </w:r>
      <w:r>
        <w:rPr>
          <w:b/>
        </w:rPr>
        <w:t>D_ORGANIZATION</w:t>
      </w:r>
      <w:r>
        <w:t xml:space="preserve"> | ORGANIZATION_ID | EFF_DATE, END_DATE, CRE_DATE, UDT_DATE, CURR_IND |</w:t>
      </w:r>
    </w:p>
    <w:p>
      <w:r>
        <w:t xml:space="preserve">| </w:t>
      </w:r>
      <w:r>
        <w:rPr>
          <w:b/>
        </w:rPr>
        <w:t>D_PARTY</w:t>
      </w:r>
      <w:r>
        <w:t xml:space="preserve"> | PARTY_ID | EFF_DATE, END_DATE, CRE_DATE, UDT_DATE, CURR_IND |</w:t>
      </w:r>
    </w:p>
    <w:p>
      <w:r>
        <w:t xml:space="preserve">| </w:t>
      </w:r>
      <w:r>
        <w:rPr>
          <w:b/>
        </w:rPr>
        <w:t>D_PARTY_CONTACT_POINT</w:t>
      </w:r>
      <w:r>
        <w:t xml:space="preserve"> | (composite) | EFF_DATE, END_DATE, CRE_DATE, UDT_DATE, CURR_IND |</w:t>
      </w:r>
    </w:p>
    <w:p>
      <w:r>
        <w:t xml:space="preserve">| </w:t>
      </w:r>
      <w:r>
        <w:rPr>
          <w:b/>
        </w:rPr>
        <w:t>D_PARTY_SITE</w:t>
      </w:r>
      <w:r>
        <w:t xml:space="preserve"> | (composite) | EFF_DATE, END_DATE, CRE_DATE, UDT_DATE, CURR_IND |</w:t>
      </w:r>
    </w:p>
    <w:p>
      <w:r>
        <w:t xml:space="preserve">| </w:t>
      </w:r>
      <w:r>
        <w:rPr>
          <w:b/>
        </w:rPr>
        <w:t>D_PAYMENT_METHOD</w:t>
      </w:r>
      <w:r>
        <w:t xml:space="preserve"> | PAYMENT_METHOD_ID | EFF_DATE, END_DATE, CRE_DATE, UDT_DATE, CURR_IND |</w:t>
      </w:r>
    </w:p>
    <w:p>
      <w:r>
        <w:t xml:space="preserve">| </w:t>
      </w:r>
      <w:r>
        <w:rPr>
          <w:b/>
        </w:rPr>
        <w:t>D_PAYMENT_TERM</w:t>
      </w:r>
      <w:r>
        <w:t xml:space="preserve"> | PAYMENT_TERM_ID | EFF_DATE, END_DATE, CRE_DATE, UDT_DATE, CURR_IND |</w:t>
      </w:r>
    </w:p>
    <w:p>
      <w:r>
        <w:t xml:space="preserve">| </w:t>
      </w:r>
      <w:r>
        <w:rPr>
          <w:b/>
        </w:rPr>
        <w:t>D_SITE_USE</w:t>
      </w:r>
      <w:r>
        <w:t xml:space="preserve"> | (composite) | EFF_DATE, END_DATE, CRE_DATE, UDT_DATE, CURR_IND |</w:t>
      </w:r>
    </w:p>
    <w:p>
      <w:r>
        <w:t xml:space="preserve">| </w:t>
      </w:r>
      <w:r>
        <w:rPr>
          <w:b/>
        </w:rPr>
        <w:t>D_VENDOR</w:t>
      </w:r>
      <w:r>
        <w:t xml:space="preserve"> | VENDOR_ID | EFF_DATE, END_DATE, CRE_DATE, UDT_DATE, CURR_IND |</w:t>
      </w:r>
    </w:p>
    <w:p>
      <w:r>
        <w:t xml:space="preserve">| </w:t>
      </w:r>
      <w:r>
        <w:rPr>
          <w:b/>
        </w:rPr>
        <w:t>D_VENDOR_SITE</w:t>
      </w:r>
      <w:r>
        <w:t xml:space="preserve"> | (composite) | EFF_DATE, END_DATE, CRE_DATE, UDT_DATE, CURR_IND |</w:t>
      </w:r>
    </w:p>
    <w:p>
      <w:r>
        <w:t xml:space="preserve">| </w:t>
      </w:r>
      <w:r>
        <w:rPr>
          <w:b/>
        </w:rPr>
        <w:t>D_GL_HEADER</w:t>
      </w:r>
      <w:r>
        <w:t xml:space="preserve"> | JE_HEADER_ID | EFF_DATE, END_DATE, CRE_DATE, UDT_DATE, CURR_IND |</w:t>
      </w:r>
    </w:p>
    <w:p/>
    <w:p>
      <w:pPr>
        <w:pStyle w:val="Heading3"/>
      </w:pPr>
      <w:r>
        <w:t>Type 1 / lookup (no history, or single current row)</w:t>
      </w:r>
    </w:p>
    <w:p/>
    <w:p>
      <w:r>
        <w:t>| Table | Type | Notes |</w:t>
      </w:r>
    </w:p>
    <w:p>
      <w:r>
        <w:t>|-------|------|--------|</w:t>
      </w:r>
    </w:p>
    <w:p>
      <w:r>
        <w:t xml:space="preserve">| </w:t>
      </w:r>
      <w:r>
        <w:rPr>
          <w:b/>
        </w:rPr>
        <w:t>LINES_CODE_COMBO_LOOKUP</w:t>
      </w:r>
      <w:r>
        <w:t xml:space="preserve"> | Type 1 lookup | Lookup for code combination → segment IDs; no SCD columns. |</w:t>
      </w:r>
    </w:p>
    <w:p>
      <w:r>
        <w:t xml:space="preserve">| </w:t>
      </w:r>
      <w:r>
        <w:rPr>
          <w:b/>
        </w:rPr>
        <w:t>D_CALENDAR</w:t>
      </w:r>
      <w:r>
        <w:t xml:space="preserve"> | Type 1 | Fiscal period dimension; DATE_SK is unique. |</w:t>
      </w:r>
    </w:p>
    <w:p>
      <w:r>
        <w:t xml:space="preserve">| </w:t>
      </w:r>
      <w:r>
        <w:rPr>
          <w:b/>
        </w:rPr>
        <w:t>D_CURRENCY</w:t>
      </w:r>
      <w:r>
        <w:t xml:space="preserve"> | Type 1 | Composite BK (CURRENCY_CODE_FROM, CURRENCY_CODE_TO, CURRENCY_CONV_DATE). |</w:t>
      </w:r>
    </w:p>
    <w:p>
      <w:r>
        <w:t xml:space="preserve">| </w:t>
      </w:r>
      <w:r>
        <w:rPr>
          <w:b/>
        </w:rPr>
        <w:t>D_AP_DISBURSEMENT_HEADER</w:t>
      </w:r>
      <w:r>
        <w:t xml:space="preserve"> | Type 1 | No SCD2 columns. |</w:t>
      </w:r>
    </w:p>
    <w:p>
      <w:r>
        <w:t xml:space="preserve">| </w:t>
      </w:r>
      <w:r>
        <w:rPr>
          <w:b/>
        </w:rPr>
        <w:t>D_AP_INVOICE_HEADER</w:t>
      </w:r>
      <w:r>
        <w:t xml:space="preserve"> | Type 1 | No SCD2 columns. |</w:t>
      </w:r>
    </w:p>
    <w:p/>
    <w:p>
      <w:r>
        <w:t>---</w:t>
      </w:r>
    </w:p>
    <w:p/>
    <w:p>
      <w:pPr>
        <w:pStyle w:val="Heading2"/>
      </w:pPr>
      <w:r>
        <w:t>2. Standard SCD2 columns (traceability / history)</w:t>
      </w:r>
    </w:p>
    <w:p/>
    <w:p>
      <w:r>
        <w:t>All SCD2 dimensions use the same set of columns for versioning:</w:t>
      </w:r>
    </w:p>
    <w:p/>
    <w:p>
      <w:r>
        <w:t>| Column | Type | Meaning |</w:t>
      </w:r>
    </w:p>
    <w:p>
      <w:r>
        <w:t>|--------|------|--------|</w:t>
      </w:r>
    </w:p>
    <w:p>
      <w:r>
        <w:t xml:space="preserve">| </w:t>
      </w:r>
      <w:r>
        <w:rPr>
          <w:b/>
        </w:rPr>
        <w:t>EFF_DATE</w:t>
      </w:r>
      <w:r>
        <w:t xml:space="preserve"> | DATE | Row effective start (inclusive). |</w:t>
      </w:r>
    </w:p>
    <w:p>
      <w:r>
        <w:t xml:space="preserve">| </w:t>
      </w:r>
      <w:r>
        <w:rPr>
          <w:b/>
        </w:rPr>
        <w:t>END_DATE</w:t>
      </w:r>
      <w:r>
        <w:t xml:space="preserve"> | DATE | Row effective end (inclusive); usually </w:t>
      </w:r>
      <w:r>
        <w:rPr>
          <w:rFonts w:ascii="Courier New" w:hAnsi="Courier New"/>
          <w:sz w:val="20"/>
        </w:rPr>
        <w:t>9999-12-31</w:t>
      </w:r>
      <w:r>
        <w:t xml:space="preserve"> for current. |</w:t>
      </w:r>
    </w:p>
    <w:p>
      <w:r>
        <w:t xml:space="preserve">| </w:t>
      </w:r>
      <w:r>
        <w:rPr>
          <w:b/>
        </w:rPr>
        <w:t>CRE_DATE</w:t>
      </w:r>
      <w:r>
        <w:t xml:space="preserve"> | DATETIME2(0) | When the row was inserted. |</w:t>
      </w:r>
    </w:p>
    <w:p>
      <w:r>
        <w:t xml:space="preserve">| </w:t>
      </w:r>
      <w:r>
        <w:rPr>
          <w:b/>
        </w:rPr>
        <w:t>UDT_DATE</w:t>
      </w:r>
      <w:r>
        <w:t xml:space="preserve"> | DATETIME2(0) | When the row was last updated. |</w:t>
      </w:r>
    </w:p>
    <w:p>
      <w:r>
        <w:t xml:space="preserve">| </w:t>
      </w:r>
      <w:r>
        <w:rPr>
          <w:b/>
        </w:rPr>
        <w:t>CURR_IND</w:t>
      </w:r>
      <w:r>
        <w:t xml:space="preserve"> | CHAR(1) | </w:t>
      </w:r>
      <w:r>
        <w:rPr>
          <w:rFonts w:ascii="Courier New" w:hAnsi="Courier New"/>
          <w:sz w:val="20"/>
        </w:rPr>
        <w:t>'Y'</w:t>
      </w:r>
      <w:r>
        <w:t xml:space="preserve"> = current row for that business key; </w:t>
      </w:r>
      <w:r>
        <w:rPr>
          <w:rFonts w:ascii="Courier New" w:hAnsi="Courier New"/>
          <w:sz w:val="20"/>
        </w:rPr>
        <w:t>'N'</w:t>
      </w:r>
      <w:r>
        <w:t xml:space="preserve"> = superseded. |</w:t>
      </w:r>
    </w:p>
    <w:p/>
    <w:p>
      <w:r>
        <w:rPr>
          <w:b/>
        </w:rPr>
        <w:t>Point-in-time join</w:t>
      </w:r>
      <w:r>
        <w:t xml:space="preserve"> (e.g. for reporting as-of a date):</w:t>
      </w:r>
    </w:p>
    <w:p/>
    <w:p>
      <w:pPr>
        <w:pStyle w:val="ListBullet"/>
      </w:pPr>
      <w:r>
        <w:t xml:space="preserve">Join dimension on </w:t>
      </w:r>
      <w:r>
        <w:rPr>
          <w:b/>
        </w:rPr>
        <w:t>business key</w:t>
      </w:r>
      <w:r>
        <w:t xml:space="preserve"> and</w:t>
      </w:r>
    </w:p>
    <w:p>
      <w:r>
        <w:t xml:space="preserve">  </w:t>
      </w:r>
      <w:r>
        <w:rPr>
          <w:rFonts w:ascii="Courier New" w:hAnsi="Courier New"/>
          <w:sz w:val="20"/>
        </w:rPr>
        <w:t>fact_event_date &gt;= D.EFF_DATE AND fact_event_date &lt;= D.END_DATE</w:t>
      </w:r>
    </w:p>
    <w:p>
      <w:r>
        <w:t xml:space="preserve">  (or use </w:t>
      </w:r>
      <w:r>
        <w:rPr>
          <w:b/>
        </w:rPr>
        <w:t>CURR_IND = 'Y'</w:t>
      </w:r>
      <w:r>
        <w:t xml:space="preserve"> when you only want “current” and not historical).</w:t>
      </w:r>
    </w:p>
    <w:p/>
    <w:p>
      <w:r>
        <w:t>---</w:t>
      </w:r>
    </w:p>
    <w:p/>
    <w:p>
      <w:pPr>
        <w:pStyle w:val="Heading2"/>
      </w:pPr>
      <w:r>
        <w:t>3. Traceable columns (fact → dimension)</w:t>
      </w:r>
    </w:p>
    <w:p/>
    <w:p>
      <w:r>
        <w:rPr>
          <w:b/>
        </w:rPr>
        <w:t>Traceable</w:t>
      </w:r>
      <w:r>
        <w:t xml:space="preserve"> here means: fact table columns that are foreign keys (surrogate keys, </w:t>
      </w:r>
      <w:r>
        <w:rPr>
          <w:rFonts w:ascii="Courier New" w:hAnsi="Courier New"/>
          <w:sz w:val="20"/>
        </w:rPr>
        <w:t>*_SK</w:t>
      </w:r>
      <w:r>
        <w:t>) to dimension tables. For SCD2 dimensions, full traceability implies resolving the SK using the fact’s event date so the correct dimension version is used.</w:t>
      </w:r>
    </w:p>
    <w:p/>
    <w:p>
      <w:pPr>
        <w:pStyle w:val="Heading3"/>
      </w:pPr>
      <w:r>
        <w:t>F_GL_LINES</w:t>
      </w:r>
    </w:p>
    <w:p/>
    <w:p>
      <w:r>
        <w:t>| Fact column | Dimension | Dimension type | Notes |</w:t>
      </w:r>
    </w:p>
    <w:p>
      <w:r>
        <w:t>|-------------|-----------|----------------|--------|</w:t>
      </w:r>
    </w:p>
    <w:p>
      <w:r>
        <w:t>| GL_HEADER_SK | D_GL_HEADER | SCD2 | Traceable; join on JE_HEADER_ID. For history, join with effect date. |</w:t>
      </w:r>
    </w:p>
    <w:p>
      <w:r>
        <w:t>| ACCOUNT_SK | D_ACCOUNT | SCD2 | Traceable via LINES_CODE_COMBO_LOOKUP → ACCOUNT_ID. |</w:t>
      </w:r>
    </w:p>
    <w:p>
      <w:r>
        <w:t>| BUSINESS_OFFERING_SK | D_BUSINESS_OFFERING | SCD2 | Traceable via lookup. |</w:t>
      </w:r>
    </w:p>
    <w:p>
      <w:r>
        <w:t>| COMPANY_SK | D_COMPANY | SCD2 | Traceable via lookup. |</w:t>
      </w:r>
    </w:p>
    <w:p>
      <w:r>
        <w:t>| COST_CENTER_SK | D_COST_CENTER | SCD2 | Traceable via lookup. |</w:t>
      </w:r>
    </w:p>
    <w:p>
      <w:r>
        <w:t>| CURRENCY_SK | D_CURRENCY | Type 1 | Traceable (composite BK). |</w:t>
      </w:r>
    </w:p>
    <w:p>
      <w:r>
        <w:t>| INDUSTRY_SK | D_INDUSTRY | SCD2 | Traceable via lookup. |</w:t>
      </w:r>
    </w:p>
    <w:p>
      <w:r>
        <w:t>| INTERCOMPANY_SK | D_INTERCOMPANY | SCD2 | Traceable via lookup. |</w:t>
      </w:r>
    </w:p>
    <w:p>
      <w:r>
        <w:t xml:space="preserve">| </w:t>
      </w:r>
      <w:r>
        <w:rPr>
          <w:b/>
        </w:rPr>
        <w:t>EFFECTIVE_DATE_SK</w:t>
      </w:r>
      <w:r>
        <w:t xml:space="preserve"> | D_CALENDAR | Type 1 | Event date for the line; use for point-in-time SCD2 joins. |</w:t>
      </w:r>
    </w:p>
    <w:p>
      <w:r>
        <w:t>| LEDGER_SK | D_LEDGER | SCD2 | Traceable. |</w:t>
      </w:r>
    </w:p>
    <w:p>
      <w:r>
        <w:t>| CODE_COMBINATION_ID | (source) | — | Source natural key; used to drive lookup, not a dimension SK. |</w:t>
      </w:r>
    </w:p>
    <w:p/>
    <w:p>
      <w:r>
        <w:t xml:space="preserve">Load procedure </w:t>
      </w:r>
      <w:r>
        <w:rPr>
          <w:rFonts w:ascii="Courier New" w:hAnsi="Courier New"/>
          <w:sz w:val="20"/>
        </w:rPr>
        <w:t>usp_Load_F_GL_LINES</w:t>
      </w:r>
      <w:r>
        <w:t xml:space="preserve"> currently joins to D_ACCOUNT, D_BUSINESS_OFFERING, D_COMPANY, D_COST_CENTER, D_INDUSTRY, D_INTERCOMPANY, D_LEDGER on </w:t>
      </w:r>
      <w:r>
        <w:rPr>
          <w:b/>
        </w:rPr>
        <w:t>business key only</w:t>
      </w:r>
      <w:r>
        <w:t xml:space="preserve"> (no EFF_DATE/END_DATE filter). If a dimension has multiple SCD2 rows per BK, the resolved SK may be non-deterministic. For strict point-in-time traceability, the load (or a separate view) should resolve SKs using the line’s </w:t>
      </w:r>
      <w:r>
        <w:rPr>
          <w:b/>
        </w:rPr>
        <w:t>EFFECTIVE_DATE_SK</w:t>
      </w:r>
      <w:r>
        <w:t xml:space="preserve"> (e.g. join where line date is between EFF_DATE and END_DATE).</w:t>
      </w:r>
    </w:p>
    <w:p/>
    <w:p>
      <w:pPr>
        <w:pStyle w:val="Heading3"/>
      </w:pPr>
      <w:r>
        <w:t>F_GL_BALANCES</w:t>
      </w:r>
    </w:p>
    <w:p/>
    <w:p>
      <w:r>
        <w:t>| Fact column | Dimension | Dimension type |</w:t>
      </w:r>
    </w:p>
    <w:p>
      <w:r>
        <w:t>|-------------|-----------|----------------|</w:t>
      </w:r>
    </w:p>
    <w:p>
      <w:r>
        <w:t>| ACCOUNT_SK | D_ACCOUNT | SCD2 |</w:t>
      </w:r>
    </w:p>
    <w:p>
      <w:r>
        <w:t>| BUSINESS_OFFERING_SK | D_BUSINESS_OFFERING | SCD2 |</w:t>
      </w:r>
    </w:p>
    <w:p>
      <w:r>
        <w:t>| COMPANY_SK | D_COMPANY | SCD2 |</w:t>
      </w:r>
    </w:p>
    <w:p>
      <w:r>
        <w:t>| COST_CENTER_SK | D_COST_CENTER | SCD2 |</w:t>
      </w:r>
    </w:p>
    <w:p>
      <w:r>
        <w:t>| INDUSTRY_SK | D_INDUSTRY | SCD2 |</w:t>
      </w:r>
    </w:p>
    <w:p>
      <w:r>
        <w:t>| INTERCOMPANY_SK | D_INTERCOMPANY | SCD2 |</w:t>
      </w:r>
    </w:p>
    <w:p>
      <w:r>
        <w:t>| LEDGER_SK | D_LEDGER | SCD2 |</w:t>
      </w:r>
    </w:p>
    <w:p>
      <w:r>
        <w:t>| BALANCE_DATE_SK | D_CALENDAR | Type 1 |</w:t>
      </w:r>
    </w:p>
    <w:p/>
    <w:p>
      <w:pPr>
        <w:pStyle w:val="Heading3"/>
      </w:pPr>
      <w:r>
        <w:t>F_AP_AGING_SNAPSHOT</w:t>
      </w:r>
    </w:p>
    <w:p/>
    <w:p>
      <w:r>
        <w:t>| Fact column | Dimension | Dimension type |</w:t>
      </w:r>
    </w:p>
    <w:p>
      <w:r>
        <w:t>|-------------|-----------|----------------|</w:t>
      </w:r>
    </w:p>
    <w:p>
      <w:r>
        <w:t>| SNAPSHOT_DATE_SK | D_CALENDAR | Type 1 |</w:t>
      </w:r>
    </w:p>
    <w:p>
      <w:r>
        <w:t>| AP_INVOICE_HEADER_SK | D_AP_INVOICE_HEADER | Type 1 |</w:t>
      </w:r>
    </w:p>
    <w:p>
      <w:r>
        <w:t>| ACCOUNT_SK | D_ACCOUNT | SCD2 |</w:t>
      </w:r>
    </w:p>
    <w:p>
      <w:r>
        <w:t>| BUSINESS_OFFERING_SK | D_BUSINESS_OFFERING | SCD2 |</w:t>
      </w:r>
    </w:p>
    <w:p>
      <w:r>
        <w:t>| COMPANY_SK | D_COMPANY | SCD2 |</w:t>
      </w:r>
    </w:p>
    <w:p>
      <w:r>
        <w:t>| COST_CENTER_SK | D_COST_CENTER | SCD2 |</w:t>
      </w:r>
    </w:p>
    <w:p>
      <w:r>
        <w:t>| INDUSTRY_SK | D_INDUSTRY | SCD2 |</w:t>
      </w:r>
    </w:p>
    <w:p>
      <w:r>
        <w:t>| INTERCOMPANY_SK | D_INTERCOMPANY | SCD2 |</w:t>
      </w:r>
    </w:p>
    <w:p>
      <w:r>
        <w:t>| LEGAL_ENTITY_SK | D_LEGAL_ENTITY | SCD2 |</w:t>
      </w:r>
    </w:p>
    <w:p>
      <w:r>
        <w:t>| BUSINESS_UNIT_SK | D_BUSINESS_UNIT | SCD2 |</w:t>
      </w:r>
    </w:p>
    <w:p>
      <w:r>
        <w:t>| VENDOR_SITE_SK | D_VENDOR_SITE | SCD2 |</w:t>
      </w:r>
    </w:p>
    <w:p>
      <w:r>
        <w:t>| LEDGER_SK | D_LEDGER | SCD2 |</w:t>
      </w:r>
    </w:p>
    <w:p>
      <w:r>
        <w:t>| INV_CURRENCY_SK, PAY_CURRENCY_SK | D_CURRENCY | Type 1 |</w:t>
      </w:r>
    </w:p>
    <w:p>
      <w:r>
        <w:t>| DUE_DATE_SK, ACCOUNTING_DATE_SK | D_CALENDAR | Type 1 |</w:t>
      </w:r>
    </w:p>
    <w:p/>
    <w:p>
      <w:pPr>
        <w:pStyle w:val="Heading3"/>
      </w:pPr>
      <w:r>
        <w:t>F_AP_INVOICE_LINE_DISTRIBUTION</w:t>
      </w:r>
    </w:p>
    <w:p/>
    <w:p>
      <w:r>
        <w:t>Account, Business Offering, Company, Cost Center, Industry, Intercompany, Legal Entity, Business Unit, Vendor Site, Ledger (all SCD2 where applicable); DIST_ACCOUNTING_DATE_SK, LINE_ACCOUNTING_DATE_SK → D_CALENDAR (Type 1).</w:t>
      </w:r>
    </w:p>
    <w:p/>
    <w:p>
      <w:pPr>
        <w:pStyle w:val="Heading3"/>
      </w:pPr>
      <w:r>
        <w:t>F_AP_PAYMENTS</w:t>
      </w:r>
    </w:p>
    <w:p/>
    <w:p>
      <w:r>
        <w:t>Uses AP header, calendar, and other dimension SKs as per DDL; same SCD/Type 1 classification as above.</w:t>
      </w:r>
    </w:p>
    <w:p/>
    <w:p>
      <w:pPr>
        <w:pStyle w:val="Heading3"/>
      </w:pPr>
      <w:r>
        <w:t>F_OS_BUDGET</w:t>
      </w:r>
    </w:p>
    <w:p/>
    <w:p>
      <w:r>
        <w:t>| Fact column | Dimension | Dimension type |</w:t>
      </w:r>
    </w:p>
    <w:p>
      <w:r>
        <w:t>|-------------|-----------|----------------|</w:t>
      </w:r>
    </w:p>
    <w:p>
      <w:r>
        <w:t>| COMPANY_SK | D_COMPANY | SCD2 |</w:t>
      </w:r>
    </w:p>
    <w:p>
      <w:r>
        <w:t>| BUSINESS_OFFERING_SK | D_BUSINESS_OFFERING | SCD2 |</w:t>
      </w:r>
    </w:p>
    <w:p>
      <w:r>
        <w:t>| COST_CENTER_SK | D_COST_CENTER | SCD2 |</w:t>
      </w:r>
    </w:p>
    <w:p/>
    <w:p>
      <w:r>
        <w:t>(No date dimension in table; PERIOD_YYYYMM is a degenerate dimension.)</w:t>
      </w:r>
    </w:p>
    <w:p/>
    <w:p>
      <w:r>
        <w:t>---</w:t>
      </w:r>
    </w:p>
    <w:p/>
    <w:p>
      <w:pPr>
        <w:pStyle w:val="Heading2"/>
      </w:pPr>
      <w:r>
        <w:t>4. Summary</w:t>
      </w:r>
    </w:p>
    <w:p/>
    <w:p>
      <w:pPr>
        <w:pStyle w:val="ListBullet"/>
      </w:pPr>
      <w:r>
        <w:rPr>
          <w:b/>
        </w:rPr>
        <w:t>SCD2 dimensions (22):</w:t>
      </w:r>
      <w:r>
        <w:t xml:space="preserve"> D_ACCOUNT, D_BUSINESS_OFFERING, D_COMPANY, D_COST_CENTER, D_INDUSTRY, D_INTERCOMPANY, D_BUSINESS_UNIT, D_CUSTOMER_ACCOUNT, D_CUSTOMER_ACCOUNT_SITE, D_ITEM, D_LEDGER, D_LEGAL_ENTITY, D_ORGANIZATION, D_PARTY, D_PARTY_CONTACT_POINT, D_PARTY_SITE, D_PAYMENT_METHOD, D_PAYMENT_TERM, D_SITE_USE, D_VENDOR, D_VENDOR_SITE, D_GL_HEADER.</w:t>
      </w:r>
    </w:p>
    <w:p>
      <w:r>
        <w:t xml:space="preserve">  All have </w:t>
      </w:r>
      <w:r>
        <w:rPr>
          <w:b/>
        </w:rPr>
        <w:t>EFF_DATE, END_DATE, CRE_DATE, UDT_DATE, CURR_IND</w:t>
      </w:r>
      <w:r>
        <w:t>.</w:t>
      </w:r>
    </w:p>
    <w:p/>
    <w:p>
      <w:pPr>
        <w:pStyle w:val="ListBullet"/>
      </w:pPr>
      <w:r>
        <w:rPr>
          <w:b/>
        </w:rPr>
        <w:t>Type 1 / lookup:</w:t>
      </w:r>
      <w:r>
        <w:t xml:space="preserve"> LINES_CODE_COMBO_LOOKUP, D_CALENDAR, D_CURRENCY, D_AP_DISBURSEMENT_HEADER, D_AP_INVOICE_HEADER.</w:t>
      </w:r>
    </w:p>
    <w:p/>
    <w:p>
      <w:pPr>
        <w:pStyle w:val="ListBullet"/>
      </w:pPr>
      <w:r>
        <w:rPr>
          <w:b/>
        </w:rPr>
        <w:t>Traceable columns:</w:t>
      </w:r>
      <w:r>
        <w:t xml:space="preserve"> Every fact table </w:t>
      </w:r>
      <w:r>
        <w:rPr>
          <w:rFonts w:ascii="Courier New" w:hAnsi="Courier New"/>
          <w:sz w:val="20"/>
        </w:rPr>
        <w:t>*_SK</w:t>
      </w:r>
      <w:r>
        <w:t xml:space="preserve"> (and CODE_COMBINATION_ID where used) that references a dimension is traceable to that dimension. For SCD2, use the fact’s event date (e.g. EFFECTIVE_DATE_SK, BALANCE_DATE_SK, ACCOUNTING_DATE_SK) when joining so the correct historical dimension row is used.</w:t>
      </w:r>
    </w:p>
    <w:p/>
    <w:p>
      <w:r>
        <w:t xml:space="preserve">Source: </w:t>
      </w:r>
      <w:r>
        <w:rPr>
          <w:rFonts w:ascii="Courier New" w:hAnsi="Courier New"/>
          <w:sz w:val="20"/>
        </w:rPr>
        <w:t>Lamar_Index/Create_Tables_DDL.sql</w:t>
      </w:r>
      <w:r>
        <w:t xml:space="preserve">, </w:t>
      </w:r>
      <w:r>
        <w:rPr>
          <w:rFonts w:ascii="Courier New" w:hAnsi="Courier New"/>
          <w:sz w:val="20"/>
        </w:rPr>
        <w:t>Lamar_Procedures/03_GL/20_usp_Load_F_GL_LINES.sql</w:t>
      </w:r>
      <w:r>
        <w:t>, and related load procedures.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