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검토 의견서: 단계별 산출물 용역계약의 수익인식 시기와 진행률 측정방법</w:t>
      </w:r>
    </w:p>
    <w:p>
      <w:pPr>
        <w:pStyle w:val="Subtitle"/>
      </w:pPr>
      <w:r>
        <w:t xml:space="preserve">회계위키 근거 검토</w:t>
      </w:r>
    </w:p>
    <w:p>
      <w:pPr>
        <w:pStyle w:val="Date"/>
      </w:pPr>
      <w:r>
        <w:t xml:space="preserve">2026-10-02</w:t>
      </w:r>
    </w:p>
    <w:p>
      <w:pPr>
        <w:pStyle w:val="TOCHeading"/>
      </w:pPr>
      <w:r>
        <w:t xml:space="preserve">목차</w:t>
      </w:r>
    </w:p>
    <w:p>
      <w:pPr>
        <w:pStyle w:val="TOC1"/>
      </w:pPr>
      <w:r>
        <w:t xml:space="preserve">1. 요약</w:t>
      </w:r>
    </w:p>
    <w:p>
      <w:pPr>
        <w:pStyle w:val="TOC1"/>
      </w:pPr>
      <w:r>
        <w:t xml:space="preserve">2. 질의 내용과 사실관계</w:t>
      </w:r>
    </w:p>
    <w:p>
      <w:pPr>
        <w:pStyle w:val="TOC1"/>
      </w:pPr>
      <w:r>
        <w:t xml:space="preserve">3. 쟁점</w:t>
      </w:r>
    </w:p>
    <w:p>
      <w:pPr>
        <w:pStyle w:val="TOC1"/>
      </w:pPr>
      <w:r>
        <w:t xml:space="preserve">4. 판단 흐름표</w:t>
      </w:r>
    </w:p>
    <w:p>
      <w:pPr>
        <w:pStyle w:val="TOC1"/>
      </w:pPr>
      <w:r>
        <w:t xml:space="preserve">5. 검토 의견</w:t>
      </w:r>
    </w:p>
    <w:p>
      <w:pPr>
        <w:pStyle w:val="TOC2"/>
      </w:pPr>
      <w:r>
        <w:t xml:space="preserve">5-1. 1~3단계 산출물은 하나의 수행의무인가</w:t>
      </w:r>
    </w:p>
    <w:p>
      <w:pPr>
        <w:pStyle w:val="TOC2"/>
      </w:pPr>
      <w:r>
        <w:t xml:space="preserve">5-2. 실시간 자문은 별도 수행의무이며, 계약금액은 어떻게 나누는가</w:t>
      </w:r>
    </w:p>
    <w:p>
      <w:pPr>
        <w:pStyle w:val="TOC2"/>
      </w:pPr>
      <w:r>
        <w:t xml:space="preserve">5-3. 산출물 수행의무는 기간에 걸쳐 이행되는가</w:t>
      </w:r>
    </w:p>
    <w:p>
      <w:pPr>
        <w:pStyle w:val="TOC2"/>
      </w:pPr>
      <w:r>
        <w:t xml:space="preserve">5-4. 마일스톤 청구액(50/30/20)을 그대로 수익으로 인식하는 청구권 실무적 간편법을 쓸 수 있는가</w:t>
      </w:r>
    </w:p>
    <w:p>
      <w:pPr>
        <w:pStyle w:val="TOC2"/>
      </w:pPr>
      <w:r>
        <w:t xml:space="preserve">5-5. 정액법으로 진행률을 측정할 수 있는가</w:t>
      </w:r>
    </w:p>
    <w:p>
      <w:pPr>
        <w:pStyle w:val="TOC2"/>
      </w:pPr>
      <w:r>
        <w:t xml:space="preserve">5-6. 기간에 걸쳐 인식하는 경우 어떤 진행률 측정방법이 더 적절한가</w:t>
      </w:r>
    </w:p>
    <w:p>
      <w:pPr>
        <w:pStyle w:val="TOC1"/>
      </w:pPr>
      <w:r>
        <w:t xml:space="preserve">6. 결론</w:t>
      </w:r>
    </w:p>
    <w:p>
      <w:pPr>
        <w:pStyle w:val="TOC1"/>
      </w:pPr>
      <w:r>
        <w:t xml:space="preserve">7. 회계처리와 공시</w:t>
      </w:r>
    </w:p>
    <w:p>
      <w:pPr>
        <w:pStyle w:val="TOC1"/>
      </w:pPr>
      <w:r>
        <w:t xml:space="preserve">8. 유의사항</w:t>
      </w:r>
    </w:p>
    <w:p>
      <w:pPr>
        <w:pStyle w:val="TOC1"/>
      </w:pPr>
      <w:r>
        <w:t xml:space="preserve">9. 관련 사항</w:t>
      </w:r>
    </w:p>
    <w:p>
      <w:pPr>
        <w:pStyle w:val="TOC1"/>
      </w:pPr>
      <w:r>
        <w:t xml:space="preserve">부록 A. 인용 기준서 원문</w:t>
      </w:r>
    </w:p>
    <w:bookmarkStart w:id="19" w:name="요약"/>
    <w:p>
      <w:pPr>
        <w:pStyle w:val="Heading1"/>
        <w:pageBreakBefore/>
      </w:pPr>
      <w:r>
        <w:t xml:space="preserve">1. 요약</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917"/>
        <w:gridCol w:w="4201"/>
        <w:gridCol w:w="2518"/>
      </w:tblGrid>
      <w:tr>
        <w:trPr>
          <w:tblHeader w:val="on"/>
        </w:trPr>
        <w:tc>
          <w:tcPr>
            <w:tcW w:type="dxa" w:w="2918"/>
            <w:shd w:val="clear" w:color="auto" w:fill="D9E2F3"/>
          </w:tcPr>
          <w:p>
            <w:pPr>
              <w:pStyle w:val="Compact"/>
            </w:pPr>
            <w:r>
              <w:rPr>
                <w:b/>
              </w:rPr>
              <w:t xml:space="preserve">항목</w:t>
            </w:r>
          </w:p>
        </w:tc>
        <w:tc>
          <w:tcPr>
            <w:tcW w:type="dxa" w:w="4202"/>
            <w:shd w:val="clear" w:color="auto" w:fill="D9E2F3"/>
          </w:tcPr>
          <w:p>
            <w:pPr>
              <w:pStyle w:val="Compact"/>
            </w:pPr>
            <w:r>
              <w:rPr>
                <w:b/>
              </w:rPr>
              <w:t xml:space="preserve">결론</w:t>
            </w:r>
          </w:p>
        </w:tc>
        <w:tc>
          <w:tcPr>
            <w:tcW w:type="dxa" w:w="2518"/>
            <w:shd w:val="clear" w:color="auto" w:fill="D9E2F3"/>
          </w:tcPr>
          <w:p>
            <w:pPr>
              <w:pStyle w:val="Compact"/>
            </w:pPr>
            <w:r>
              <w:rPr>
                <w:b/>
              </w:rPr>
              <w:t xml:space="preserve">확정도</w:t>
            </w:r>
          </w:p>
        </w:tc>
      </w:tr>
      <w:tr>
        <w:tc>
          <w:tcPr>
            <w:tcW w:type="dxa" w:w="2918"/>
          </w:tcPr>
          <w:p>
            <w:pPr>
              <w:pStyle w:val="Compact"/>
            </w:pPr>
            <w:r>
              <w:t xml:space="preserve">수행의무 식별</w:t>
            </w:r>
          </w:p>
        </w:tc>
        <w:tc>
          <w:tcPr>
            <w:tcW w:type="dxa" w:w="4202"/>
          </w:tcPr>
          <w:p>
            <w:pPr>
              <w:pStyle w:val="Compact"/>
            </w:pPr>
            <w:r>
              <w:t xml:space="preserve">1~3단계 산출물은 하나의 수행의무입니다. 실시간 자문은 별도 수행의무이므로 계약금액을 두 수행의무에 개별 판매가격 비율로 나눕니다</w:t>
            </w:r>
          </w:p>
        </w:tc>
        <w:tc>
          <w:tcPr>
            <w:tcW w:type="dxa" w:w="2518"/>
          </w:tcPr>
          <w:p>
            <w:pPr>
              <w:pStyle w:val="Compact"/>
            </w:pPr>
            <w:r>
              <w:t xml:space="preserve">해석 견해</w:t>
            </w:r>
          </w:p>
        </w:tc>
      </w:tr>
      <w:tr>
        <w:tc>
          <w:tcPr>
            <w:tcW w:type="dxa" w:w="2918"/>
          </w:tcPr>
          <w:p>
            <w:pPr>
              <w:pStyle w:val="Compact"/>
            </w:pPr>
            <w:r>
              <w:t xml:space="preserve">산출물 수행의무의 인식 시기</w:t>
            </w:r>
          </w:p>
        </w:tc>
        <w:tc>
          <w:tcPr>
            <w:tcW w:type="dxa" w:w="4202"/>
          </w:tcPr>
          <w:p>
            <w:pPr>
              <w:pStyle w:val="Compact"/>
            </w:pPr>
            <w:r>
              <w:t xml:space="preserve">기본 결론은 3단계 최종 산출물 검수 시점에 한 번에 인식하는 것입니다. 다만 법률 검토로 ’진행 중 해지 시 수행분 대가를 받을 권리’가 확인되면 기간에 걸쳐 인식합니다</w:t>
            </w:r>
          </w:p>
        </w:tc>
        <w:tc>
          <w:tcPr>
            <w:tcW w:type="dxa" w:w="2518"/>
          </w:tcPr>
          <w:p>
            <w:pPr>
              <w:pStyle w:val="Compact"/>
            </w:pPr>
            <w:r>
              <w:t xml:space="preserve">해석 견해(법률 검토 결과에 따라 바뀜)</w:t>
            </w:r>
          </w:p>
        </w:tc>
      </w:tr>
      <w:tr>
        <w:tc>
          <w:tcPr>
            <w:tcW w:type="dxa" w:w="2918"/>
          </w:tcPr>
          <w:p>
            <w:pPr>
              <w:pStyle w:val="Compact"/>
            </w:pPr>
            <w:r>
              <w:t xml:space="preserve">① 마일스톤 청구액(50/30/20)을 그대로 수익으로 인식</w:t>
            </w:r>
          </w:p>
        </w:tc>
        <w:tc>
          <w:tcPr>
            <w:tcW w:type="dxa" w:w="4202"/>
          </w:tcPr>
          <w:p>
            <w:pPr>
              <w:pStyle w:val="Compact"/>
            </w:pPr>
            <w:r>
              <w:t xml:space="preserve">허용되지 않습니다. 청구권 실무적 간편법의 요건을 충족하지 못합니다</w:t>
            </w:r>
          </w:p>
        </w:tc>
        <w:tc>
          <w:tcPr>
            <w:tcW w:type="dxa" w:w="2518"/>
          </w:tcPr>
          <w:p>
            <w:pPr>
              <w:pStyle w:val="Compact"/>
            </w:pPr>
            <w:r>
              <w:t xml:space="preserve">확정</w:t>
            </w:r>
          </w:p>
        </w:tc>
      </w:tr>
      <w:tr>
        <w:tc>
          <w:tcPr>
            <w:tcW w:type="dxa" w:w="2918"/>
          </w:tcPr>
          <w:p>
            <w:pPr>
              <w:pStyle w:val="Compact"/>
            </w:pPr>
            <w:r>
              <w:t xml:space="preserve">② 정액법</w:t>
            </w:r>
          </w:p>
        </w:tc>
        <w:tc>
          <w:tcPr>
            <w:tcW w:type="dxa" w:w="4202"/>
          </w:tcPr>
          <w:p>
            <w:pPr>
              <w:pStyle w:val="Compact"/>
            </w:pPr>
            <w:r>
              <w:t xml:space="preserve">산출물 수행의무에는 쓸 수 없습니다. 자문 수행의무에는 경과기간 기준으로 쓸 수 있습니다</w:t>
            </w:r>
          </w:p>
        </w:tc>
        <w:tc>
          <w:tcPr>
            <w:tcW w:type="dxa" w:w="2518"/>
          </w:tcPr>
          <w:p>
            <w:pPr>
              <w:pStyle w:val="Compact"/>
            </w:pPr>
            <w:r>
              <w:t xml:space="preserve">산출물: 확정 / 자문: 해석 견해</w:t>
            </w:r>
          </w:p>
        </w:tc>
      </w:tr>
      <w:tr>
        <w:tc>
          <w:tcPr>
            <w:tcW w:type="dxa" w:w="2918"/>
          </w:tcPr>
          <w:p>
            <w:pPr>
              <w:pStyle w:val="Compact"/>
            </w:pPr>
            <w:r>
              <w:t xml:space="preserve">③ 더 적절한 방법</w:t>
            </w:r>
          </w:p>
        </w:tc>
        <w:tc>
          <w:tcPr>
            <w:tcW w:type="dxa" w:w="4202"/>
          </w:tcPr>
          <w:p>
            <w:pPr>
              <w:pStyle w:val="Compact"/>
            </w:pPr>
            <w:r>
              <w:t xml:space="preserve">기간에 걸쳐 인식하는 경우 투입시간 기준 투입법을 씁니다. 총예정 투입시간을 합리적으로 추정할 수 있을 때까지는 발생원가 범위에서만 수익을 인식합니다</w:t>
            </w:r>
          </w:p>
        </w:tc>
        <w:tc>
          <w:tcPr>
            <w:tcW w:type="dxa" w:w="2518"/>
          </w:tcPr>
          <w:p>
            <w:pPr>
              <w:pStyle w:val="Compact"/>
            </w:pPr>
            <w:r>
              <w:t xml:space="preserve">해석 견해</w:t>
            </w:r>
          </w:p>
        </w:tc>
      </w:tr>
    </w:tbl>
    <w:p>
      <w:pPr>
        <w:pStyle w:val="BodyText"/>
      </w:pPr>
      <w:r>
        <w:t xml:space="preserve">회사가 검토한 ’단계 완료 시 청구액(50/30/20)만큼 수익 인식’은 어느 경우에도 기준서에 맞지 않습니다. 계약서에 중도해지 정산 조항이 없는 현재 상태에서는 산출물 대가를 3단계 최종 검수 시점에 한 번에 수익으로 인식합니다. 그 전에 받은 대금은 계약부채로 둡니다. 실시간 자문에 배분한 금액만 용역기간에 걸쳐 인식합니다.</w:t>
      </w:r>
      <w:r>
        <w:br/>
      </w:r>
      <w:r>
        <w:t xml:space="preserve">다만 민법 등 법률에 따라 진행 중 수행분에 대한 지급청구권이 인정되면 산출물도 진행률로 인식합니다. 이때 진행률은 정액법이나 청구액이 아니라 프로젝트별 투입시간 기록을 이용한 투입법으로 측정합니다.</w:t>
      </w:r>
    </w:p>
    <w:bookmarkEnd w:id="19"/>
    <w:bookmarkStart w:id="20" w:name="질의-내용과-사실관계"/>
    <w:p>
      <w:pPr>
        <w:pStyle w:val="Heading1"/>
      </w:pPr>
      <w:r>
        <w:t xml:space="preserve">2. 질의 내용과 사실관계</w:t>
      </w:r>
    </w:p>
    <w:p>
      <w:pPr>
        <w:pStyle w:val="FirstParagraph"/>
      </w:pPr>
      <w:r>
        <w:rPr>
          <w:b/>
          <w:bCs/>
        </w:rPr>
        <w:t xml:space="preserve">질의 요지</w:t>
      </w:r>
    </w:p>
    <w:p>
      <w:pPr>
        <w:pStyle w:val="Compact"/>
        <w:numPr>
          <w:ilvl w:val="0"/>
          <w:numId w:val="1001"/>
        </w:numPr>
      </w:pPr>
      <w:r>
        <w:t xml:space="preserve">회사는 산출법으로 진행기준 수익인식을 하려 합니다. 단계별 청구액을 그대로 수익으로 인식하는 청구권 실무적 간편법이 허용되는지 문의하셨습니다.</w:t>
      </w:r>
    </w:p>
    <w:p>
      <w:pPr>
        <w:pStyle w:val="Compact"/>
        <w:numPr>
          <w:ilvl w:val="0"/>
          <w:numId w:val="1001"/>
        </w:numPr>
      </w:pPr>
      <w:r>
        <w:t xml:space="preserve">단계가 연속적이지 않은데 정액법이 가능한지 문의하셨습니다.</w:t>
      </w:r>
    </w:p>
    <w:p>
      <w:pPr>
        <w:pStyle w:val="Compact"/>
        <w:numPr>
          <w:ilvl w:val="0"/>
          <w:numId w:val="1001"/>
        </w:numPr>
      </w:pPr>
      <w:r>
        <w:t xml:space="preserve">더 적절한 방법이 무엇인지 문의하셨습니다.</w:t>
      </w:r>
    </w:p>
    <w:p>
      <w:pPr>
        <w:pStyle w:val="FirstParagraph"/>
      </w:pPr>
      <w:r>
        <w:rPr>
          <w:b/>
          <w:bCs/>
        </w:rPr>
        <w:t xml:space="preserve">제공된 사실(질의 원문)</w:t>
      </w:r>
    </w:p>
    <w:p>
      <w:pPr>
        <w:pStyle w:val="Compact"/>
        <w:numPr>
          <w:ilvl w:val="0"/>
          <w:numId w:val="1002"/>
        </w:numPr>
      </w:pPr>
      <w:r>
        <w:t xml:space="preserve">1단계 산출물(보고서·회의록 등)이 완성·검수되면 대금 50%를 받습니다. 예상 기간은 3개월입니다.</w:t>
      </w:r>
    </w:p>
    <w:p>
      <w:pPr>
        <w:pStyle w:val="Compact"/>
        <w:numPr>
          <w:ilvl w:val="0"/>
          <w:numId w:val="1002"/>
        </w:numPr>
      </w:pPr>
      <w:r>
        <w:t xml:space="preserve">2단계는 대금 30%, 예상 9개월입니다. 3단계는 대금 20%, 예상 3개월입니다.</w:t>
      </w:r>
    </w:p>
    <w:p>
      <w:pPr>
        <w:pStyle w:val="Compact"/>
        <w:numPr>
          <w:ilvl w:val="0"/>
          <w:numId w:val="1002"/>
        </w:numPr>
      </w:pPr>
      <w:r>
        <w:t xml:space="preserve">앞 단계가 끝나야 다음 단계가 시작되고, 각 단계의 시작 시기는 불확실합니다.</w:t>
      </w:r>
    </w:p>
    <w:p>
      <w:pPr>
        <w:pStyle w:val="Compact"/>
        <w:numPr>
          <w:ilvl w:val="0"/>
          <w:numId w:val="1002"/>
        </w:numPr>
      </w:pPr>
      <w:r>
        <w:t xml:space="preserve">용역 진행 중에는 고객에게 실시간 자문을 제공합니다.</w:t>
      </w:r>
    </w:p>
    <w:p>
      <w:pPr>
        <w:pStyle w:val="Compact"/>
        <w:numPr>
          <w:ilvl w:val="0"/>
          <w:numId w:val="1002"/>
        </w:numPr>
      </w:pPr>
      <w:r>
        <w:t xml:space="preserve">회사는 전문 컨설팅 업체가 아닙니다.</w:t>
      </w:r>
    </w:p>
    <w:p>
      <w:pPr>
        <w:pStyle w:val="FirstParagraph"/>
      </w:pPr>
      <w:r>
        <w:rPr>
          <w:b/>
          <w:bCs/>
        </w:rPr>
        <w:t xml:space="preserve">제공된 사실(인터뷰 답변)</w:t>
      </w:r>
    </w:p>
    <w:p>
      <w:pPr>
        <w:pStyle w:val="Compact"/>
        <w:numPr>
          <w:ilvl w:val="0"/>
          <w:numId w:val="1003"/>
        </w:numPr>
      </w:pPr>
      <w:r>
        <w:t xml:space="preserve">적용 기준은 한국채택국제회계기준입니다.</w:t>
      </w:r>
    </w:p>
    <w:p>
      <w:pPr>
        <w:pStyle w:val="Compact"/>
        <w:numPr>
          <w:ilvl w:val="0"/>
          <w:numId w:val="1003"/>
        </w:numPr>
      </w:pPr>
      <w:r>
        <w:t xml:space="preserve">계약서에 중도해지 조항이 없거나 불명확합니다.</w:t>
      </w:r>
    </w:p>
    <w:p>
      <w:pPr>
        <w:pStyle w:val="Compact"/>
        <w:numPr>
          <w:ilvl w:val="0"/>
          <w:numId w:val="1003"/>
        </w:numPr>
      </w:pPr>
      <w:r>
        <w:t xml:space="preserve">1·2단계 산출물은 최종 산출물을 위한 중간 결과물입니다. 다른 업체가 이어받으면 상당 부분을 다시 작업해야 합니다.</w:t>
      </w:r>
    </w:p>
    <w:p>
      <w:pPr>
        <w:pStyle w:val="Compact"/>
        <w:numPr>
          <w:ilvl w:val="0"/>
          <w:numId w:val="1003"/>
        </w:numPr>
      </w:pPr>
      <w:r>
        <w:t xml:space="preserve">실시간 자문은 산출물과 관계없이 고객이 요청하면 제공하는 별도 자문입니다. 별도 대가는 없습니다.</w:t>
      </w:r>
    </w:p>
    <w:p>
      <w:pPr>
        <w:pStyle w:val="Compact"/>
        <w:numPr>
          <w:ilvl w:val="0"/>
          <w:numId w:val="1003"/>
        </w:numPr>
      </w:pPr>
      <w:r>
        <w:t xml:space="preserve">프로젝트별 투입시간·원가 기록은 있으나, 총예정 투입량을 추정하기는 어렵습니다.</w:t>
      </w:r>
    </w:p>
    <w:p>
      <w:pPr>
        <w:pStyle w:val="Compact"/>
        <w:numPr>
          <w:ilvl w:val="0"/>
          <w:numId w:val="1003"/>
        </w:numPr>
      </w:pPr>
      <w:r>
        <w:t xml:space="preserve">질의 원문의 60/20/20은 오타입니다. 회사 원안은 대금 비율 50/30/20대로 청구액을 수익으로 인식하는 것입니다.</w:t>
      </w:r>
    </w:p>
    <w:p>
      <w:pPr>
        <w:pStyle w:val="FirstParagraph"/>
      </w:pPr>
      <w:r>
        <w:rPr>
          <w:b/>
          <w:bCs/>
        </w:rPr>
        <w:t xml:space="preserve">가정(검토자가 둔 것)</w:t>
      </w:r>
    </w:p>
    <w:p>
      <w:pPr>
        <w:pStyle w:val="Compact"/>
        <w:numPr>
          <w:ilvl w:val="0"/>
          <w:numId w:val="1004"/>
        </w:numPr>
      </w:pPr>
      <w:r>
        <w:t xml:space="preserve">가정 1: 산출물은 고객 고유의 내용이어서 다른 고객에게 쓸 수 없습니다. 즉 회사에 대체 용도가 없습니다.</w:t>
      </w:r>
    </w:p>
    <w:p>
      <w:pPr>
        <w:pStyle w:val="Compact"/>
        <w:numPr>
          <w:ilvl w:val="0"/>
          <w:numId w:val="1004"/>
        </w:numPr>
      </w:pPr>
      <w:r>
        <w:t xml:space="preserve">가정 2: 작업 중인 산출물(초안·자료)을 고객이 통제하지 않습니다. 실시간 공유 여부는 답을 받지 못했습니다.</w:t>
      </w:r>
    </w:p>
    <w:p>
      <w:pPr>
        <w:pStyle w:val="Compact"/>
        <w:numPr>
          <w:ilvl w:val="0"/>
          <w:numId w:val="1004"/>
        </w:numPr>
      </w:pPr>
      <w:r>
        <w:t xml:space="preserve">가정 3: 실시간 자문은 계약 착수부터 최종 검수까지 고객이 요청하면 언제든 제공할 수 있는 상태로 운영됩니다. 그 개별 판매가격 비중은 미확인이며 무시할 수준은 아닌 것으로 봅니다.</w:t>
      </w:r>
    </w:p>
    <w:p>
      <w:pPr>
        <w:pStyle w:val="Compact"/>
        <w:numPr>
          <w:ilvl w:val="0"/>
          <w:numId w:val="1004"/>
        </w:numPr>
      </w:pPr>
      <w:r>
        <w:t xml:space="preserve">가정 4: 단계 안의 세부 진척(작업 목록 완료율 등)은 객관적으로 측정할 수 없습니다.</w:t>
      </w:r>
    </w:p>
    <w:p>
      <w:pPr>
        <w:pStyle w:val="Compact"/>
        <w:numPr>
          <w:ilvl w:val="0"/>
          <w:numId w:val="1004"/>
        </w:numPr>
      </w:pPr>
      <w:r>
        <w:t xml:space="preserve">가정 5: 계약의 법적 성격(도급인지 위임인지)과 민법 규정을 적용할 수 있는지는 확정되지 않았습니다.</w:t>
      </w:r>
    </w:p>
    <w:p>
      <w:pPr>
        <w:pStyle w:val="FirstParagraph"/>
      </w:pPr>
      <w:r>
        <w:rPr>
          <w:b/>
          <w:bCs/>
        </w:rPr>
        <w:t xml:space="preserve">미제공 항목</w:t>
      </w:r>
    </w:p>
    <w:p>
      <w:pPr>
        <w:pStyle w:val="Compact"/>
        <w:numPr>
          <w:ilvl w:val="0"/>
          <w:numId w:val="1005"/>
        </w:numPr>
      </w:pPr>
      <w:r>
        <w:t xml:space="preserve">계약금액, 계약일, 현재 진행 단계, 보고기간 말</w:t>
      </w:r>
    </w:p>
    <w:p>
      <w:pPr>
        <w:pStyle w:val="Compact"/>
        <w:numPr>
          <w:ilvl w:val="0"/>
          <w:numId w:val="1005"/>
        </w:numPr>
      </w:pPr>
      <w:r>
        <w:t xml:space="preserve">거래 상대방과의 특수관계 여부</w:t>
      </w:r>
    </w:p>
    <w:p>
      <w:pPr>
        <w:pStyle w:val="Compact"/>
        <w:numPr>
          <w:ilvl w:val="0"/>
          <w:numId w:val="1005"/>
        </w:numPr>
      </w:pPr>
      <w:r>
        <w:t xml:space="preserve">대금을 받은 뒤 환불할 수 있는지 여부</w:t>
      </w:r>
    </w:p>
    <w:bookmarkEnd w:id="20"/>
    <w:bookmarkStart w:id="21" w:name="쟁점"/>
    <w:p>
      <w:pPr>
        <w:pStyle w:val="Heading1"/>
      </w:pPr>
      <w:r>
        <w:t xml:space="preserve">3. 쟁점</w:t>
      </w:r>
    </w:p>
    <w:p>
      <w:pPr>
        <w:pStyle w:val="FirstParagraph"/>
      </w:pPr>
      <w:r>
        <w:t xml:space="preserve">기간에 걸쳐 수익을 인식할 때 진행률을 무엇으로 측정해야 하는지가 쟁점입니다. 구체적으로 마일스톤 청구액(청구권 실무적 간편법), 정액법, 그 밖의 방법 중 무엇이 맞는지 판단합니다. 그 전제로 수행의무를 식별하고, 기간에 걸쳐 인식하는 요건을 충족하는지 판단합니다. 적용 기준은 한국채택국제회계기준 제1115호 ’고객과의 계약에서 생기는 수익’입니다.</w:t>
      </w:r>
    </w:p>
    <w:bookmarkEnd w:id="21"/>
    <w:bookmarkStart w:id="22" w:name="판단-흐름표"/>
    <w:p>
      <w:pPr>
        <w:pStyle w:val="Heading1"/>
      </w:pPr>
      <w:r>
        <w:t xml:space="preserve">4. 판단 흐름표</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736"/>
        <w:gridCol w:w="2738"/>
        <w:gridCol w:w="1739"/>
        <w:gridCol w:w="2408"/>
        <w:gridCol w:w="2016"/>
      </w:tblGrid>
      <w:tr>
        <w:trPr>
          <w:tblHeader w:val="on"/>
        </w:trPr>
        <w:tc>
          <w:tcPr>
            <w:tcW w:type="dxa" w:w="736"/>
            <w:shd w:val="clear" w:color="auto" w:fill="D9E2F3"/>
          </w:tcPr>
          <w:p>
            <w:pPr>
              <w:pStyle w:val="Compact"/>
            </w:pPr>
            <w:r>
              <w:rPr>
                <w:b/>
              </w:rPr>
              <w:t xml:space="preserve">단계</w:t>
            </w:r>
          </w:p>
        </w:tc>
        <w:tc>
          <w:tcPr>
            <w:tcW w:type="dxa" w:w="2738"/>
            <w:shd w:val="clear" w:color="auto" w:fill="D9E2F3"/>
          </w:tcPr>
          <w:p>
            <w:pPr>
              <w:pStyle w:val="Compact"/>
            </w:pPr>
            <w:r>
              <w:rPr>
                <w:b/>
              </w:rPr>
              <w:t xml:space="preserve">판단 질문</w:t>
            </w:r>
          </w:p>
        </w:tc>
        <w:tc>
          <w:tcPr>
            <w:tcW w:type="dxa" w:w="1739"/>
            <w:shd w:val="clear" w:color="auto" w:fill="D9E2F3"/>
          </w:tcPr>
          <w:p>
            <w:pPr>
              <w:pStyle w:val="Compact"/>
            </w:pPr>
            <w:r>
              <w:rPr>
                <w:b/>
              </w:rPr>
              <w:t xml:space="preserve">예이면</w:t>
            </w:r>
          </w:p>
        </w:tc>
        <w:tc>
          <w:tcPr>
            <w:tcW w:type="dxa" w:w="2408"/>
            <w:shd w:val="clear" w:color="auto" w:fill="D9E2F3"/>
          </w:tcPr>
          <w:p>
            <w:pPr>
              <w:pStyle w:val="Compact"/>
            </w:pPr>
            <w:r>
              <w:rPr>
                <w:b/>
              </w:rPr>
              <w:t xml:space="preserve">아니면</w:t>
            </w:r>
          </w:p>
        </w:tc>
        <w:tc>
          <w:tcPr>
            <w:tcW w:type="dxa" w:w="2016"/>
            <w:shd w:val="clear" w:color="auto" w:fill="D9E2F3"/>
          </w:tcPr>
          <w:p>
            <w:pPr>
              <w:pStyle w:val="Compact"/>
            </w:pPr>
            <w:r>
              <w:rPr>
                <w:b/>
              </w:rPr>
              <w:t xml:space="preserve">본건</w:t>
            </w:r>
          </w:p>
        </w:tc>
      </w:tr>
      <w:tr>
        <w:tc>
          <w:tcPr>
            <w:tcW w:type="dxa" w:w="736"/>
          </w:tcPr>
          <w:p>
            <w:pPr>
              <w:pStyle w:val="Compact"/>
            </w:pPr>
            <w:r>
              <w:t xml:space="preserve">1</w:t>
            </w:r>
          </w:p>
        </w:tc>
        <w:tc>
          <w:tcPr>
            <w:tcW w:type="dxa" w:w="2738"/>
          </w:tcPr>
          <w:p>
            <w:pPr>
              <w:pStyle w:val="Compact"/>
            </w:pPr>
            <w:r>
              <w:t xml:space="preserve">실시간 자문이 산출물과 구별되는가 (문단 27, 29)</w:t>
            </w:r>
          </w:p>
        </w:tc>
        <w:tc>
          <w:tcPr>
            <w:tcW w:type="dxa" w:w="1739"/>
          </w:tcPr>
          <w:p>
            <w:pPr>
              <w:pStyle w:val="Compact"/>
            </w:pPr>
            <w:r>
              <w:t xml:space="preserve">별도 수행의무로 보고 거래가격을 배분 → 8단계</w:t>
            </w:r>
          </w:p>
        </w:tc>
        <w:tc>
          <w:tcPr>
            <w:tcW w:type="dxa" w:w="2408"/>
          </w:tcPr>
          <w:p>
            <w:pPr>
              <w:pStyle w:val="Compact"/>
            </w:pPr>
            <w:r>
              <w:t xml:space="preserve">산출물 수행의무에 포함</w:t>
            </w:r>
          </w:p>
        </w:tc>
        <w:tc>
          <w:tcPr>
            <w:tcW w:type="dxa" w:w="2016"/>
          </w:tcPr>
          <w:p>
            <w:pPr>
              <w:pStyle w:val="Compact"/>
            </w:pPr>
            <w:r>
              <w:t xml:space="preserve">예 (산출물과 무관한 별도 자문, 인터뷰 답변)</w:t>
            </w:r>
          </w:p>
        </w:tc>
      </w:tr>
      <w:tr>
        <w:tc>
          <w:tcPr>
            <w:tcW w:type="dxa" w:w="736"/>
          </w:tcPr>
          <w:p>
            <w:pPr>
              <w:pStyle w:val="Compact"/>
            </w:pPr>
            <w:r>
              <w:t xml:space="preserve">2</w:t>
            </w:r>
          </w:p>
        </w:tc>
        <w:tc>
          <w:tcPr>
            <w:tcW w:type="dxa" w:w="2738"/>
          </w:tcPr>
          <w:p>
            <w:pPr>
              <w:pStyle w:val="Compact"/>
            </w:pPr>
            <w:r>
              <w:t xml:space="preserve">1·2·3단계 산출물이 서로 구별되는가 (문단 27, 29⑶)</w:t>
            </w:r>
          </w:p>
        </w:tc>
        <w:tc>
          <w:tcPr>
            <w:tcW w:type="dxa" w:w="1739"/>
          </w:tcPr>
          <w:p>
            <w:pPr>
              <w:pStyle w:val="Compact"/>
            </w:pPr>
            <w:r>
              <w:t xml:space="preserve">단계별 수행의무 3개</w:t>
            </w:r>
          </w:p>
        </w:tc>
        <w:tc>
          <w:tcPr>
            <w:tcW w:type="dxa" w:w="2408"/>
          </w:tcPr>
          <w:p>
            <w:pPr>
              <w:pStyle w:val="Compact"/>
            </w:pPr>
            <w:r>
              <w:t xml:space="preserve">단일 수행의무 → 3단계로</w:t>
            </w:r>
          </w:p>
        </w:tc>
        <w:tc>
          <w:tcPr>
            <w:tcW w:type="dxa" w:w="2016"/>
          </w:tcPr>
          <w:p>
            <w:pPr>
              <w:pStyle w:val="Compact"/>
            </w:pPr>
            <w:r>
              <w:t xml:space="preserve">아니오 (중간 결과물이고 상호의존적)</w:t>
            </w:r>
          </w:p>
        </w:tc>
      </w:tr>
      <w:tr>
        <w:tc>
          <w:tcPr>
            <w:tcW w:type="dxa" w:w="736"/>
          </w:tcPr>
          <w:p>
            <w:pPr>
              <w:pStyle w:val="Compact"/>
            </w:pPr>
            <w:r>
              <w:t xml:space="preserve">3</w:t>
            </w:r>
          </w:p>
        </w:tc>
        <w:tc>
          <w:tcPr>
            <w:tcW w:type="dxa" w:w="2738"/>
          </w:tcPr>
          <w:p>
            <w:pPr>
              <w:pStyle w:val="Compact"/>
            </w:pPr>
            <w:r>
              <w:t xml:space="preserve">다른 업체가 이어받을 때 다시 작업할 필요가 없는가 (문단 35⑴, B4)</w:t>
            </w:r>
          </w:p>
        </w:tc>
        <w:tc>
          <w:tcPr>
            <w:tcW w:type="dxa" w:w="1739"/>
          </w:tcPr>
          <w:p>
            <w:pPr>
              <w:pStyle w:val="Compact"/>
            </w:pPr>
            <w:r>
              <w:t xml:space="preserve">기간에 걸쳐 이행 → 6단계</w:t>
            </w:r>
          </w:p>
        </w:tc>
        <w:tc>
          <w:tcPr>
            <w:tcW w:type="dxa" w:w="2408"/>
          </w:tcPr>
          <w:p>
            <w:pPr>
              <w:pStyle w:val="Compact"/>
            </w:pPr>
            <w:r>
              <w:t xml:space="preserve">4단계로</w:t>
            </w:r>
          </w:p>
        </w:tc>
        <w:tc>
          <w:tcPr>
            <w:tcW w:type="dxa" w:w="2016"/>
          </w:tcPr>
          <w:p>
            <w:pPr>
              <w:pStyle w:val="Compact"/>
            </w:pPr>
            <w:r>
              <w:t xml:space="preserve">아니오 (상당 부분 재작업 필요, 인터뷰 답변)</w:t>
            </w:r>
          </w:p>
        </w:tc>
      </w:tr>
      <w:tr>
        <w:tc>
          <w:tcPr>
            <w:tcW w:type="dxa" w:w="736"/>
          </w:tcPr>
          <w:p>
            <w:pPr>
              <w:pStyle w:val="Compact"/>
            </w:pPr>
            <w:r>
              <w:t xml:space="preserve">4</w:t>
            </w:r>
          </w:p>
        </w:tc>
        <w:tc>
          <w:tcPr>
            <w:tcW w:type="dxa" w:w="2738"/>
          </w:tcPr>
          <w:p>
            <w:pPr>
              <w:pStyle w:val="Compact"/>
            </w:pPr>
            <w:r>
              <w:t xml:space="preserve">작업 중인 산출물을 고객이 통제하는가 (문단 35⑵, B5)</w:t>
            </w:r>
          </w:p>
        </w:tc>
        <w:tc>
          <w:tcPr>
            <w:tcW w:type="dxa" w:w="1739"/>
          </w:tcPr>
          <w:p>
            <w:pPr>
              <w:pStyle w:val="Compact"/>
            </w:pPr>
            <w:r>
              <w:t xml:space="preserve">기간에 걸쳐 이행 → 6단계</w:t>
            </w:r>
          </w:p>
        </w:tc>
        <w:tc>
          <w:tcPr>
            <w:tcW w:type="dxa" w:w="2408"/>
          </w:tcPr>
          <w:p>
            <w:pPr>
              <w:pStyle w:val="Compact"/>
            </w:pPr>
            <w:r>
              <w:t xml:space="preserve">5단계로</w:t>
            </w:r>
          </w:p>
        </w:tc>
        <w:tc>
          <w:tcPr>
            <w:tcW w:type="dxa" w:w="2016"/>
          </w:tcPr>
          <w:p>
            <w:pPr>
              <w:pStyle w:val="Compact"/>
            </w:pPr>
            <w:r>
              <w:t xml:space="preserve">아니오 (가정 2)</w:t>
            </w:r>
          </w:p>
        </w:tc>
      </w:tr>
      <w:tr>
        <w:tc>
          <w:tcPr>
            <w:tcW w:type="dxa" w:w="736"/>
          </w:tcPr>
          <w:p>
            <w:pPr>
              <w:pStyle w:val="Compact"/>
            </w:pPr>
            <w:r>
              <w:t xml:space="preserve">5</w:t>
            </w:r>
          </w:p>
        </w:tc>
        <w:tc>
          <w:tcPr>
            <w:tcW w:type="dxa" w:w="2738"/>
          </w:tcPr>
          <w:p>
            <w:pPr>
              <w:pStyle w:val="Compact"/>
            </w:pPr>
            <w:r>
              <w:t xml:space="preserve">대체 용도가 없고, 수행분에 대해 집행 가능한 지급청구권(계약 또는 법률)이 있는가 (문단 35⑶, 37, B9~B13)</w:t>
            </w:r>
          </w:p>
        </w:tc>
        <w:tc>
          <w:tcPr>
            <w:tcW w:type="dxa" w:w="1739"/>
          </w:tcPr>
          <w:p>
            <w:pPr>
              <w:pStyle w:val="Compact"/>
            </w:pPr>
            <w:r>
              <w:t xml:space="preserve">기간에 걸쳐 이행 → 6단계</w:t>
            </w:r>
          </w:p>
        </w:tc>
        <w:tc>
          <w:tcPr>
            <w:tcW w:type="dxa" w:w="2408"/>
          </w:tcPr>
          <w:p>
            <w:pPr>
              <w:pStyle w:val="Compact"/>
            </w:pPr>
            <w:r>
              <w:t xml:space="preserve">한 시점 이행 → 3단계 최종 검수 시점에 인식 (문단 38)</w:t>
            </w:r>
          </w:p>
        </w:tc>
        <w:tc>
          <w:tcPr>
            <w:tcW w:type="dxa" w:w="2016"/>
          </w:tcPr>
          <w:p>
            <w:pPr>
              <w:pStyle w:val="Compact"/>
            </w:pPr>
            <w:r>
              <w:t xml:space="preserve">기본: 아니오 (계약서에 조항 없음). 법률 검토로 지급청구권이 확인되면 예</w:t>
            </w:r>
          </w:p>
        </w:tc>
      </w:tr>
      <w:tr>
        <w:tc>
          <w:tcPr>
            <w:tcW w:type="dxa" w:w="736"/>
          </w:tcPr>
          <w:p>
            <w:pPr>
              <w:pStyle w:val="Compact"/>
            </w:pPr>
            <w:r>
              <w:t xml:space="preserve">6</w:t>
            </w:r>
          </w:p>
        </w:tc>
        <w:tc>
          <w:tcPr>
            <w:tcW w:type="dxa" w:w="2738"/>
          </w:tcPr>
          <w:p>
            <w:pPr>
              <w:pStyle w:val="Compact"/>
            </w:pPr>
            <w:r>
              <w:t xml:space="preserve">청구액이 지금까지 수행한 부분의 가치에 직접 상응하는가 (문단 B16)</w:t>
            </w:r>
          </w:p>
        </w:tc>
        <w:tc>
          <w:tcPr>
            <w:tcW w:type="dxa" w:w="1739"/>
          </w:tcPr>
          <w:p>
            <w:pPr>
              <w:pStyle w:val="Compact"/>
            </w:pPr>
            <w:r>
              <w:t xml:space="preserve">청구액으로 인식 가능</w:t>
            </w:r>
          </w:p>
        </w:tc>
        <w:tc>
          <w:tcPr>
            <w:tcW w:type="dxa" w:w="2408"/>
          </w:tcPr>
          <w:p>
            <w:pPr>
              <w:pStyle w:val="Compact"/>
            </w:pPr>
            <w:r>
              <w:t xml:space="preserve">7단계로</w:t>
            </w:r>
          </w:p>
        </w:tc>
        <w:tc>
          <w:tcPr>
            <w:tcW w:type="dxa" w:w="2016"/>
          </w:tcPr>
          <w:p>
            <w:pPr>
              <w:pStyle w:val="Compact"/>
            </w:pPr>
            <w:r>
              <w:t xml:space="preserve">아니오</w:t>
            </w:r>
          </w:p>
        </w:tc>
      </w:tr>
      <w:tr>
        <w:tc>
          <w:tcPr>
            <w:tcW w:type="dxa" w:w="736"/>
          </w:tcPr>
          <w:p>
            <w:pPr>
              <w:pStyle w:val="Compact"/>
            </w:pPr>
            <w:r>
              <w:t xml:space="preserve">7</w:t>
            </w:r>
          </w:p>
        </w:tc>
        <w:tc>
          <w:tcPr>
            <w:tcW w:type="dxa" w:w="2738"/>
          </w:tcPr>
          <w:p>
            <w:pPr>
              <w:pStyle w:val="Compact"/>
            </w:pPr>
            <w:r>
              <w:t xml:space="preserve">투입이 기간에 걸쳐 균등한가 (문단 B18)</w:t>
            </w:r>
          </w:p>
        </w:tc>
        <w:tc>
          <w:tcPr>
            <w:tcW w:type="dxa" w:w="1739"/>
          </w:tcPr>
          <w:p>
            <w:pPr>
              <w:pStyle w:val="Compact"/>
            </w:pPr>
            <w:r>
              <w:t xml:space="preserve">정액법 가능</w:t>
            </w:r>
          </w:p>
        </w:tc>
        <w:tc>
          <w:tcPr>
            <w:tcW w:type="dxa" w:w="2408"/>
          </w:tcPr>
          <w:p>
            <w:pPr>
              <w:pStyle w:val="Compact"/>
            </w:pPr>
            <w:r>
              <w:t xml:space="preserve">투입시간 기준 투입법. 총예정을 추정할 수 없으면 발생원가 범위 인식 (문단 44, 45)</w:t>
            </w:r>
          </w:p>
        </w:tc>
        <w:tc>
          <w:tcPr>
            <w:tcW w:type="dxa" w:w="2016"/>
          </w:tcPr>
          <w:p>
            <w:pPr>
              <w:pStyle w:val="Compact"/>
            </w:pPr>
            <w:r>
              <w:t xml:space="preserve">아니오 → 투입시간 기준. 추정 가능해질 때까지 원가 범위</w:t>
            </w:r>
          </w:p>
        </w:tc>
      </w:tr>
      <w:tr>
        <w:tc>
          <w:tcPr>
            <w:tcW w:type="dxa" w:w="736"/>
          </w:tcPr>
          <w:p>
            <w:pPr>
              <w:pStyle w:val="Compact"/>
            </w:pPr>
            <w:r>
              <w:t xml:space="preserve">8</w:t>
            </w:r>
          </w:p>
        </w:tc>
        <w:tc>
          <w:tcPr>
            <w:tcW w:type="dxa" w:w="2738"/>
          </w:tcPr>
          <w:p>
            <w:pPr>
              <w:pStyle w:val="Compact"/>
            </w:pPr>
            <w:r>
              <w:t xml:space="preserve">자문은 고객이 효익을 동시에 얻고 소비하는가 (문단 35⑴, B3)</w:t>
            </w:r>
          </w:p>
        </w:tc>
        <w:tc>
          <w:tcPr>
            <w:tcW w:type="dxa" w:w="1739"/>
          </w:tcPr>
          <w:p>
            <w:pPr>
              <w:pStyle w:val="Compact"/>
            </w:pPr>
            <w:r>
              <w:t xml:space="preserve">기간에 걸쳐 인식(경과기간 기준)</w:t>
            </w:r>
          </w:p>
        </w:tc>
        <w:tc>
          <w:tcPr>
            <w:tcW w:type="dxa" w:w="2408"/>
          </w:tcPr>
          <w:p>
            <w:pPr>
              <w:pStyle w:val="Compact"/>
            </w:pPr>
            <w:r>
              <w:t xml:space="preserve">한 시점</w:t>
            </w:r>
          </w:p>
        </w:tc>
        <w:tc>
          <w:tcPr>
            <w:tcW w:type="dxa" w:w="2016"/>
          </w:tcPr>
          <w:p>
            <w:pPr>
              <w:pStyle w:val="Compact"/>
            </w:pPr>
            <w:r>
              <w:t xml:space="preserve">예</w:t>
            </w:r>
          </w:p>
        </w:tc>
      </w:tr>
    </w:tbl>
    <w:bookmarkEnd w:id="22"/>
    <w:bookmarkStart w:id="73" w:name="검토-의견"/>
    <w:p>
      <w:pPr>
        <w:pStyle w:val="Heading1"/>
      </w:pPr>
      <w:r>
        <w:t xml:space="preserve">5. 검토 의견</w:t>
      </w:r>
    </w:p>
    <w:bookmarkStart w:id="29" w:name="단계-산출물은-하나의-수행의무인가"/>
    <w:p>
      <w:pPr>
        <w:pStyle w:val="Heading2"/>
      </w:pPr>
      <w:r>
        <w:t xml:space="preserve">5-1. 1~3단계 산출물은 하나의 수행의무인가</w:t>
      </w:r>
    </w:p>
    <w:p>
      <w:pPr>
        <w:pStyle w:val="FirstParagraph"/>
      </w:pPr>
      <w:r>
        <w:rPr>
          <w:b/>
          <w:bCs/>
        </w:rPr>
        <w:t xml:space="preserve">가. 관련 기준</w:t>
      </w:r>
    </w:p>
    <w:p>
      <w:pPr>
        <w:pStyle w:val="BlockText"/>
      </w:pPr>
      <w:r>
        <w:rPr>
          <w:b/>
          <w:bCs/>
        </w:rPr>
        <w:t xml:space="preserve">기업회계기준서 제1115호 문단 27</w:t>
      </w:r>
      <w:r>
        <w:br/>
      </w:r>
      <w:r>
        <w:t xml:space="preserve">다음 기준을 모두 충족한다면 고객에게 약속한 재화나 용역은 구별되는 것이다.</w:t>
      </w:r>
      <w:r>
        <w:br/>
      </w:r>
      <w:r>
        <w:t xml:space="preserve">⑴ 고객이 재화나 용역 그 자체에서 효익을 얻거나 고객이 쉽게 구할 수 있는 다른 자원과 함께하여 그 재화나 용역에서 효익을 얻을 수 있다(그 재화나 용역이 구별될 수 있다).</w:t>
      </w:r>
      <w:r>
        <w:br/>
      </w:r>
      <w:r>
        <w:t xml:space="preserve">⑵ 고객에게 재화나 용역을 이전하기로 하는 약속을 계약 내의 다른 약속과 별도로 식별해 낼 수 있다(그 재화나 용역을 이전하기로 하는 약속은 계약상 구별된다).</w:t>
      </w:r>
      <w:r>
        <w:rPr>
          <w:rStyle w:val="FootnoteReference"/>
        </w:rPr>
        <w:footnoteReference w:id="23"/>
      </w:r>
    </w:p>
    <w:p>
      <w:pPr>
        <w:pStyle w:val="BlockText"/>
      </w:pPr>
      <w:r>
        <w:rPr>
          <w:b/>
          <w:bCs/>
        </w:rPr>
        <w:t xml:space="preserve">기업회계기준서 제1115호 문단 29</w:t>
      </w:r>
      <w:r>
        <w:br/>
      </w:r>
      <w:r>
        <w:t xml:space="preserve">고객에게 재화나 용역을 이전하기로 하는 약속이 문단 27(2)에 따라 별도로 식별되는지를 파악할 때, 그 목적은 계약상 그 약속의 성격이 각 재화나 용역을 개별적으로 이전하는 것인지, 아니면 약속된 재화나 용역을 투입한 결합 품목(들)을 이전하는 것인지를 판단하는 것이다. (중략)</w:t>
      </w:r>
      <w:r>
        <w:br/>
      </w:r>
      <w:r>
        <w:t xml:space="preserve">⑶ 해당 재화나 용역은 상호의존도나 상호관련성이 매우 높다. 다시 말해서 각 재화나 용역은 그 계약에서 하나 이상의 다른 재화나 용역에 의해 유의적으로 영향을 받는다. (후략)</w:t>
      </w:r>
      <w:r>
        <w:rPr>
          <w:rStyle w:val="FootnoteReference"/>
        </w:rPr>
        <w:footnoteReference w:id="24"/>
      </w:r>
    </w:p>
    <w:p>
      <w:pPr>
        <w:pStyle w:val="FirstParagraph"/>
      </w:pPr>
      <w:r>
        <w:rPr>
          <w:b/>
          <w:bCs/>
        </w:rPr>
        <w:t xml:space="preserve">나. 기준의 취지</w:t>
      </w:r>
      <w:r>
        <w:br/>
      </w:r>
      <w:r>
        <w:t xml:space="preserve">수행의무는 고객에게 무엇을 이전하기로 약속했는지를 기준으로 나눕니다. 단계가 여러 개여도 각 단계가 최종 결합 산출물을 만드는 투입물이면 하나의 약속으로 봅니다. 문단 29⑴은 결합산출물이 둘 이상의 단계를 포함할 수 있다고 명시합니다.</w:t>
      </w:r>
      <w:r>
        <w:rPr>
          <w:rStyle w:val="FootnoteReference"/>
        </w:rPr>
        <w:footnoteReference w:id="25"/>
      </w:r>
      <w:r>
        <w:t xml:space="preserve"> </w:t>
      </w:r>
      <w:r>
        <w:t xml:space="preserve">이렇게 묶어야 수행의무를 인위적으로 쪼개 수익을 앞당기는 일을 막을 수 있습니다. 같은 이유로 결론도출근거는 한 수행의무에 둘 이상의 진행률 측정방법을 허용하면 수행의무 식별 요구사항을 우회하게 된다고 봅니다.</w:t>
      </w:r>
      <w:r>
        <w:rPr>
          <w:rStyle w:val="FootnoteReference"/>
        </w:rPr>
        <w:footnoteReference w:id="26"/>
      </w:r>
    </w:p>
    <w:p>
      <w:pPr>
        <w:pStyle w:val="BodyText"/>
      </w:pPr>
      <w:r>
        <w:rPr>
          <w:b/>
          <w:bCs/>
        </w:rPr>
        <w:t xml:space="preserve">다. 본건 적용</w:t>
      </w:r>
    </w:p>
    <w:p>
      <w:pPr>
        <w:pStyle w:val="Compact"/>
        <w:numPr>
          <w:ilvl w:val="0"/>
          <w:numId w:val="1006"/>
        </w:numPr>
      </w:pPr>
      <w:r>
        <w:t xml:space="preserve">요건 ⑴ 고객이 각 단계 산출물만으로 효익을 얻을 수 있는가: 본건의 1·2단계 산출물은 최종 산출물을 위한 중간 결과물입니다(인터뷰 답변). 단독 효용이 제한되므로 충족이 약합니다.</w:t>
      </w:r>
    </w:p>
    <w:p>
      <w:pPr>
        <w:pStyle w:val="Compact"/>
        <w:numPr>
          <w:ilvl w:val="0"/>
          <w:numId w:val="1006"/>
        </w:numPr>
      </w:pPr>
      <w:r>
        <w:t xml:space="preserve">요건 ⑵ 계약상 별도로 식별되는가: 앞 단계가 끝나야 다음 단계를 시작하고(제공된 사실), 다른 업체가 이어받으면 상당 부분을 다시 작업해야 합니다(인터뷰 답변). 따라서 단계 간 상호의존도가 매우 높아 문단 29⑶에 해당합니다. 충족하지 못합니다.</w:t>
      </w:r>
    </w:p>
    <w:p>
      <w:pPr>
        <w:pStyle w:val="Compact"/>
        <w:numPr>
          <w:ilvl w:val="0"/>
          <w:numId w:val="1006"/>
        </w:numPr>
      </w:pPr>
      <w:r>
        <w:t xml:space="preserve">결과: 1~3단계 산출물 제공은 하나의 결합 산출물(최종 산출물)을 이전하는 단일 수행의무입니다. 단계별 대금 비율 50/30/20은 지급 일정일 뿐이며, 수행의무별 배분 기준이 아닙니다.</w:t>
      </w:r>
    </w:p>
    <w:p>
      <w:pPr>
        <w:pStyle w:val="FirstParagraph"/>
      </w:pPr>
      <w:r>
        <w:rPr>
          <w:b/>
          <w:bCs/>
        </w:rPr>
        <w:t xml:space="preserve">라. 소결</w:t>
      </w:r>
      <w:r>
        <w:br/>
      </w:r>
      <w:r>
        <w:t xml:space="preserve">1~3단계 산출물은 하나의 수행의무입니다. 단계마다 독립된 수익 인식 단위로 보지 않습니다. — 확정도: 해석 견해</w:t>
      </w:r>
    </w:p>
    <w:p>
      <w:pPr>
        <w:pStyle w:val="BodyText"/>
      </w:pPr>
      <w:r>
        <w:rPr>
          <w:b/>
          <w:bCs/>
        </w:rPr>
        <w:t xml:space="preserve">마. 참고 사례</w:t>
      </w:r>
    </w:p>
    <w:p>
      <w:pPr>
        <w:pStyle w:val="Compact"/>
        <w:numPr>
          <w:ilvl w:val="0"/>
          <w:numId w:val="1007"/>
        </w:numPr>
      </w:pPr>
      <w:r>
        <w:t xml:space="preserve">회계기준원 질의회신 2018-I-KQA009는 의약품 수탁생산 사례입니다. 단계가 순차로 진행되고 같은 회사가 앞 단계를 수행해야 뒤 단계가 가능했습니다. 회신은 단계 간 상호관련성·상호의존도가 높아 결합 품목을 이전하는 단일 수행의무로 볼 수 있다고 했습니다. 본건과 업종은 다르지만 ’순차 단계와 다른 업체 이어받기 시 재작업’이라는 판단 구조가 같습니다. 유사도는 일부 차이입니다.</w:t>
      </w:r>
      <w:r>
        <w:rPr>
          <w:rStyle w:val="FootnoteReference"/>
        </w:rPr>
        <w:footnoteReference w:id="27"/>
      </w:r>
    </w:p>
    <w:p>
      <w:pPr>
        <w:pStyle w:val="Compact"/>
        <w:numPr>
          <w:ilvl w:val="0"/>
          <w:numId w:val="1007"/>
        </w:numPr>
      </w:pPr>
      <w:r>
        <w:t xml:space="preserve">금융감독원 2023년 지적사례는 납품과 설치를 별도 계약으로 보아 납품 시점에 매출을 인식한 회사를 다뤘습니다. 금융감독원은 이를 결합 품목을 이전하는 단일 수행의무로 보아 설치 완료 시점에 인식해야 한다고 지적했습니다. 본건처럼 중간 단계 완료를 이유로 수익을 앞당기면 같은 논리로 지적받을 수 있습니다.</w:t>
      </w:r>
      <w:r>
        <w:rPr>
          <w:rStyle w:val="FootnoteReference"/>
        </w:rPr>
        <w:footnoteReference w:id="28"/>
      </w:r>
    </w:p>
    <w:bookmarkEnd w:id="29"/>
    <w:bookmarkStart w:id="37" w:name="실시간-자문은-별도-수행의무이며-계약금액은-어떻게-나누는가"/>
    <w:p>
      <w:pPr>
        <w:pStyle w:val="Heading2"/>
      </w:pPr>
      <w:r>
        <w:t xml:space="preserve">5-2. 실시간 자문은 별도 수행의무이며, 계약금액은 어떻게 나누는가</w:t>
      </w:r>
    </w:p>
    <w:p>
      <w:pPr>
        <w:pStyle w:val="FirstParagraph"/>
      </w:pPr>
      <w:r>
        <w:rPr>
          <w:b/>
          <w:bCs/>
        </w:rPr>
        <w:t xml:space="preserve">가. 관련 기준</w:t>
      </w:r>
    </w:p>
    <w:p>
      <w:pPr>
        <w:pStyle w:val="BlockText"/>
      </w:pPr>
      <w:r>
        <w:rPr>
          <w:b/>
          <w:bCs/>
        </w:rPr>
        <w:t xml:space="preserve">기업회계기준서 제1115호 문단 27</w:t>
      </w:r>
      <w:r>
        <w:br/>
      </w:r>
      <w:r>
        <w:t xml:space="preserve">(5-1 가. 참조)</w:t>
      </w:r>
    </w:p>
    <w:p>
      <w:pPr>
        <w:pStyle w:val="BlockText"/>
      </w:pPr>
      <w:r>
        <w:rPr>
          <w:b/>
          <w:bCs/>
        </w:rPr>
        <w:t xml:space="preserve">기업회계기준서 제1115호 문단 76</w:t>
      </w:r>
      <w:r>
        <w:br/>
      </w:r>
      <w:r>
        <w:t xml:space="preserve">거래가격을 상대적 개별 판매가격에 기초하여 각 수행의무에 배분하기 위하여 계약 개시시점에 계약상 각 수행의무의 대상인 구별되는 재화나 용역의 개별 판매가격을 산정하고 이 개별 판매가격에 비례하여 거래가격을 배분한다.</w:t>
      </w:r>
      <w:r>
        <w:rPr>
          <w:rStyle w:val="FootnoteReference"/>
        </w:rPr>
        <w:footnoteReference w:id="30"/>
      </w:r>
    </w:p>
    <w:p>
      <w:pPr>
        <w:pStyle w:val="BlockText"/>
      </w:pPr>
      <w:r>
        <w:rPr>
          <w:b/>
          <w:bCs/>
        </w:rPr>
        <w:t xml:space="preserve">기업회계기준서 제1115호 문단 B3</w:t>
      </w:r>
      <w:r>
        <w:br/>
      </w:r>
      <w:r>
        <w:t xml:space="preserve">일부 유형의 수행의무는 기업이 수행하는 대로 그 수행의 효익을 고객이 얻고 동시에 소비하는지를 쉽게 파악할 수 있을 것이다. 예를 들면 일상적이거나 반복적인 용역들(예: 청소 용역)은 기업의 수행에서 고객이 효익을 얻고 동시에 소비한다는 것을 쉽게 식별할 수 있다.</w:t>
      </w:r>
      <w:r>
        <w:rPr>
          <w:rStyle w:val="FootnoteReference"/>
        </w:rPr>
        <w:footnoteReference w:id="31"/>
      </w:r>
    </w:p>
    <w:p>
      <w:pPr>
        <w:pStyle w:val="FirstParagraph"/>
      </w:pPr>
      <w:r>
        <w:rPr>
          <w:b/>
          <w:bCs/>
        </w:rPr>
        <w:t xml:space="preserve">나. 기준의 취지</w:t>
      </w:r>
      <w:r>
        <w:br/>
      </w:r>
      <w:r>
        <w:t xml:space="preserve">계약서에 ’별도 대가 없음’으로 적혀 있어도 구별되는 용역이면 계약금액의 일부가 그 대가입니다. 따라서 각 용역을 별도로 판매할 경우의 가격 비율로 나눠야 각 수행의무의 수익 인식 시기가 실질에 맞게 됩니다. 개별 판매가격을 관측할 수 없으면 예상원가에 적절한 이윤을 더하는 방법 등으로 추정합니다.</w:t>
      </w:r>
      <w:r>
        <w:rPr>
          <w:rStyle w:val="FootnoteReference"/>
        </w:rPr>
        <w:footnoteReference w:id="32"/>
      </w:r>
      <w:r>
        <w:br/>
      </w:r>
      <w:r>
        <w:t xml:space="preserve">고객이 요청할 때 언제든 제공할 수 있는 상태에 있는 용역은 실제 사용량이 아니라, 용역을 사용할 수 있게 하는 데 기초해 진행률을 측정합니다(헬스클럽 사례).</w:t>
      </w:r>
      <w:r>
        <w:rPr>
          <w:rStyle w:val="FootnoteReference"/>
        </w:rPr>
        <w:footnoteReference w:id="33"/>
      </w:r>
    </w:p>
    <w:p>
      <w:pPr>
        <w:pStyle w:val="BodyText"/>
      </w:pPr>
      <w:r>
        <w:rPr>
          <w:b/>
          <w:bCs/>
        </w:rPr>
        <w:t xml:space="preserve">다. 본건 적용</w:t>
      </w:r>
    </w:p>
    <w:p>
      <w:pPr>
        <w:pStyle w:val="Compact"/>
        <w:numPr>
          <w:ilvl w:val="0"/>
          <w:numId w:val="1008"/>
        </w:numPr>
      </w:pPr>
      <w:r>
        <w:t xml:space="preserve">요건 ⑴ 고객이 그 자체로 효익을 얻는가: 자문은 고객이 요청한 사안에 대한 조언입니다. 고객이 받는 즉시 활용할 수 있으므로 충족합니다(인터뷰 답변).</w:t>
      </w:r>
    </w:p>
    <w:p>
      <w:pPr>
        <w:pStyle w:val="Compact"/>
        <w:numPr>
          <w:ilvl w:val="0"/>
          <w:numId w:val="1008"/>
        </w:numPr>
      </w:pPr>
      <w:r>
        <w:t xml:space="preserve">요건 ⑵ 계약상 별도로 식별되는가: 산출물과 관계없이 제공하는 자문이므로(인터뷰 답변) 산출물을 변형하거나 통합하는 관계가 아닙니다. 충족합니다.</w:t>
      </w:r>
    </w:p>
    <w:p>
      <w:pPr>
        <w:pStyle w:val="Compact"/>
        <w:numPr>
          <w:ilvl w:val="0"/>
          <w:numId w:val="1008"/>
        </w:numPr>
      </w:pPr>
      <w:r>
        <w:t xml:space="preserve">결과: 자문은 별도 수행의무입니다. 계약 개시시점에 산출물과 자문의 개별 판매가격을 산정해 계약금액을 배분합니다. 자문의 개별 판매가격은 예상 투입시간에 시간당 원가와 이윤을 더하는 방법으로 추정하는 것을 권고합니다(가정 3).</w:t>
      </w:r>
    </w:p>
    <w:p>
      <w:pPr>
        <w:pStyle w:val="Compact"/>
        <w:numPr>
          <w:ilvl w:val="0"/>
          <w:numId w:val="1008"/>
        </w:numPr>
      </w:pPr>
      <w:r>
        <w:t xml:space="preserve">자문은 고객이 제공받는 대로 효익을 소비하므로 기간에 걸쳐 인식합니다(문단 35⑴).</w:t>
      </w:r>
      <w:r>
        <w:rPr>
          <w:rStyle w:val="FootnoteReference"/>
        </w:rPr>
        <w:footnoteReference w:id="34"/>
      </w:r>
      <w:r>
        <w:t xml:space="preserve"> </w:t>
      </w:r>
      <w:r>
        <w:t xml:space="preserve">언제든 제공할 수 있는 상태로 운영되므로(가정 3), 진행률은 계약 착수부터 최종 검수까지의 예상 기간 대비 경과기간으로 측정합니다. 예상 기간이 바뀌면 보고기간 말마다 다시 측정하고, 그 변동은 회계추정치의 변경으로 처리합니다.</w:t>
      </w:r>
      <w:r>
        <w:rPr>
          <w:rStyle w:val="FootnoteReference"/>
        </w:rPr>
        <w:footnoteReference w:id="35"/>
      </w:r>
      <w:r>
        <w:rPr>
          <w:rStyle w:val="FootnoteReference"/>
        </w:rPr>
        <w:footnoteReference w:id="36"/>
      </w:r>
    </w:p>
    <w:p>
      <w:pPr>
        <w:pStyle w:val="FirstParagraph"/>
      </w:pPr>
      <w:r>
        <w:rPr>
          <w:b/>
          <w:bCs/>
        </w:rPr>
        <w:t xml:space="preserve">라. 소결</w:t>
      </w:r>
      <w:r>
        <w:br/>
      </w:r>
      <w:r>
        <w:t xml:space="preserve">실시간 자문은 별도 수행의무입니다. 개별 판매가격 비율로 배분한 금액을 용역기간에 걸쳐 경과기간 기준으로 인식합니다. 자문의 개별 판매가격 비중이 중요하지 않다면 실제 영향은 작습니다. 다만 그 판단 근거는 문서로 남겨 두어야 합니다(중요성 판단은 회계위키 근거 미확인, 일반 실무 판단). — 확정도: 해석 견해</w:t>
      </w:r>
    </w:p>
    <w:bookmarkEnd w:id="37"/>
    <w:bookmarkStart w:id="53" w:name="산출물-수행의무는-기간에-걸쳐-이행되는가"/>
    <w:p>
      <w:pPr>
        <w:pStyle w:val="Heading2"/>
      </w:pPr>
      <w:r>
        <w:t xml:space="preserve">5-3. 산출물 수행의무는 기간에 걸쳐 이행되는가</w:t>
      </w:r>
    </w:p>
    <w:p>
      <w:pPr>
        <w:pStyle w:val="FirstParagraph"/>
      </w:pPr>
      <w:r>
        <w:rPr>
          <w:b/>
          <w:bCs/>
        </w:rPr>
        <w:t xml:space="preserve">가. 관련 기준</w:t>
      </w:r>
    </w:p>
    <w:p>
      <w:pPr>
        <w:pStyle w:val="BlockText"/>
      </w:pPr>
      <w:r>
        <w:rPr>
          <w:b/>
          <w:bCs/>
        </w:rPr>
        <w:t xml:space="preserve">기업회계기준서 제1115호 문단 35</w:t>
      </w:r>
      <w:r>
        <w:br/>
      </w:r>
      <w:r>
        <w:t xml:space="preserve">다음 기준 중 어느 하나를 충족하면, 기업은 재화나 용역에 대한 통제를 기간에 걸쳐 이전하므로, 기간에 걸쳐 수행의무를 이행하는 것이고 기간에 걸쳐 수익을 인식한다.</w:t>
      </w:r>
      <w:r>
        <w:br/>
      </w:r>
      <w:r>
        <w:t xml:space="preserve">⑴ 고객은 기업이 수행하는 대로 기업의 수행에서 제공하는 효익을 동시에 얻고 소비한다(문단 B3~B4 참조).</w:t>
      </w:r>
      <w:r>
        <w:br/>
      </w:r>
      <w:r>
        <w:t xml:space="preserve">(중략)</w:t>
      </w:r>
      <w:r>
        <w:br/>
      </w:r>
      <w:r>
        <w:t xml:space="preserve">⑶ 기업이 수행하여 만든 자산이 기업 자체에는 대체 용도가 없고(문단 36 참조), 지금까지 수행을 완료한 부분에 대해 집행 가능한 지급청구권이 기업에 있다(문단 37 참조).</w:t>
      </w:r>
      <w:r>
        <w:rPr>
          <w:rStyle w:val="FootnoteReference"/>
        </w:rPr>
        <w:footnoteReference w:id="38"/>
      </w:r>
    </w:p>
    <w:p>
      <w:pPr>
        <w:pStyle w:val="BlockText"/>
      </w:pPr>
      <w:r>
        <w:rPr>
          <w:b/>
          <w:bCs/>
        </w:rPr>
        <w:t xml:space="preserve">기업회계기준서 제1115호 문단 B4</w:t>
      </w:r>
      <w:r>
        <w:br/>
      </w:r>
      <w:r>
        <w:t xml:space="preserve">(전략) 그러한 상황에서 다른 기업이 고객에게 나머지 수행의무를 이행한다고 가정할 때, 기업이 지금까지 완료한 업무를 다른 기업이 실질적으로 다시 수행할 필요가 없을 것이라고 판단한다면 그 수행의무는 기간에 걸쳐 이행하는 것이다. (후략)</w:t>
      </w:r>
      <w:r>
        <w:rPr>
          <w:rStyle w:val="FootnoteReference"/>
        </w:rPr>
        <w:footnoteReference w:id="39"/>
      </w:r>
    </w:p>
    <w:p>
      <w:pPr>
        <w:pStyle w:val="BlockText"/>
      </w:pPr>
      <w:r>
        <w:rPr>
          <w:b/>
          <w:bCs/>
        </w:rPr>
        <w:t xml:space="preserve">기업회계기준서 제1115호 문단 37</w:t>
      </w:r>
      <w:r>
        <w:br/>
      </w:r>
      <w:r>
        <w:t xml:space="preserve">(전략) 그러나 기업이 약속대로 수행하지 못했기 때문이 아니라 그 밖의 사유로 고객이나 다른 당사자가 계약을 종료한다면 적어도 지금까지 수행을 완료한 부분에 대한 보상 금액을 받을 권리가 계약기간에는 언제든지 있어야 한다. (후략)</w:t>
      </w:r>
      <w:r>
        <w:rPr>
          <w:rStyle w:val="FootnoteReference"/>
        </w:rPr>
        <w:footnoteReference w:id="40"/>
      </w:r>
    </w:p>
    <w:p>
      <w:pPr>
        <w:pStyle w:val="BlockText"/>
      </w:pPr>
      <w:r>
        <w:rPr>
          <w:b/>
          <w:bCs/>
        </w:rPr>
        <w:t xml:space="preserve">기업회계기준서 제1115호 문단 B9</w:t>
      </w:r>
      <w:r>
        <w:br/>
      </w:r>
      <w:r>
        <w:t xml:space="preserve">(전략) 지금까지 수행을 완료한 부분에 대해 기업에 보상하는 금액은 계약이 종료된다고 가정할 때, 기업이 잠재적으로 상실하는 이익만을 보상하는 것이 아니라 지금까지 이전된 재화나 용역의 판매가격에 가까운 금액(예: 수행의무의 이행에 든 원가의 회수금액에 적정한 이윤을 더한 금액)이 될 것이다. (후략)</w:t>
      </w:r>
      <w:r>
        <w:rPr>
          <w:rStyle w:val="FootnoteReference"/>
        </w:rPr>
        <w:footnoteReference w:id="41"/>
      </w:r>
    </w:p>
    <w:p>
      <w:pPr>
        <w:pStyle w:val="BlockText"/>
      </w:pPr>
      <w:r>
        <w:rPr>
          <w:b/>
          <w:bCs/>
        </w:rPr>
        <w:t xml:space="preserve">기업회계기준서 제1115호 문단 B12</w:t>
      </w:r>
      <w:r>
        <w:br/>
      </w:r>
      <w:r>
        <w:t xml:space="preserve">지금까지 수행을 완료한 부분에 대해 지급청구권이 있는지와 그 권리를 집행할 수 있는지를 판단하기 위해, 계약 조건과 그 계약 조건을 보충하거나 무효화할 수 있는 법률이나 판례도 참고한다. 이에는 다음 사항에 대한 판단이 포함될 것이다.</w:t>
      </w:r>
      <w:r>
        <w:br/>
      </w:r>
      <w:r>
        <w:t xml:space="preserve">⑴ 고객과의 계약에 지급청구권이 규정되지 않더라도 법률, 행정 관행이나 판례에서 기업에 지금까지의 수행분에 대한 지급청구권을 부여하는지</w:t>
      </w:r>
      <w:r>
        <w:br/>
      </w:r>
      <w:r>
        <w:t xml:space="preserve">(후략)</w:t>
      </w:r>
      <w:r>
        <w:rPr>
          <w:rStyle w:val="FootnoteReference"/>
        </w:rPr>
        <w:footnoteReference w:id="42"/>
      </w:r>
    </w:p>
    <w:p>
      <w:pPr>
        <w:pStyle w:val="BlockText"/>
      </w:pPr>
      <w:r>
        <w:rPr>
          <w:b/>
          <w:bCs/>
        </w:rPr>
        <w:t xml:space="preserve">기업회계기준서 제1115호 문단 B13</w:t>
      </w:r>
      <w:r>
        <w:br/>
      </w:r>
      <w:r>
        <w:t xml:space="preserve">계약에서 정한 지급 일정이 기업이 지금까지 수행을 완료한 부분에 대해 집행 가능한 지급청구권을 갖는지를 반드시 나타내는 것은 아니다. (후략)</w:t>
      </w:r>
      <w:r>
        <w:rPr>
          <w:rStyle w:val="FootnoteReference"/>
        </w:rPr>
        <w:footnoteReference w:id="43"/>
      </w:r>
    </w:p>
    <w:p>
      <w:pPr>
        <w:pStyle w:val="BlockText"/>
      </w:pPr>
      <w:r>
        <w:rPr>
          <w:b/>
          <w:bCs/>
        </w:rPr>
        <w:t xml:space="preserve">기업회계기준서 제1115호 문단 38</w:t>
      </w:r>
      <w:r>
        <w:br/>
      </w:r>
      <w:r>
        <w:t xml:space="preserve">수행의무가 문단 35~37에 따라 기간에 걸쳐 이행되지 않는다면, 그 수행의무는 한 시점에 이행되는 것이다. (후략)</w:t>
      </w:r>
      <w:r>
        <w:rPr>
          <w:rStyle w:val="FootnoteReference"/>
        </w:rPr>
        <w:footnoteReference w:id="44"/>
      </w:r>
    </w:p>
    <w:p>
      <w:pPr>
        <w:pStyle w:val="FirstParagraph"/>
      </w:pPr>
      <w:r>
        <w:rPr>
          <w:b/>
          <w:bCs/>
        </w:rPr>
        <w:t xml:space="preserve">나. 기준의 취지</w:t>
      </w:r>
      <w:r>
        <w:br/>
      </w:r>
      <w:r>
        <w:t xml:space="preserve">’용역’이라는 이유만으로 진행기준을 적용하지는 않습니다. 문단 35의 세 기준 중 하나로 통제가 기간에 걸쳐 이전된다는 점이 입증되어야 합니다.</w:t>
      </w:r>
      <w:r>
        <w:rPr>
          <w:rStyle w:val="FootnoteReference"/>
        </w:rPr>
        <w:footnoteReference w:id="45"/>
      </w:r>
      <w:r>
        <w:t xml:space="preserve"> </w:t>
      </w:r>
      <w:r>
        <w:t xml:space="preserve">문단 35⑶은 고객이 작업 중인 자산을 통제하지 않더라도 실질적으로 고객을 위해 일하고 있는지를 지급청구권으로 판별합니다. 그래서 계약기간 중 언제 해지되더라도 원가에 적정 이윤을 더한 수준의 보상을 받을 권리가 있어야 합니다(문단 37, B9). 지급청구권은 계약 문구뿐 아니라 계약을 보충하는 법률·판례로도 판단합니다(문단 B12). 반면 단계별 지급 일정은 그 자체로 지급청구권의 증거가 되지 않습니다(문단 B13).</w:t>
      </w:r>
    </w:p>
    <w:p>
      <w:pPr>
        <w:pStyle w:val="BodyText"/>
      </w:pPr>
      <w:r>
        <w:rPr>
          <w:b/>
          <w:bCs/>
        </w:rPr>
        <w:t xml:space="preserve">다. 본건 적용</w:t>
      </w:r>
    </w:p>
    <w:p>
      <w:pPr>
        <w:pStyle w:val="Compact"/>
        <w:numPr>
          <w:ilvl w:val="0"/>
          <w:numId w:val="1009"/>
        </w:numPr>
      </w:pPr>
      <w:r>
        <w:t xml:space="preserve">문단 35⑴: 다른 업체가 이어받으면 상당 부분을 다시 작업해야 합니다(인터뷰 답변). 따라서 문단 B4의 판단에 따라 충족하지 못합니다.</w:t>
      </w:r>
    </w:p>
    <w:p>
      <w:pPr>
        <w:pStyle w:val="Compact"/>
        <w:numPr>
          <w:ilvl w:val="0"/>
          <w:numId w:val="1009"/>
        </w:numPr>
      </w:pPr>
      <w:r>
        <w:t xml:space="preserve">문단 35⑵: 작업 중인 산출물을 고객이 통제하지 않습니다(가정 2). 충족하지 못합니다.</w:t>
      </w:r>
    </w:p>
    <w:p>
      <w:pPr>
        <w:pStyle w:val="Compact"/>
        <w:numPr>
          <w:ilvl w:val="0"/>
          <w:numId w:val="1009"/>
        </w:numPr>
      </w:pPr>
      <w:r>
        <w:t xml:space="preserve">문단 35⑶ 대체 용도: 고객 고유의 산출물이므로 대체 용도가 없습니다(가정 1). 충족합니다.</w:t>
      </w:r>
    </w:p>
    <w:p>
      <w:pPr>
        <w:pStyle w:val="Compact"/>
        <w:numPr>
          <w:ilvl w:val="0"/>
          <w:numId w:val="1009"/>
        </w:numPr>
      </w:pPr>
      <w:r>
        <w:t xml:space="preserve">문단 35⑶ 지급청구권(계약): 해지 조항이 없거나 불명확합니다(인터뷰 답변). 단계 검수 후 지급 일정은 문단 B13에 따라 지급청구권의 증거가 되지 않습니다.</w:t>
      </w:r>
    </w:p>
    <w:p>
      <w:pPr>
        <w:pStyle w:val="Compact"/>
        <w:numPr>
          <w:ilvl w:val="1"/>
          <w:numId w:val="1010"/>
        </w:numPr>
      </w:pPr>
      <w:r>
        <w:t xml:space="preserve">구간별로 보면, 1단계 검수 전 진행 중에는 받은 대금이 없습니다. 2단계 후반에는 받은 50%가 누적 수행분의 원가에 이윤을 더한 금액에 미달할 수 있습니다.</w:t>
      </w:r>
    </w:p>
    <w:p>
      <w:pPr>
        <w:pStyle w:val="Compact"/>
        <w:numPr>
          <w:ilvl w:val="1"/>
          <w:numId w:val="1010"/>
        </w:numPr>
      </w:pPr>
      <w:r>
        <w:t xml:space="preserve">따라서 계약서만으로는</w:t>
      </w:r>
      <w:r>
        <w:t xml:space="preserve"> </w:t>
      </w:r>
      <w:r>
        <w:t xml:space="preserve">‘계약기간 중 언제든지’</w:t>
      </w:r>
      <w:r>
        <w:t xml:space="preserve"> </w:t>
      </w:r>
      <w:r>
        <w:t xml:space="preserve">요건이 확인되지 않습니다.</w:t>
      </w:r>
    </w:p>
    <w:p>
      <w:pPr>
        <w:pStyle w:val="Compact"/>
        <w:numPr>
          <w:ilvl w:val="0"/>
          <w:numId w:val="1009"/>
        </w:numPr>
      </w:pPr>
      <w:r>
        <w:t xml:space="preserve">문단 35⑶ 지급청구권(법률): 문단 B12⑴에 따라 민법을 함께 봐야 합니다. 조회한 민법 조문은 다음과 같습니다.</w:t>
      </w:r>
    </w:p>
    <w:p>
      <w:pPr>
        <w:pStyle w:val="Compact"/>
        <w:numPr>
          <w:ilvl w:val="1"/>
          <w:numId w:val="1011"/>
        </w:numPr>
      </w:pPr>
      <w:r>
        <w:t xml:space="preserve">도급의 경우 제673조:</w:t>
      </w:r>
      <w:r>
        <w:t xml:space="preserve"> </w:t>
      </w:r>
      <w:r>
        <w:t xml:space="preserve">“수급인이 일을 완성하기 전에는 도급인은 손해를 배상하고 계약을 해제할 수 있다.”</w:t>
      </w:r>
      <w:r>
        <w:rPr>
          <w:rStyle w:val="FootnoteReference"/>
        </w:rPr>
        <w:footnoteReference w:id="46"/>
      </w:r>
    </w:p>
    <w:p>
      <w:pPr>
        <w:pStyle w:val="Compact"/>
        <w:numPr>
          <w:ilvl w:val="1"/>
          <w:numId w:val="1011"/>
        </w:numPr>
      </w:pPr>
      <w:r>
        <w:t xml:space="preserve">위임의 경우 제689조 제1항: 각 당사자가 언제든지 해지할 수 있습니다.</w:t>
      </w:r>
      <w:r>
        <w:rPr>
          <w:rStyle w:val="FootnoteReference"/>
        </w:rPr>
        <w:footnoteReference w:id="47"/>
      </w:r>
    </w:p>
    <w:p>
      <w:pPr>
        <w:pStyle w:val="Compact"/>
        <w:numPr>
          <w:ilvl w:val="1"/>
          <w:numId w:val="1011"/>
        </w:numPr>
      </w:pPr>
      <w:r>
        <w:t xml:space="preserve">위임의 경우 제686조 제3항:</w:t>
      </w:r>
      <w:r>
        <w:t xml:space="preserve"> </w:t>
      </w:r>
      <w:r>
        <w:t xml:space="preserve">“수임인이 위임사무를 처리하는 중에 수임인의 책임없는 사유로 인하여 위임이 종료된 때에는 수임인은 이미 처리한 사무의 비율에 따른 보수를 청구할 수 있다.”</w:t>
      </w:r>
      <w:r>
        <w:rPr>
          <w:rStyle w:val="FootnoteReference"/>
        </w:rPr>
        <w:footnoteReference w:id="48"/>
      </w:r>
    </w:p>
    <w:p>
      <w:pPr>
        <w:pStyle w:val="Compact"/>
        <w:numPr>
          <w:ilvl w:val="1"/>
          <w:numId w:val="1011"/>
        </w:numPr>
      </w:pPr>
      <w:r>
        <w:t xml:space="preserve">본건 계약이 위임 성격이고 제686조 제3항을 적용할 수 있다면, 계약대금 비율에 따른 보수(이윤 포함)를 받을 권리가 생겨 문단 B9를 충족할 여지가 있습니다.</w:t>
      </w:r>
    </w:p>
    <w:p>
      <w:pPr>
        <w:pStyle w:val="Compact"/>
        <w:numPr>
          <w:ilvl w:val="1"/>
          <w:numId w:val="1011"/>
        </w:numPr>
      </w:pPr>
      <w:r>
        <w:t xml:space="preserve">그러나 다음 사항은 법률 판단이므로 이 검토에서 결론 내리지 않습니다. 계약의 법적 성격이 도급인지 위임인지, 이 규정을 계약으로 배제했는지, 도급의 ’손해배상’에 수행분 원가와 이윤이 포함되는지, 판례상 집행할 수 있는지(가정 5).</w:t>
      </w:r>
    </w:p>
    <w:p>
      <w:pPr>
        <w:pStyle w:val="Compact"/>
        <w:numPr>
          <w:ilvl w:val="0"/>
          <w:numId w:val="1009"/>
        </w:numPr>
      </w:pPr>
      <w:r>
        <w:t xml:space="preserve">결과: 현재 확인된 근거로는 문단 35의 어느 기준도 충족이 입증되지 않습니다. 따라서 문단 38에 따라 한 시점에 이행하는 수행의무로 봅니다.</w:t>
      </w:r>
    </w:p>
    <w:p>
      <w:pPr>
        <w:pStyle w:val="Compact"/>
        <w:numPr>
          <w:ilvl w:val="1"/>
          <w:numId w:val="1012"/>
        </w:numPr>
      </w:pPr>
      <w:r>
        <w:t xml:space="preserve">통제는 최종 결합 산출물이 계약 규격에 맞는지 확인되는 3단계 최종 검수 시점에 이전됩니다. 보고서 형태의 산출물은 규격 충족을 객관적으로 판단하기 어려우므로, 고객이 인수할 때까지 통제가 이전되었다고 보기 어렵습니다.</w:t>
      </w:r>
      <w:r>
        <w:rPr>
          <w:rStyle w:val="FootnoteReference"/>
        </w:rPr>
        <w:footnoteReference w:id="49"/>
      </w:r>
    </w:p>
    <w:p>
      <w:pPr>
        <w:pStyle w:val="FirstParagraph"/>
      </w:pPr>
      <w:r>
        <w:rPr>
          <w:b/>
          <w:bCs/>
        </w:rPr>
        <w:t xml:space="preserve">라. 소결</w:t>
      </w:r>
      <w:r>
        <w:br/>
      </w:r>
      <w:r>
        <w:t xml:space="preserve">기본 결론은 산출물 수행의무를 3단계 최종 검수 시점에 한 번에 인식하는 것입니다. 다만 법률 검토로 민법 등에 따른 ’진행 중 해지 시 원가에 적정 이윤을 더한 수준의 수행분 대가를 받을 집행 가능한 권리’가 확인되면, 문단 35⑶을 충족하므로 기간에 걸쳐 인식합니다. 이때 진행률은 5-6에 따릅니다. — 확정도: 해석 견해(법률 검토 결과에 따라 바뀜)</w:t>
      </w:r>
    </w:p>
    <w:p>
      <w:pPr>
        <w:pStyle w:val="BodyText"/>
      </w:pPr>
      <w:r>
        <w:rPr>
          <w:b/>
          <w:bCs/>
        </w:rPr>
        <w:t xml:space="preserve">마. 참고 사례</w:t>
      </w:r>
    </w:p>
    <w:p>
      <w:pPr>
        <w:pStyle w:val="Compact"/>
        <w:numPr>
          <w:ilvl w:val="0"/>
          <w:numId w:val="1013"/>
        </w:numPr>
      </w:pPr>
      <w:r>
        <w:t xml:space="preserve">신속처리질의 SSI-36904(2020)은 용역을 제공하면 진행기준으로 인식하는지 물었습니다. 회신은 통제를 기간에 걸쳐 이전하는 경우에만 기간에 걸쳐 인식한다고 했습니다. 본건에 그대로 적용됩니다.</w:t>
      </w:r>
      <w:r>
        <w:rPr>
          <w:rStyle w:val="FootnoteReference"/>
        </w:rPr>
        <w:footnoteReference w:id="50"/>
      </w:r>
    </w:p>
    <w:p>
      <w:pPr>
        <w:pStyle w:val="Compact"/>
        <w:numPr>
          <w:ilvl w:val="0"/>
          <w:numId w:val="1013"/>
        </w:numPr>
      </w:pPr>
      <w:r>
        <w:t xml:space="preserve">신속처리질의 SSI-202312052(2022)는 반도체 장비 계약금·중도금·잔금 사례입니다. 회신은 수익 인식시기가 세금계산서 발행과 무관하며, 문단 35를 충족하지 않으면 통제 이전 시점에 인식한다고 했습니다. 본건과 재화·용역의 차이는 있으나 ’청구 일정과 수익 인식은 별개’라는 점에서 그대로 적용됩니다.</w:t>
      </w:r>
      <w:r>
        <w:rPr>
          <w:rStyle w:val="FootnoteReference"/>
        </w:rPr>
        <w:footnoteReference w:id="51"/>
      </w:r>
    </w:p>
    <w:p>
      <w:pPr>
        <w:pStyle w:val="Compact"/>
        <w:numPr>
          <w:ilvl w:val="0"/>
          <w:numId w:val="1013"/>
        </w:numPr>
      </w:pPr>
      <w:r>
        <w:t xml:space="preserve">한국공인회계사회 KICPA-2025-07은 문단 35⑵ 요건(고객 소유 장비의 가치 증대)을 충족하는데도 인도 시점에 인식한 회사를 지적한 사례입니다. 본건에서 법률 검토로 지급청구권이 확인되는데도 한 시점 인식을 유지하면 반대 방향으로 지적받을 수 있습니다. 법률 검토 결과를 반드시 반영해야 하는 이유입니다.</w:t>
      </w:r>
      <w:r>
        <w:rPr>
          <w:rStyle w:val="FootnoteReference"/>
        </w:rPr>
        <w:footnoteReference w:id="52"/>
      </w:r>
    </w:p>
    <w:bookmarkEnd w:id="53"/>
    <w:bookmarkStart w:id="58" w:name="Xe4f7c18e84bb00ce987dc14a0dd2bdfc3936e73"/>
    <w:p>
      <w:pPr>
        <w:pStyle w:val="Heading2"/>
      </w:pPr>
      <w:r>
        <w:t xml:space="preserve">5-4. 마일스톤 청구액(50/30/20)을 그대로 수익으로 인식하는 청구권 실무적 간편법을 쓸 수 있는가</w:t>
      </w:r>
    </w:p>
    <w:p>
      <w:pPr>
        <w:pStyle w:val="FirstParagraph"/>
      </w:pPr>
      <w:r>
        <w:rPr>
          <w:b/>
          <w:bCs/>
        </w:rPr>
        <w:t xml:space="preserve">가. 관련 기준</w:t>
      </w:r>
    </w:p>
    <w:p>
      <w:pPr>
        <w:pStyle w:val="BlockText"/>
      </w:pPr>
      <w:r>
        <w:rPr>
          <w:b/>
          <w:bCs/>
        </w:rPr>
        <w:t xml:space="preserve">기업회계기준서 제1115호 문단 B16</w:t>
      </w:r>
      <w:r>
        <w:br/>
      </w:r>
      <w:r>
        <w:t xml:space="preserve">기업이 지금까지 수행을 완료한 정도가 고객에게 주는 가치에 직접 상응하는 금액을 고객에게서 받을 권리가 있다면(예: 기업이 제공한 용역 시간당 고정금액을 청구할 수 있는 용역계약), 기업은 청구권이 있는 금액으로 수익을 인식하는 실무적 간편법을 쓸 수 있다.</w:t>
      </w:r>
      <w:r>
        <w:rPr>
          <w:rStyle w:val="FootnoteReference"/>
        </w:rPr>
        <w:footnoteReference w:id="54"/>
      </w:r>
    </w:p>
    <w:p>
      <w:pPr>
        <w:pStyle w:val="BlockText"/>
      </w:pPr>
      <w:r>
        <w:rPr>
          <w:b/>
          <w:bCs/>
        </w:rPr>
        <w:t xml:space="preserve">기업회계기준서 제1115호 문단 B15</w:t>
      </w:r>
      <w:r>
        <w:br/>
      </w:r>
      <w:r>
        <w:t xml:space="preserve">(전략) 산출법은 지금까지 수행을 완료한 정도를 조사, 달성한 결과에 대한 평가, 도달한 단계, 경과한 시간, 생산한 단위나 인도한 단위와 같은 방법이 포함된다. (중략) 선택한 산출물이 고객에게 통제가 이전되는 재화나 용역의 일부를 측정하지 못한다면, 해당 산출법은 기업의 수행 정도를 충실하게 나타낼 수 없을 것이다. (후략)</w:t>
      </w:r>
      <w:r>
        <w:rPr>
          <w:rStyle w:val="FootnoteReference"/>
        </w:rPr>
        <w:footnoteReference w:id="55"/>
      </w:r>
    </w:p>
    <w:p>
      <w:pPr>
        <w:pStyle w:val="FirstParagraph"/>
      </w:pPr>
      <w:r>
        <w:rPr>
          <w:b/>
          <w:bCs/>
        </w:rPr>
        <w:t xml:space="preserve">나. 기준의 취지</w:t>
      </w:r>
      <w:r>
        <w:br/>
      </w:r>
      <w:r>
        <w:t xml:space="preserve">결론도출근거는 이 간편법이</w:t>
      </w:r>
      <w:r>
        <w:t xml:space="preserve"> </w:t>
      </w:r>
      <w:r>
        <w:t xml:space="preserve">“기업이 청구할 수 있는 권리에 해당하는 대가(금액)가 기업이 고객에게 이전하는 재화나 용역(지금까지 수행을 완료한 부분)의 각 증분에 대하여 고객에게 주는 가치에 직접 상응하는 경우에 적절하다”</w:t>
      </w:r>
      <w:r>
        <w:t xml:space="preserve">고 설명합니다.</w:t>
      </w:r>
      <w:r>
        <w:rPr>
          <w:rStyle w:val="FootnoteReference"/>
        </w:rPr>
        <w:footnoteReference w:id="56"/>
      </w:r>
      <w:r>
        <w:t xml:space="preserve"> </w:t>
      </w:r>
      <w:r>
        <w:t xml:space="preserve">즉 수행이 조금씩 늘 때마다 청구권도 같은 비율로 늘어나는 계약(시간당 단가 계약 등)에서 진행률 측정을 생략하게 해 주는 간편법입니다. 단계 완료 시에만 정액을 청구하는 계약에는 맞지 않습니다.</w:t>
      </w:r>
    </w:p>
    <w:p>
      <w:pPr>
        <w:pStyle w:val="BodyText"/>
      </w:pPr>
      <w:r>
        <w:rPr>
          <w:b/>
          <w:bCs/>
        </w:rPr>
        <w:t xml:space="preserve">다. 본건 적용</w:t>
      </w:r>
    </w:p>
    <w:p>
      <w:pPr>
        <w:pStyle w:val="Compact"/>
        <w:numPr>
          <w:ilvl w:val="0"/>
          <w:numId w:val="1014"/>
        </w:numPr>
      </w:pPr>
      <w:r>
        <w:t xml:space="preserve">간편법은 기간에 걸쳐 이행하는 수행의무의 진행률 측정방법입니다. 기본 결론(5-3)처럼 한 시점에 이행하는 수행의무라면 적용 대상 자체가 아닙니다.</w:t>
      </w:r>
    </w:p>
    <w:p>
      <w:pPr>
        <w:pStyle w:val="Compact"/>
        <w:numPr>
          <w:ilvl w:val="0"/>
          <w:numId w:val="1014"/>
        </w:numPr>
      </w:pPr>
      <w:r>
        <w:t xml:space="preserve">기간에 걸쳐 인식하는 경우에도 요건을 충족하지 못합니다.</w:t>
      </w:r>
    </w:p>
    <w:p>
      <w:pPr>
        <w:pStyle w:val="Compact"/>
        <w:numPr>
          <w:ilvl w:val="1"/>
          <w:numId w:val="1015"/>
        </w:numPr>
      </w:pPr>
      <w:r>
        <w:t xml:space="preserve">각 증분에 직접 상응하지 않습니다. 청구권은 단계 검수 때만 생기므로, 예상 기간이 9개월인 2단계 진행 중에는 수행이 늘어도 청구권이 늘지 않습니다. 이는 문단 B15가 말하는, 통제가 이전되는 부분을 측정하지 못하는 산출물에 해당합니다.</w:t>
      </w:r>
    </w:p>
    <w:p>
      <w:pPr>
        <w:pStyle w:val="Compact"/>
        <w:numPr>
          <w:ilvl w:val="1"/>
          <w:numId w:val="1015"/>
        </w:numPr>
      </w:pPr>
      <w:r>
        <w:t xml:space="preserve">가치에 상응하지 않습니다. 예상 기간 3개월인 1단계가 50%, 9개월인 2단계가 30%입니다. 이는 대금이 앞쪽에 몰린 지급 일정으로 보이며, 단계별 수행 정도와 같은 비율이라는 증거가 없습니다(제공된 사실). 예를 들어 실제 투입시간 비중이 1단계 20%, 2단계 65%, 3단계 15%라면(가상 수치), 1단계 검수 시점에 청구액 기준으로는 50%를 인식하지만 실제 진행률은 20%입니다. 수익이 30%포인트 앞당겨집니다.</w:t>
      </w:r>
    </w:p>
    <w:p>
      <w:pPr>
        <w:pStyle w:val="Compact"/>
        <w:numPr>
          <w:ilvl w:val="1"/>
          <w:numId w:val="1015"/>
        </w:numPr>
      </w:pPr>
      <w:r>
        <w:t xml:space="preserve">청구액에는 별도 수행의무인 자문의 대가(5-2)가 섞여 있어, 산출물 수행의무의 진행률로 그대로 쓸 수 없습니다.</w:t>
      </w:r>
    </w:p>
    <w:p>
      <w:pPr>
        <w:pStyle w:val="Compact"/>
        <w:numPr>
          <w:ilvl w:val="0"/>
          <w:numId w:val="1014"/>
        </w:numPr>
      </w:pPr>
      <w:r>
        <w:t xml:space="preserve">’도달한 단계’를 산출물로 쓰는 일반 산출법도 같은 이유(단계 간격이 넓어 진행 중인 수행을 측정하지 못함)로 본건의 수행 정도를 충실히 나타내지 못합니다.</w:t>
      </w:r>
    </w:p>
    <w:p>
      <w:pPr>
        <w:pStyle w:val="FirstParagraph"/>
      </w:pPr>
      <w:r>
        <w:rPr>
          <w:b/>
          <w:bCs/>
        </w:rPr>
        <w:t xml:space="preserve">라. 소결</w:t>
      </w:r>
      <w:r>
        <w:br/>
      </w:r>
      <w:r>
        <w:t xml:space="preserve">청구권 실무적 간편법으로 단계별 청구액(50/30/20)을 수익으로 인식하는 방법은 기준서에 위배됩니다. — 확정도: 확정</w:t>
      </w:r>
    </w:p>
    <w:p>
      <w:pPr>
        <w:pStyle w:val="BodyText"/>
      </w:pPr>
      <w:r>
        <w:rPr>
          <w:b/>
          <w:bCs/>
        </w:rPr>
        <w:t xml:space="preserve">마. 참고 사례</w:t>
      </w:r>
    </w:p>
    <w:p>
      <w:pPr>
        <w:pStyle w:val="Compact"/>
        <w:numPr>
          <w:ilvl w:val="0"/>
          <w:numId w:val="1016"/>
        </w:numPr>
      </w:pPr>
      <w:r>
        <w:t xml:space="preserve">한국공인회계사회 KICPA-2024-02는 수익 인식 요건 충족 시점이 아니라 대금 지불조건에 따른 세금계산서 발행 시점에 일부 매출을 인식한 회사를 지적한 사례입니다(일반기업회계기준). 기준 체계는 다르지만 청구 일정에 따라 수익을 인식하면 지적 대상이라는 시사점은 같습니다. 유사도는 참고만입니다.</w:t>
      </w:r>
      <w:r>
        <w:rPr>
          <w:rStyle w:val="FootnoteReference"/>
        </w:rPr>
        <w:footnoteReference w:id="57"/>
      </w:r>
    </w:p>
    <w:bookmarkEnd w:id="58"/>
    <w:bookmarkStart w:id="62" w:name="정액법으로-진행률을-측정할-수-있는가"/>
    <w:p>
      <w:pPr>
        <w:pStyle w:val="Heading2"/>
      </w:pPr>
      <w:r>
        <w:t xml:space="preserve">5-5. 정액법으로 진행률을 측정할 수 있는가</w:t>
      </w:r>
    </w:p>
    <w:p>
      <w:pPr>
        <w:pStyle w:val="FirstParagraph"/>
      </w:pPr>
      <w:r>
        <w:rPr>
          <w:b/>
          <w:bCs/>
        </w:rPr>
        <w:t xml:space="preserve">가. 관련 기준</w:t>
      </w:r>
    </w:p>
    <w:p>
      <w:pPr>
        <w:pStyle w:val="BlockText"/>
      </w:pPr>
      <w:r>
        <w:rPr>
          <w:b/>
          <w:bCs/>
        </w:rPr>
        <w:t xml:space="preserve">기업회계기준서 제1115호 문단 B18</w:t>
      </w:r>
      <w:r>
        <w:br/>
      </w:r>
      <w:r>
        <w:t xml:space="preserve">투입법은 해당 수행의무의 이행에 예상되는 총 투입물 대비 수행의무를 이행하기 위한 기업의 노력이나 투입물(예: 소비한 자원, 사용한 노동시간, 발생원가, 경과한 시간, 사용한 기계시간)에 기초하여 수익을 인식하는 것이다. 기업의 노력이나 투입물을 수행기간에 걸쳐 균등하게 소비한다면, 정액법으로 수익을 인식하는 것이 적절할 수 있다.</w:t>
      </w:r>
      <w:r>
        <w:rPr>
          <w:rStyle w:val="FootnoteReference"/>
        </w:rPr>
        <w:footnoteReference w:id="59"/>
      </w:r>
    </w:p>
    <w:p>
      <w:pPr>
        <w:pStyle w:val="BlockText"/>
      </w:pPr>
      <w:r>
        <w:rPr>
          <w:b/>
          <w:bCs/>
        </w:rPr>
        <w:t xml:space="preserve">기업회계기준서 제1115호 문단 41</w:t>
      </w:r>
      <w:r>
        <w:br/>
      </w:r>
      <w:r>
        <w:t xml:space="preserve">(전략) 적절한 진행률 측정방법을 결정할 때, 고객에게 이전하기로 약속한 재화나 용역의 특성을 고려한다.</w:t>
      </w:r>
      <w:r>
        <w:rPr>
          <w:rStyle w:val="FootnoteReference"/>
        </w:rPr>
        <w:footnoteReference w:id="60"/>
      </w:r>
    </w:p>
    <w:p>
      <w:pPr>
        <w:pStyle w:val="FirstParagraph"/>
      </w:pPr>
      <w:r>
        <w:rPr>
          <w:b/>
          <w:bCs/>
        </w:rPr>
        <w:t xml:space="preserve">나. 기준의 취지</w:t>
      </w:r>
      <w:r>
        <w:br/>
      </w:r>
      <w:r>
        <w:t xml:space="preserve">정액법은 시간 경과를 투입물로 보는 투입법입니다. 투입이 균등하다는 전제가 있을 때만 수행 정도를 대신 나타낼 수 있습니다. 진행률 측정방법은 회사가 자유롭게 선택하는 것이 아닙니다. 통제 이전 과정에서 기업의 수행 정도를 나타낸다는 목적에 맞는 방법이어야 합니다.</w:t>
      </w:r>
      <w:r>
        <w:rPr>
          <w:rStyle w:val="FootnoteReference"/>
        </w:rPr>
        <w:footnoteReference w:id="61"/>
      </w:r>
    </w:p>
    <w:p>
      <w:pPr>
        <w:pStyle w:val="BodyText"/>
      </w:pPr>
      <w:r>
        <w:rPr>
          <w:b/>
          <w:bCs/>
        </w:rPr>
        <w:t xml:space="preserve">다. 본건 적용</w:t>
      </w:r>
    </w:p>
    <w:p>
      <w:pPr>
        <w:pStyle w:val="Compact"/>
        <w:numPr>
          <w:ilvl w:val="0"/>
          <w:numId w:val="1017"/>
        </w:numPr>
      </w:pPr>
      <w:r>
        <w:t xml:space="preserve">산출물 수행의무: 단계 사이에 공백이 생길 수 있고 시작 시기도 불확실합니다(제공된 사실). 단계별 작업 강도도 다릅니다. 따라서 ’수행기간에 걸쳐 균등하게 소비’한다는 요건을 충족하지 못하며, 정액법은 적절하지 않습니다. 총 수행기간 자체를 추정하기 어려워 정액법의 분모도 신뢰할 수 없습니다.</w:t>
      </w:r>
    </w:p>
    <w:p>
      <w:pPr>
        <w:pStyle w:val="Compact"/>
        <w:numPr>
          <w:ilvl w:val="0"/>
          <w:numId w:val="1017"/>
        </w:numPr>
      </w:pPr>
      <w:r>
        <w:t xml:space="preserve">자문 수행의무: 언제든 제공할 수 있는 상태에 있는 용역이므로(가정 3) 경과기간 기준(정액법)이 수행 정도를 나타낼 수 있습니다(5-2). 다만 실제 자문이 특정 단계에 몰리고 자문시간 기록이 있다면, 투입시간 기준이 더 충실할 수 있습니다.</w:t>
      </w:r>
    </w:p>
    <w:p>
      <w:pPr>
        <w:pStyle w:val="FirstParagraph"/>
      </w:pPr>
      <w:r>
        <w:rPr>
          <w:b/>
          <w:bCs/>
        </w:rPr>
        <w:t xml:space="preserve">라. 소결</w:t>
      </w:r>
      <w:r>
        <w:br/>
      </w:r>
      <w:r>
        <w:t xml:space="preserve">산출물 수행의무에는 정액법을 쓸 수 없습니다. 자문 수행의무에는 경과기간 기준 정액법을 쓸 수 있습니다. — 확정도: 산출물 확정 / 자문 해석 견해</w:t>
      </w:r>
    </w:p>
    <w:bookmarkEnd w:id="62"/>
    <w:bookmarkStart w:id="72" w:name="기간에-걸쳐-인식하는-경우-어떤-진행률-측정방법이-더-적절한가"/>
    <w:p>
      <w:pPr>
        <w:pStyle w:val="Heading2"/>
      </w:pPr>
      <w:r>
        <w:t xml:space="preserve">5-6. 기간에 걸쳐 인식하는 경우 어떤 진행률 측정방법이 더 적절한가</w:t>
      </w:r>
    </w:p>
    <w:p>
      <w:pPr>
        <w:pStyle w:val="FirstParagraph"/>
      </w:pPr>
      <w:r>
        <w:rPr>
          <w:b/>
          <w:bCs/>
        </w:rPr>
        <w:t xml:space="preserve">가. 관련 기준</w:t>
      </w:r>
    </w:p>
    <w:p>
      <w:pPr>
        <w:pStyle w:val="BlockText"/>
      </w:pPr>
      <w:r>
        <w:rPr>
          <w:b/>
          <w:bCs/>
        </w:rPr>
        <w:t xml:space="preserve">기업회계기준서 제1115호 문단 44</w:t>
      </w:r>
      <w:r>
        <w:br/>
      </w:r>
      <w:r>
        <w:t xml:space="preserve">(전략) 적절한 진행률 측정방법을 적용하는 데 필요한 신뢰할 수 있는 정보가 부족하다면 수행의무의 진행률을 합리적으로 측정할 수 없을 것이다.</w:t>
      </w:r>
      <w:r>
        <w:rPr>
          <w:rStyle w:val="FootnoteReference"/>
        </w:rPr>
        <w:footnoteReference w:id="63"/>
      </w:r>
    </w:p>
    <w:p>
      <w:pPr>
        <w:pStyle w:val="BlockText"/>
      </w:pPr>
      <w:r>
        <w:rPr>
          <w:b/>
          <w:bCs/>
        </w:rPr>
        <w:t xml:space="preserve">기업회계기준서 제1115호 문단 45</w:t>
      </w:r>
      <w:r>
        <w:br/>
      </w:r>
      <w:r>
        <w:t xml:space="preserve">(전략) 그 상황에서는 수행의무의 결과를 합리적으로 측정할 수 있을 때까지 발생원가의 범위에서만 수익을 인식한다.</w:t>
      </w:r>
      <w:r>
        <w:rPr>
          <w:rStyle w:val="FootnoteReference"/>
        </w:rPr>
        <w:footnoteReference w:id="64"/>
      </w:r>
    </w:p>
    <w:p>
      <w:pPr>
        <w:pStyle w:val="BlockText"/>
      </w:pPr>
      <w:r>
        <w:rPr>
          <w:b/>
          <w:bCs/>
        </w:rPr>
        <w:t xml:space="preserve">기업회계기준서 제1115호 문단 B18</w:t>
      </w:r>
      <w:r>
        <w:br/>
      </w:r>
      <w:r>
        <w:t xml:space="preserve">(5-5 가. 참조)</w:t>
      </w:r>
    </w:p>
    <w:p>
      <w:pPr>
        <w:pStyle w:val="FirstParagraph"/>
      </w:pPr>
      <w:r>
        <w:rPr>
          <w:b/>
          <w:bCs/>
        </w:rPr>
        <w:t xml:space="preserve">나. 기준의 취지</w:t>
      </w:r>
      <w:r>
        <w:br/>
      </w:r>
      <w:r>
        <w:t xml:space="preserve">결론도출근거는 산출법이 개념적으로 가장 충실하다고 봅니다. 다만 투입법이 원가가 덜 들고 진행률 측정에 상당히 가까운 값을 제공하면 투입법도 적절하다고 봅니다.</w:t>
      </w:r>
      <w:r>
        <w:rPr>
          <w:rStyle w:val="FootnoteReference"/>
        </w:rPr>
        <w:footnoteReference w:id="65"/>
      </w:r>
      <w:r>
        <w:t xml:space="preserve"> </w:t>
      </w:r>
      <w:r>
        <w:t xml:space="preserve">산출물을 직접 관측하지 못하거나 과도한 원가 없이 정보를 구할 수 없으면 투입법이 필요할 수 있습니다.</w:t>
      </w:r>
      <w:r>
        <w:rPr>
          <w:rStyle w:val="FootnoteReference"/>
        </w:rPr>
        <w:footnoteReference w:id="66"/>
      </w:r>
      <w:r>
        <w:t xml:space="preserve"> </w:t>
      </w:r>
      <w:r>
        <w:t xml:space="preserve">진행률을 측정할 수 없는 국면에서 이익을 앞당기지 않도록, 원가 회수 범위에서만 수익을 인식하게 합니다.</w:t>
      </w:r>
    </w:p>
    <w:p>
      <w:pPr>
        <w:pStyle w:val="BodyText"/>
      </w:pPr>
      <w:r>
        <w:rPr>
          <w:b/>
          <w:bCs/>
        </w:rPr>
        <w:t xml:space="preserve">다. 본건 적용</w:t>
      </w:r>
      <w:r>
        <w:t xml:space="preserve"> </w:t>
      </w:r>
      <w:r>
        <w:t xml:space="preserve">(5-3에서 법률 검토로 지급청구권이 확인된 경우에만 적용)</w:t>
      </w:r>
    </w:p>
    <w:p>
      <w:pPr>
        <w:pStyle w:val="Compact"/>
        <w:numPr>
          <w:ilvl w:val="0"/>
          <w:numId w:val="1018"/>
        </w:numPr>
      </w:pPr>
      <w:r>
        <w:t xml:space="preserve">산출법: 단계 안의 세부 진척을 객관적으로 측정할 수 없고(가정 4), 단계 도달 기준은 5-4에서 본 것처럼 충실하지 않습니다. 따라서 쓰기 어렵습니다.</w:t>
      </w:r>
    </w:p>
    <w:p>
      <w:pPr>
        <w:pStyle w:val="Compact"/>
        <w:numPr>
          <w:ilvl w:val="0"/>
          <w:numId w:val="1018"/>
        </w:numPr>
      </w:pPr>
      <w:r>
        <w:t xml:space="preserve">투입법: 회사는 프로젝트별 투입시간·원가 기록을 갖고 있습니다(인터뷰 답변). 컨설팅성 용역에서는 인력 투입시간이 수행 정도를 가장 직접적으로 나타냅니다. 그러므로</w:t>
      </w:r>
      <w:r>
        <w:t xml:space="preserve"> </w:t>
      </w:r>
      <w:r>
        <w:t xml:space="preserve">‘누적 투입시간 ÷ 총예정 투입시간’</w:t>
      </w:r>
      <w:r>
        <w:t xml:space="preserve"> </w:t>
      </w:r>
      <w:r>
        <w:t xml:space="preserve">방식의 투입시간 기준 투입법을 권고합니다. 원가 기준을 쓸 경우, 진척도에 이바지하지 않는 원가(재작업·비효율 등)는 진행률에서 제외합니다.</w:t>
      </w:r>
      <w:r>
        <w:rPr>
          <w:rStyle w:val="FootnoteReference"/>
        </w:rPr>
        <w:footnoteReference w:id="67"/>
      </w:r>
    </w:p>
    <w:p>
      <w:pPr>
        <w:pStyle w:val="Compact"/>
        <w:numPr>
          <w:ilvl w:val="0"/>
          <w:numId w:val="1018"/>
        </w:numPr>
      </w:pPr>
      <w:r>
        <w:t xml:space="preserve">총예정 추정이 어려운 점: 현재는 총예정 투입시간을 추정하기 어렵습니다(인터뷰 답변). 그 기간에는 문단 45에 따라 발생원가 범위에서만 수익을 인식합니다(이익 0, 원가 회수를 예상하는 경우).</w:t>
      </w:r>
    </w:p>
    <w:p>
      <w:pPr>
        <w:pStyle w:val="Compact"/>
        <w:numPr>
          <w:ilvl w:val="1"/>
          <w:numId w:val="1019"/>
        </w:numPr>
      </w:pPr>
      <w:r>
        <w:t xml:space="preserve">각 단계 착수 시 단계별 작업계획과 소요 인력을 산정하는 등으로 총예정을 합리적으로 추정할 수 있게 되면 투입시간 기준으로 전환합니다.</w:t>
      </w:r>
    </w:p>
    <w:p>
      <w:pPr>
        <w:pStyle w:val="Compact"/>
        <w:numPr>
          <w:ilvl w:val="1"/>
          <w:numId w:val="1019"/>
        </w:numPr>
      </w:pPr>
      <w:r>
        <w:t xml:space="preserve">전환 효과는 회계추정치 변경으로 누적 조정합니다.</w:t>
      </w:r>
      <w:r>
        <w:rPr>
          <w:rStyle w:val="FootnoteReference"/>
        </w:rPr>
        <w:footnoteReference w:id="68"/>
      </w:r>
    </w:p>
    <w:p>
      <w:pPr>
        <w:pStyle w:val="Compact"/>
        <w:numPr>
          <w:ilvl w:val="1"/>
          <w:numId w:val="1019"/>
        </w:numPr>
      </w:pPr>
      <w:r>
        <w:t xml:space="preserve">사내 컨설팅 전문 업체가 아니더라도 단계별 작업계획(필요 인원·기간)을 세우면 총예정 추정의 근거가 됩니다(일반 실무 판단).</w:t>
      </w:r>
    </w:p>
    <w:p>
      <w:pPr>
        <w:pStyle w:val="Compact"/>
        <w:numPr>
          <w:ilvl w:val="0"/>
          <w:numId w:val="1018"/>
        </w:numPr>
      </w:pPr>
      <w:r>
        <w:t xml:space="preserve">청구액 기준(5-4)과 정액법(5-5)은 이 경우에도 쓸 수 없습니다.</w:t>
      </w:r>
    </w:p>
    <w:p>
      <w:pPr>
        <w:pStyle w:val="FirstParagraph"/>
      </w:pPr>
      <w:r>
        <w:rPr>
          <w:b/>
          <w:bCs/>
        </w:rPr>
        <w:t xml:space="preserve">라. 소결</w:t>
      </w:r>
      <w:r>
        <w:br/>
      </w:r>
      <w:r>
        <w:t xml:space="preserve">산출물 수행의무를 기간에 걸쳐 인식하게 되면 투입시간 기준 투입법이 근거가 가장 적절합니다. 총예정 투입시간을 합리적으로 추정할 수 있을 때까지는 발생원가 범위에서만 수익을 인식합니다. — 확정도: 해석 견해</w:t>
      </w:r>
    </w:p>
    <w:p>
      <w:pPr>
        <w:pStyle w:val="BodyText"/>
      </w:pPr>
      <w:r>
        <w:rPr>
          <w:b/>
          <w:bCs/>
        </w:rPr>
        <w:t xml:space="preserve">마. 참고 사례</w:t>
      </w:r>
    </w:p>
    <w:p>
      <w:pPr>
        <w:pStyle w:val="Compact"/>
        <w:numPr>
          <w:ilvl w:val="0"/>
          <w:numId w:val="1020"/>
        </w:numPr>
      </w:pPr>
      <w:r>
        <w:t xml:space="preserve">한국공인회계사회 KICPA-2025-04는 연구용역의 총예정원가를 신뢰성 있게 측정할 수 없는데도 세금계산서 기준으로 매출을 인식해 과대계상으로 지적된 사례입니다(일반기업회계기준). 지적 논리는 발생한 비용의 범위에서 회수 가능한 금액만 인식해야 한다는 것이었습니다. 한국채택국제회계기준 문단 45와 같은 방향이며, 유사도는 일부 차이입니다.</w:t>
      </w:r>
      <w:r>
        <w:rPr>
          <w:rStyle w:val="FootnoteReference"/>
        </w:rPr>
        <w:footnoteReference w:id="69"/>
      </w:r>
    </w:p>
    <w:p>
      <w:pPr>
        <w:pStyle w:val="Compact"/>
        <w:numPr>
          <w:ilvl w:val="0"/>
          <w:numId w:val="1020"/>
        </w:numPr>
      </w:pPr>
      <w:r>
        <w:t xml:space="preserve">금융감독원 2020년 지적사례는 설계용역의 진척단계를 진행률로 쓰는 산출법을 적용하면서, 예정원가를 잘못 입력해 매출원가를 과소계상한 사례입니다. 어떤 방법을 쓰든 총예정의 추정과 그 변경 검토가 핵심이라는 시사점이 있습니다.</w:t>
      </w:r>
      <w:r>
        <w:rPr>
          <w:rStyle w:val="FootnoteReference"/>
        </w:rPr>
        <w:footnoteReference w:id="70"/>
      </w:r>
    </w:p>
    <w:p>
      <w:pPr>
        <w:pStyle w:val="Compact"/>
        <w:numPr>
          <w:ilvl w:val="0"/>
          <w:numId w:val="1020"/>
        </w:numPr>
      </w:pPr>
      <w:r>
        <w:t xml:space="preserve">회계위키 실무해설(비공식 해설)도 측정방법 선택은 자유선택이 아니며, 청구액 간편법은 수행에 직접 상응하는 청구 구조에서만 쓸 수 있다고 정리합니다.</w:t>
      </w:r>
      <w:r>
        <w:rPr>
          <w:rStyle w:val="FootnoteReference"/>
        </w:rPr>
        <w:footnoteReference w:id="71"/>
      </w:r>
    </w:p>
    <w:bookmarkEnd w:id="72"/>
    <w:bookmarkEnd w:id="73"/>
    <w:bookmarkStart w:id="74" w:name="결론"/>
    <w:p>
      <w:pPr>
        <w:pStyle w:val="Heading1"/>
      </w:pPr>
      <w:r>
        <w:t xml:space="preserve">6. 결론</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519"/>
        <w:gridCol w:w="4910"/>
        <w:gridCol w:w="2208"/>
      </w:tblGrid>
      <w:tr>
        <w:trPr>
          <w:tblHeader w:val="on"/>
        </w:trPr>
        <w:tc>
          <w:tcPr>
            <w:tcW w:type="dxa" w:w="2519"/>
            <w:shd w:val="clear" w:color="auto" w:fill="D9E2F3"/>
          </w:tcPr>
          <w:p>
            <w:pPr>
              <w:pStyle w:val="Compact"/>
            </w:pPr>
            <w:r>
              <w:rPr>
                <w:b/>
              </w:rPr>
              <w:t xml:space="preserve">논점</w:t>
            </w:r>
          </w:p>
        </w:tc>
        <w:tc>
          <w:tcPr>
            <w:tcW w:type="dxa" w:w="4910"/>
            <w:shd w:val="clear" w:color="auto" w:fill="D9E2F3"/>
          </w:tcPr>
          <w:p>
            <w:pPr>
              <w:pStyle w:val="Compact"/>
            </w:pPr>
            <w:r>
              <w:rPr>
                <w:b/>
              </w:rPr>
              <w:t xml:space="preserve">소결</w:t>
            </w:r>
          </w:p>
        </w:tc>
        <w:tc>
          <w:tcPr>
            <w:tcW w:type="dxa" w:w="2208"/>
            <w:shd w:val="clear" w:color="auto" w:fill="D9E2F3"/>
          </w:tcPr>
          <w:p>
            <w:pPr>
              <w:pStyle w:val="Compact"/>
            </w:pPr>
            <w:r>
              <w:rPr>
                <w:b/>
              </w:rPr>
              <w:t xml:space="preserve">확정도</w:t>
            </w:r>
          </w:p>
        </w:tc>
      </w:tr>
      <w:tr>
        <w:tc>
          <w:tcPr>
            <w:tcW w:type="dxa" w:w="2519"/>
          </w:tcPr>
          <w:p>
            <w:pPr>
              <w:pStyle w:val="Compact"/>
            </w:pPr>
            <w:r>
              <w:t xml:space="preserve">5-1 산출물 수행의무</w:t>
            </w:r>
          </w:p>
        </w:tc>
        <w:tc>
          <w:tcPr>
            <w:tcW w:type="dxa" w:w="4910"/>
          </w:tcPr>
          <w:p>
            <w:pPr>
              <w:pStyle w:val="Compact"/>
            </w:pPr>
            <w:r>
              <w:t xml:space="preserve">1~3단계는 단일 수행의무</w:t>
            </w:r>
          </w:p>
        </w:tc>
        <w:tc>
          <w:tcPr>
            <w:tcW w:type="dxa" w:w="2208"/>
          </w:tcPr>
          <w:p>
            <w:pPr>
              <w:pStyle w:val="Compact"/>
            </w:pPr>
            <w:r>
              <w:t xml:space="preserve">해석 견해</w:t>
            </w:r>
          </w:p>
        </w:tc>
      </w:tr>
      <w:tr>
        <w:tc>
          <w:tcPr>
            <w:tcW w:type="dxa" w:w="2519"/>
          </w:tcPr>
          <w:p>
            <w:pPr>
              <w:pStyle w:val="Compact"/>
            </w:pPr>
            <w:r>
              <w:t xml:space="preserve">5-2 실시간 자문</w:t>
            </w:r>
          </w:p>
        </w:tc>
        <w:tc>
          <w:tcPr>
            <w:tcW w:type="dxa" w:w="4910"/>
          </w:tcPr>
          <w:p>
            <w:pPr>
              <w:pStyle w:val="Compact"/>
            </w:pPr>
            <w:r>
              <w:t xml:space="preserve">별도 수행의무. 개별 판매가격 비율로 배분하고 경과기간 기준으로 인식</w:t>
            </w:r>
          </w:p>
        </w:tc>
        <w:tc>
          <w:tcPr>
            <w:tcW w:type="dxa" w:w="2208"/>
          </w:tcPr>
          <w:p>
            <w:pPr>
              <w:pStyle w:val="Compact"/>
            </w:pPr>
            <w:r>
              <w:t xml:space="preserve">해석 견해</w:t>
            </w:r>
          </w:p>
        </w:tc>
      </w:tr>
      <w:tr>
        <w:tc>
          <w:tcPr>
            <w:tcW w:type="dxa" w:w="2519"/>
          </w:tcPr>
          <w:p>
            <w:pPr>
              <w:pStyle w:val="Compact"/>
            </w:pPr>
            <w:r>
              <w:t xml:space="preserve">5-3 산출물 인식 시기</w:t>
            </w:r>
          </w:p>
        </w:tc>
        <w:tc>
          <w:tcPr>
            <w:tcW w:type="dxa" w:w="4910"/>
          </w:tcPr>
          <w:p>
            <w:pPr>
              <w:pStyle w:val="Compact"/>
            </w:pPr>
            <w:r>
              <w:t xml:space="preserve">기본: 3단계 최종 검수 시점에 한 번에 인식. 법률상 지급청구권이 확인되면 기간에 걸쳐 인식</w:t>
            </w:r>
          </w:p>
        </w:tc>
        <w:tc>
          <w:tcPr>
            <w:tcW w:type="dxa" w:w="2208"/>
          </w:tcPr>
          <w:p>
            <w:pPr>
              <w:pStyle w:val="Compact"/>
            </w:pPr>
            <w:r>
              <w:t xml:space="preserve">해석 견해(법률 검토 의존)</w:t>
            </w:r>
          </w:p>
        </w:tc>
      </w:tr>
      <w:tr>
        <w:tc>
          <w:tcPr>
            <w:tcW w:type="dxa" w:w="2519"/>
          </w:tcPr>
          <w:p>
            <w:pPr>
              <w:pStyle w:val="Compact"/>
            </w:pPr>
            <w:r>
              <w:t xml:space="preserve">5-4 청구권 실무적 간편법(50/30/20)</w:t>
            </w:r>
          </w:p>
        </w:tc>
        <w:tc>
          <w:tcPr>
            <w:tcW w:type="dxa" w:w="4910"/>
          </w:tcPr>
          <w:p>
            <w:pPr>
              <w:pStyle w:val="Compact"/>
            </w:pPr>
            <w:r>
              <w:t xml:space="preserve">허용되지 않음</w:t>
            </w:r>
          </w:p>
        </w:tc>
        <w:tc>
          <w:tcPr>
            <w:tcW w:type="dxa" w:w="2208"/>
          </w:tcPr>
          <w:p>
            <w:pPr>
              <w:pStyle w:val="Compact"/>
            </w:pPr>
            <w:r>
              <w:t xml:space="preserve">확정</w:t>
            </w:r>
          </w:p>
        </w:tc>
      </w:tr>
      <w:tr>
        <w:tc>
          <w:tcPr>
            <w:tcW w:type="dxa" w:w="2519"/>
          </w:tcPr>
          <w:p>
            <w:pPr>
              <w:pStyle w:val="Compact"/>
            </w:pPr>
            <w:r>
              <w:t xml:space="preserve">5-5 정액법</w:t>
            </w:r>
          </w:p>
        </w:tc>
        <w:tc>
          <w:tcPr>
            <w:tcW w:type="dxa" w:w="4910"/>
          </w:tcPr>
          <w:p>
            <w:pPr>
              <w:pStyle w:val="Compact"/>
            </w:pPr>
            <w:r>
              <w:t xml:space="preserve">산출물에는 불가, 자문에는 가능</w:t>
            </w:r>
          </w:p>
        </w:tc>
        <w:tc>
          <w:tcPr>
            <w:tcW w:type="dxa" w:w="2208"/>
          </w:tcPr>
          <w:p>
            <w:pPr>
              <w:pStyle w:val="Compact"/>
            </w:pPr>
            <w:r>
              <w:t xml:space="preserve">확정 / 해석 견해</w:t>
            </w:r>
          </w:p>
        </w:tc>
      </w:tr>
      <w:tr>
        <w:tc>
          <w:tcPr>
            <w:tcW w:type="dxa" w:w="2519"/>
          </w:tcPr>
          <w:p>
            <w:pPr>
              <w:pStyle w:val="Compact"/>
            </w:pPr>
            <w:r>
              <w:t xml:space="preserve">5-6 적절한 측정방법(기간에 걸칠 때)</w:t>
            </w:r>
          </w:p>
        </w:tc>
        <w:tc>
          <w:tcPr>
            <w:tcW w:type="dxa" w:w="4910"/>
          </w:tcPr>
          <w:p>
            <w:pPr>
              <w:pStyle w:val="Compact"/>
            </w:pPr>
            <w:r>
              <w:t xml:space="preserve">투입시간 기준 투입법. 추정이 가능해질 때까지 발생원가 범위 인식</w:t>
            </w:r>
          </w:p>
        </w:tc>
        <w:tc>
          <w:tcPr>
            <w:tcW w:type="dxa" w:w="2208"/>
          </w:tcPr>
          <w:p>
            <w:pPr>
              <w:pStyle w:val="Compact"/>
            </w:pPr>
            <w:r>
              <w:t xml:space="preserve">해석 견해</w:t>
            </w:r>
          </w:p>
        </w:tc>
      </w:tr>
    </w:tbl>
    <w:p>
      <w:pPr>
        <w:pStyle w:val="BodyText"/>
      </w:pPr>
      <w:r>
        <w:t xml:space="preserve">기본 결론은 다음과 같습니다. 계약금액을 산출물과 자문에 나눕니다. 산출물 몫은 3단계 최종 검수 시점에 한 번에 수익으로 인식하고, 자문 몫은 용역기간에 걸쳐 인식합니다. 단계별로 받은 대금은 그때까지 계약부채로 둡니다.</w:t>
      </w:r>
      <w:r>
        <w:br/>
      </w:r>
      <w:r>
        <w:t xml:space="preserve">다만 법률 검토 결과 진행 중 해지 시에도 수행분 대가(원가에 적정 이윤을 더한 수준)를 받을 집행 가능한 권리가 확인되면, 산출물 몫도 투입시간 기준 진행률로 기간에 걸쳐 인식합니다. 어느 경우에도 단계별 청구액이나 정액법으로 산출물 수익을 인식하지 않습니다.</w:t>
      </w:r>
    </w:p>
    <w:bookmarkEnd w:id="74"/>
    <w:bookmarkStart w:id="84" w:name="회계처리와-공시"/>
    <w:p>
      <w:pPr>
        <w:pStyle w:val="Heading1"/>
      </w:pPr>
      <w:r>
        <w:t xml:space="preserve">7. 회계처리와 공시</w:t>
      </w:r>
    </w:p>
    <w:p>
      <w:pPr>
        <w:pStyle w:val="FirstParagraph"/>
      </w:pPr>
      <w:r>
        <w:t xml:space="preserve">계약금액을 T, 자문에 배분된 비율을 a, 산출물 배분액을 D = (1 − a) × T로 둡니다(계약금액 미제공으로 비율로 표시, 부가가치세 생략).</w:t>
      </w:r>
    </w:p>
    <w:p>
      <w:pPr>
        <w:pStyle w:val="BodyText"/>
      </w:pPr>
      <w:r>
        <w:rPr>
          <w:b/>
          <w:bCs/>
        </w:rPr>
        <w:t xml:space="preserve">가. 기본 결론(한 시점 인식)</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399"/>
        <w:gridCol w:w="1793"/>
        <w:gridCol w:w="3173"/>
        <w:gridCol w:w="3271"/>
      </w:tblGrid>
      <w:tr>
        <w:trPr>
          <w:tblHeader w:val="on"/>
        </w:trPr>
        <w:tc>
          <w:tcPr>
            <w:tcW w:type="dxa" w:w="1399"/>
            <w:shd w:val="clear" w:color="auto" w:fill="D9E2F3"/>
          </w:tcPr>
          <w:p>
            <w:pPr>
              <w:pStyle w:val="Compact"/>
            </w:pPr>
            <w:r>
              <w:rPr>
                <w:b/>
              </w:rPr>
              <w:t xml:space="preserve">시점</w:t>
            </w:r>
          </w:p>
        </w:tc>
        <w:tc>
          <w:tcPr>
            <w:tcW w:type="dxa" w:w="1793"/>
            <w:shd w:val="clear" w:color="auto" w:fill="D9E2F3"/>
          </w:tcPr>
          <w:p>
            <w:pPr>
              <w:pStyle w:val="Compact"/>
            </w:pPr>
            <w:r>
              <w:rPr>
                <w:b/>
              </w:rPr>
              <w:t xml:space="preserve">차변</w:t>
            </w:r>
          </w:p>
        </w:tc>
        <w:tc>
          <w:tcPr>
            <w:tcW w:type="dxa" w:w="3173"/>
            <w:shd w:val="clear" w:color="auto" w:fill="D9E2F3"/>
          </w:tcPr>
          <w:p>
            <w:pPr>
              <w:pStyle w:val="Compact"/>
            </w:pPr>
            <w:r>
              <w:rPr>
                <w:b/>
              </w:rPr>
              <w:t xml:space="preserve">대변</w:t>
            </w:r>
          </w:p>
        </w:tc>
        <w:tc>
          <w:tcPr>
            <w:tcW w:type="dxa" w:w="3272"/>
            <w:shd w:val="clear" w:color="auto" w:fill="D9E2F3"/>
          </w:tcPr>
          <w:p>
            <w:pPr>
              <w:pStyle w:val="Compact"/>
            </w:pPr>
            <w:r>
              <w:rPr>
                <w:b/>
              </w:rPr>
              <w:t xml:space="preserve">비고</w:t>
            </w:r>
          </w:p>
        </w:tc>
      </w:tr>
      <w:tr>
        <w:tc>
          <w:tcPr>
            <w:tcW w:type="dxa" w:w="1399"/>
          </w:tcPr>
          <w:p>
            <w:pPr>
              <w:pStyle w:val="Compact"/>
            </w:pPr>
            <w:r>
              <w:t xml:space="preserve">1단계 검수·청구</w:t>
            </w:r>
          </w:p>
        </w:tc>
        <w:tc>
          <w:tcPr>
            <w:tcW w:type="dxa" w:w="1793"/>
          </w:tcPr>
          <w:p>
            <w:pPr>
              <w:pStyle w:val="Compact"/>
            </w:pPr>
            <w:r>
              <w:t xml:space="preserve">매출채권 0.5T</w:t>
            </w:r>
          </w:p>
        </w:tc>
        <w:tc>
          <w:tcPr>
            <w:tcW w:type="dxa" w:w="3173"/>
          </w:tcPr>
          <w:p>
            <w:pPr>
              <w:pStyle w:val="Compact"/>
            </w:pPr>
            <w:r>
              <w:t xml:space="preserve">계약부채 0.5T</w:t>
            </w:r>
          </w:p>
        </w:tc>
        <w:tc>
          <w:tcPr>
            <w:tcW w:type="dxa" w:w="3272"/>
          </w:tcPr>
          <w:p>
            <w:pPr>
              <w:pStyle w:val="Compact"/>
            </w:pPr>
            <w:r>
              <w:t xml:space="preserve">무조건적 청구권 발생 시점(문단 106)</w:t>
            </w:r>
            <w:r>
              <w:rPr>
                <w:rStyle w:val="FootnoteReference"/>
              </w:rPr>
              <w:footnoteReference w:id="75"/>
            </w:r>
          </w:p>
        </w:tc>
      </w:tr>
      <w:tr>
        <w:tc>
          <w:tcPr>
            <w:tcW w:type="dxa" w:w="1399"/>
          </w:tcPr>
          <w:p>
            <w:pPr>
              <w:pStyle w:val="Compact"/>
            </w:pPr>
            <w:r>
              <w:t xml:space="preserve">매 결산일(자문)</w:t>
            </w:r>
          </w:p>
        </w:tc>
        <w:tc>
          <w:tcPr>
            <w:tcW w:type="dxa" w:w="1793"/>
          </w:tcPr>
          <w:p>
            <w:pPr>
              <w:pStyle w:val="Compact"/>
            </w:pPr>
            <w:r>
              <w:t xml:space="preserve">계약부채(또는 계약자산)</w:t>
            </w:r>
          </w:p>
        </w:tc>
        <w:tc>
          <w:tcPr>
            <w:tcW w:type="dxa" w:w="3173"/>
          </w:tcPr>
          <w:p>
            <w:pPr>
              <w:pStyle w:val="Compact"/>
            </w:pPr>
            <w:r>
              <w:t xml:space="preserve">용역수익(자문) aT × 경과기간/총예상기간 − 전기누적</w:t>
            </w:r>
          </w:p>
        </w:tc>
        <w:tc>
          <w:tcPr>
            <w:tcW w:type="dxa" w:w="3272"/>
          </w:tcPr>
          <w:p>
            <w:pPr>
              <w:pStyle w:val="Compact"/>
            </w:pPr>
            <w:r>
              <w:t xml:space="preserve">총예상기간은 매기 재추정</w:t>
            </w:r>
          </w:p>
        </w:tc>
      </w:tr>
      <w:tr>
        <w:tc>
          <w:tcPr>
            <w:tcW w:type="dxa" w:w="1399"/>
          </w:tcPr>
          <w:p>
            <w:pPr>
              <w:pStyle w:val="Compact"/>
            </w:pPr>
            <w:r>
              <w:t xml:space="preserve">작업 원가 발생</w:t>
            </w:r>
          </w:p>
        </w:tc>
        <w:tc>
          <w:tcPr>
            <w:tcW w:type="dxa" w:w="1793"/>
          </w:tcPr>
          <w:p>
            <w:pPr>
              <w:pStyle w:val="Compact"/>
            </w:pPr>
            <w:r>
              <w:t xml:space="preserve">계약이행원가(자산)</w:t>
            </w:r>
          </w:p>
        </w:tc>
        <w:tc>
          <w:tcPr>
            <w:tcW w:type="dxa" w:w="3173"/>
          </w:tcPr>
          <w:p>
            <w:pPr>
              <w:pStyle w:val="Compact"/>
            </w:pPr>
            <w:r>
              <w:t xml:space="preserve">현금·미지급비용</w:t>
            </w:r>
          </w:p>
        </w:tc>
        <w:tc>
          <w:tcPr>
            <w:tcW w:type="dxa" w:w="3272"/>
          </w:tcPr>
          <w:p>
            <w:pPr>
              <w:pStyle w:val="Compact"/>
            </w:pPr>
            <w:r>
              <w:t xml:space="preserve">문단 95 세 요건 충족 시. 충족하지 못하면 발생 시 비용</w:t>
            </w:r>
            <w:r>
              <w:rPr>
                <w:rStyle w:val="FootnoteReference"/>
              </w:rPr>
              <w:footnoteReference w:id="76"/>
            </w:r>
            <w:r>
              <w:rPr>
                <w:rStyle w:val="FootnoteReference"/>
              </w:rPr>
              <w:footnoteReference w:id="77"/>
            </w:r>
          </w:p>
        </w:tc>
      </w:tr>
      <w:tr>
        <w:tc>
          <w:tcPr>
            <w:tcW w:type="dxa" w:w="1399"/>
          </w:tcPr>
          <w:p>
            <w:pPr>
              <w:pStyle w:val="Compact"/>
            </w:pPr>
            <w:r>
              <w:t xml:space="preserve">2단계 검수·청구</w:t>
            </w:r>
          </w:p>
        </w:tc>
        <w:tc>
          <w:tcPr>
            <w:tcW w:type="dxa" w:w="1793"/>
          </w:tcPr>
          <w:p>
            <w:pPr>
              <w:pStyle w:val="Compact"/>
            </w:pPr>
            <w:r>
              <w:t xml:space="preserve">매출채권 0.3T</w:t>
            </w:r>
          </w:p>
        </w:tc>
        <w:tc>
          <w:tcPr>
            <w:tcW w:type="dxa" w:w="3173"/>
          </w:tcPr>
          <w:p>
            <w:pPr>
              <w:pStyle w:val="Compact"/>
            </w:pPr>
            <w:r>
              <w:t xml:space="preserve">계약부채 0.3T</w:t>
            </w:r>
          </w:p>
        </w:tc>
        <w:tc>
          <w:tcPr>
            <w:tcW w:type="dxa" w:w="3272"/>
          </w:tcPr>
          <w:p>
            <w:pPr>
              <w:pStyle w:val="Compact"/>
            </w:pPr>
          </w:p>
        </w:tc>
      </w:tr>
      <w:tr>
        <w:tc>
          <w:tcPr>
            <w:tcW w:type="dxa" w:w="1399"/>
          </w:tcPr>
          <w:p>
            <w:pPr>
              <w:pStyle w:val="Compact"/>
            </w:pPr>
            <w:r>
              <w:t xml:space="preserve">3단계 최종 검수</w:t>
            </w:r>
          </w:p>
        </w:tc>
        <w:tc>
          <w:tcPr>
            <w:tcW w:type="dxa" w:w="1793"/>
          </w:tcPr>
          <w:p>
            <w:pPr>
              <w:pStyle w:val="Compact"/>
            </w:pPr>
            <w:r>
              <w:t xml:space="preserve">매출채권 0.2T</w:t>
            </w:r>
          </w:p>
        </w:tc>
        <w:tc>
          <w:tcPr>
            <w:tcW w:type="dxa" w:w="3173"/>
          </w:tcPr>
          <w:p>
            <w:pPr>
              <w:pStyle w:val="Compact"/>
            </w:pPr>
            <w:r>
              <w:t xml:space="preserve">계약부채 0.2T</w:t>
            </w:r>
          </w:p>
        </w:tc>
        <w:tc>
          <w:tcPr>
            <w:tcW w:type="dxa" w:w="3272"/>
          </w:tcPr>
          <w:p>
            <w:pPr>
              <w:pStyle w:val="Compact"/>
            </w:pPr>
          </w:p>
        </w:tc>
      </w:tr>
      <w:tr>
        <w:tc>
          <w:tcPr>
            <w:tcW w:type="dxa" w:w="1399"/>
          </w:tcPr>
          <w:p>
            <w:pPr>
              <w:pStyle w:val="Compact"/>
            </w:pPr>
            <w:r>
              <w:t xml:space="preserve">같은 날</w:t>
            </w:r>
          </w:p>
        </w:tc>
        <w:tc>
          <w:tcPr>
            <w:tcW w:type="dxa" w:w="1793"/>
          </w:tcPr>
          <w:p>
            <w:pPr>
              <w:pStyle w:val="Compact"/>
            </w:pPr>
            <w:r>
              <w:t xml:space="preserve">계약부채 D</w:t>
            </w:r>
          </w:p>
        </w:tc>
        <w:tc>
          <w:tcPr>
            <w:tcW w:type="dxa" w:w="3173"/>
          </w:tcPr>
          <w:p>
            <w:pPr>
              <w:pStyle w:val="Compact"/>
            </w:pPr>
            <w:r>
              <w:t xml:space="preserve">용역수익(산출물) D</w:t>
            </w:r>
          </w:p>
        </w:tc>
        <w:tc>
          <w:tcPr>
            <w:tcW w:type="dxa" w:w="3272"/>
          </w:tcPr>
          <w:p>
            <w:pPr>
              <w:pStyle w:val="Compact"/>
            </w:pPr>
            <w:r>
              <w:t xml:space="preserve">통제 이전</w:t>
            </w:r>
          </w:p>
        </w:tc>
      </w:tr>
      <w:tr>
        <w:tc>
          <w:tcPr>
            <w:tcW w:type="dxa" w:w="1399"/>
          </w:tcPr>
          <w:p>
            <w:pPr>
              <w:pStyle w:val="Compact"/>
            </w:pPr>
            <w:r>
              <w:t xml:space="preserve">같은 날</w:t>
            </w:r>
          </w:p>
        </w:tc>
        <w:tc>
          <w:tcPr>
            <w:tcW w:type="dxa" w:w="1793"/>
          </w:tcPr>
          <w:p>
            <w:pPr>
              <w:pStyle w:val="Compact"/>
            </w:pPr>
            <w:r>
              <w:t xml:space="preserve">매출원가</w:t>
            </w:r>
          </w:p>
        </w:tc>
        <w:tc>
          <w:tcPr>
            <w:tcW w:type="dxa" w:w="3173"/>
          </w:tcPr>
          <w:p>
            <w:pPr>
              <w:pStyle w:val="Compact"/>
            </w:pPr>
            <w:r>
              <w:t xml:space="preserve">계약이행원가</w:t>
            </w:r>
          </w:p>
        </w:tc>
        <w:tc>
          <w:tcPr>
            <w:tcW w:type="dxa" w:w="3272"/>
          </w:tcPr>
          <w:p>
            <w:pPr>
              <w:pStyle w:val="Compact"/>
            </w:pPr>
            <w:r>
              <w:t xml:space="preserve">이전 방식과 일치하게 상각(문단 99)</w:t>
            </w:r>
            <w:r>
              <w:rPr>
                <w:rStyle w:val="FootnoteReference"/>
              </w:rPr>
              <w:footnoteReference w:id="78"/>
            </w:r>
          </w:p>
        </w:tc>
      </w:tr>
    </w:tbl>
    <w:p>
      <w:pPr>
        <w:pStyle w:val="Compact"/>
        <w:numPr>
          <w:ilvl w:val="0"/>
          <w:numId w:val="1021"/>
        </w:numPr>
      </w:pPr>
      <w:r>
        <w:t xml:space="preserve">계약이행원가 자산 인식 여부: 고객 계약을 이행하며 생긴 원가 중 재고자산을 생기게 하지 않는 원가는 제1115호로 회계처리합니다.</w:t>
      </w:r>
      <w:r>
        <w:rPr>
          <w:rStyle w:val="FootnoteReference"/>
        </w:rPr>
        <w:footnoteReference w:id="79"/>
      </w:r>
      <w:r>
        <w:t xml:space="preserve"> </w:t>
      </w:r>
      <w:r>
        <w:t xml:space="preserve">작업 중인 산출물은 문단 95⑵의 ’미래의 수행의무를 이행할 때 사용할 기업의 자원’에 해당할 수 있습니다. 회수 가능성(문단 95⑶)은 매기 확인합니다.</w:t>
      </w:r>
    </w:p>
    <w:p>
      <w:pPr>
        <w:pStyle w:val="FirstParagraph"/>
      </w:pPr>
      <w:r>
        <w:rPr>
          <w:b/>
          <w:bCs/>
        </w:rPr>
        <w:t xml:space="preserve">나. 법률상 지급청구권이 확인된 경우(기간에 걸쳐 인식)</w:t>
      </w:r>
    </w:p>
    <w:tbl>
      <w:tblPr>
        <w:tblStyle w:val="Table"/>
        <w:tblW w:type="pct" w:w="500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73"/>
        <w:gridCol w:w="1792"/>
        <w:gridCol w:w="3167"/>
        <w:gridCol w:w="2803"/>
      </w:tblGrid>
      <w:tr>
        <w:trPr>
          <w:tblHeader w:val="on"/>
        </w:trPr>
        <w:tc>
          <w:tcPr>
            <w:tcW w:type="dxa" w:w="1874"/>
            <w:shd w:val="clear" w:color="auto" w:fill="D9E2F3"/>
          </w:tcPr>
          <w:p>
            <w:pPr>
              <w:pStyle w:val="Compact"/>
            </w:pPr>
            <w:r>
              <w:rPr>
                <w:b/>
              </w:rPr>
              <w:t xml:space="preserve">시점</w:t>
            </w:r>
          </w:p>
        </w:tc>
        <w:tc>
          <w:tcPr>
            <w:tcW w:type="dxa" w:w="1793"/>
            <w:shd w:val="clear" w:color="auto" w:fill="D9E2F3"/>
          </w:tcPr>
          <w:p>
            <w:pPr>
              <w:pStyle w:val="Compact"/>
            </w:pPr>
            <w:r>
              <w:rPr>
                <w:b/>
              </w:rPr>
              <w:t xml:space="preserve">차변</w:t>
            </w:r>
          </w:p>
        </w:tc>
        <w:tc>
          <w:tcPr>
            <w:tcW w:type="dxa" w:w="3168"/>
            <w:shd w:val="clear" w:color="auto" w:fill="D9E2F3"/>
          </w:tcPr>
          <w:p>
            <w:pPr>
              <w:pStyle w:val="Compact"/>
            </w:pPr>
            <w:r>
              <w:rPr>
                <w:b/>
              </w:rPr>
              <w:t xml:space="preserve">대변</w:t>
            </w:r>
          </w:p>
        </w:tc>
        <w:tc>
          <w:tcPr>
            <w:tcW w:type="dxa" w:w="2804"/>
            <w:shd w:val="clear" w:color="auto" w:fill="D9E2F3"/>
          </w:tcPr>
          <w:p>
            <w:pPr>
              <w:pStyle w:val="Compact"/>
            </w:pPr>
            <w:r>
              <w:rPr>
                <w:b/>
              </w:rPr>
              <w:t xml:space="preserve">비고</w:t>
            </w:r>
          </w:p>
        </w:tc>
      </w:tr>
      <w:tr>
        <w:tc>
          <w:tcPr>
            <w:tcW w:type="dxa" w:w="1874"/>
          </w:tcPr>
          <w:p>
            <w:pPr>
              <w:pStyle w:val="Compact"/>
            </w:pPr>
            <w:r>
              <w:t xml:space="preserve">총예정 추정 불가 기간의 결산일</w:t>
            </w:r>
          </w:p>
        </w:tc>
        <w:tc>
          <w:tcPr>
            <w:tcW w:type="dxa" w:w="1793"/>
          </w:tcPr>
          <w:p>
            <w:pPr>
              <w:pStyle w:val="Compact"/>
            </w:pPr>
            <w:r>
              <w:t xml:space="preserve">계약자산(또는 계약부채 감소)</w:t>
            </w:r>
          </w:p>
        </w:tc>
        <w:tc>
          <w:tcPr>
            <w:tcW w:type="dxa" w:w="3168"/>
          </w:tcPr>
          <w:p>
            <w:pPr>
              <w:pStyle w:val="Compact"/>
            </w:pPr>
            <w:r>
              <w:t xml:space="preserve">용역수익(산출물) = 당기 발생원가</w:t>
            </w:r>
          </w:p>
        </w:tc>
        <w:tc>
          <w:tcPr>
            <w:tcW w:type="dxa" w:w="2804"/>
          </w:tcPr>
          <w:p>
            <w:pPr>
              <w:pStyle w:val="Compact"/>
            </w:pPr>
            <w:r>
              <w:t xml:space="preserve">문단 45, 이익 0</w:t>
            </w:r>
          </w:p>
        </w:tc>
      </w:tr>
      <w:tr>
        <w:tc>
          <w:tcPr>
            <w:tcW w:type="dxa" w:w="1874"/>
          </w:tcPr>
          <w:p>
            <w:pPr>
              <w:pStyle w:val="Compact"/>
            </w:pPr>
            <w:r>
              <w:t xml:space="preserve">같은 결산일</w:t>
            </w:r>
          </w:p>
        </w:tc>
        <w:tc>
          <w:tcPr>
            <w:tcW w:type="dxa" w:w="1793"/>
          </w:tcPr>
          <w:p>
            <w:pPr>
              <w:pStyle w:val="Compact"/>
            </w:pPr>
            <w:r>
              <w:t xml:space="preserve">용역원가</w:t>
            </w:r>
          </w:p>
        </w:tc>
        <w:tc>
          <w:tcPr>
            <w:tcW w:type="dxa" w:w="3168"/>
          </w:tcPr>
          <w:p>
            <w:pPr>
              <w:pStyle w:val="Compact"/>
            </w:pPr>
            <w:r>
              <w:t xml:space="preserve">현금·미지급비용</w:t>
            </w:r>
          </w:p>
        </w:tc>
        <w:tc>
          <w:tcPr>
            <w:tcW w:type="dxa" w:w="2804"/>
          </w:tcPr>
          <w:p>
            <w:pPr>
              <w:pStyle w:val="Compact"/>
            </w:pPr>
            <w:r>
              <w:t xml:space="preserve">발생 시 비용(이행한 부분 관련 원가, 문단 98⑶)</w:t>
            </w:r>
          </w:p>
        </w:tc>
      </w:tr>
      <w:tr>
        <w:tc>
          <w:tcPr>
            <w:tcW w:type="dxa" w:w="1874"/>
          </w:tcPr>
          <w:p>
            <w:pPr>
              <w:pStyle w:val="Compact"/>
            </w:pPr>
            <w:r>
              <w:t xml:space="preserve">추정 가능 이후 결산일</w:t>
            </w:r>
          </w:p>
        </w:tc>
        <w:tc>
          <w:tcPr>
            <w:tcW w:type="dxa" w:w="1793"/>
          </w:tcPr>
          <w:p>
            <w:pPr>
              <w:pStyle w:val="Compact"/>
            </w:pPr>
            <w:r>
              <w:t xml:space="preserve">계약자산(또는 계약부채 감소)</w:t>
            </w:r>
          </w:p>
        </w:tc>
        <w:tc>
          <w:tcPr>
            <w:tcW w:type="dxa" w:w="3168"/>
          </w:tcPr>
          <w:p>
            <w:pPr>
              <w:pStyle w:val="Compact"/>
            </w:pPr>
            <w:r>
              <w:t xml:space="preserve">용역수익(산출물) = D × 누적투입시간/총예정투입시간 − 전기누적</w:t>
            </w:r>
          </w:p>
        </w:tc>
        <w:tc>
          <w:tcPr>
            <w:tcW w:type="dxa" w:w="2804"/>
          </w:tcPr>
          <w:p>
            <w:pPr>
              <w:pStyle w:val="Compact"/>
            </w:pPr>
            <w:r>
              <w:t xml:space="preserve">전환 효과는 추정치 변경으로 당기에 인식</w:t>
            </w:r>
          </w:p>
        </w:tc>
      </w:tr>
      <w:tr>
        <w:tc>
          <w:tcPr>
            <w:tcW w:type="dxa" w:w="1874"/>
          </w:tcPr>
          <w:p>
            <w:pPr>
              <w:pStyle w:val="Compact"/>
            </w:pPr>
            <w:r>
              <w:t xml:space="preserve">단계 검수·청구</w:t>
            </w:r>
          </w:p>
        </w:tc>
        <w:tc>
          <w:tcPr>
            <w:tcW w:type="dxa" w:w="1793"/>
          </w:tcPr>
          <w:p>
            <w:pPr>
              <w:pStyle w:val="Compact"/>
            </w:pPr>
            <w:r>
              <w:t xml:space="preserve">매출채권</w:t>
            </w:r>
          </w:p>
        </w:tc>
        <w:tc>
          <w:tcPr>
            <w:tcW w:type="dxa" w:w="3168"/>
          </w:tcPr>
          <w:p>
            <w:pPr>
              <w:pStyle w:val="Compact"/>
            </w:pPr>
            <w:r>
              <w:t xml:space="preserve">계약자산·계약부채</w:t>
            </w:r>
          </w:p>
        </w:tc>
        <w:tc>
          <w:tcPr>
            <w:tcW w:type="dxa" w:w="2804"/>
          </w:tcPr>
          <w:p>
            <w:pPr>
              <w:pStyle w:val="Compact"/>
            </w:pPr>
            <w:r>
              <w:t xml:space="preserve">계약별로 계약자산 또는 계약부채로 표시(문단 105, 107)</w:t>
            </w:r>
            <w:r>
              <w:rPr>
                <w:rStyle w:val="FootnoteReference"/>
              </w:rPr>
              <w:footnoteReference w:id="80"/>
            </w:r>
            <w:r>
              <w:rPr>
                <w:rStyle w:val="FootnoteReference"/>
              </w:rPr>
              <w:footnoteReference w:id="81"/>
            </w:r>
          </w:p>
        </w:tc>
      </w:tr>
    </w:tbl>
    <w:p>
      <w:pPr>
        <w:pStyle w:val="BodyText"/>
      </w:pPr>
      <w:r>
        <w:t xml:space="preserve">자문 처리는 ’가’와 같습니다.</w:t>
      </w:r>
    </w:p>
    <w:p>
      <w:pPr>
        <w:pStyle w:val="BodyText"/>
      </w:pPr>
      <w:r>
        <w:rPr>
          <w:b/>
          <w:bCs/>
        </w:rPr>
        <w:t xml:space="preserve">다. 주석 공시</w:t>
      </w:r>
    </w:p>
    <w:p>
      <w:pPr>
        <w:pStyle w:val="Compact"/>
        <w:numPr>
          <w:ilvl w:val="0"/>
          <w:numId w:val="1022"/>
        </w:numPr>
      </w:pPr>
      <w:r>
        <w:t xml:space="preserve">수행의무를 이행하는 시기(산출물: 최종 검수 시점 또는 진행률, 자문: 기간에 걸쳐), 유의적인 지급조건(단계 검수 후 50/30/20), 이전하기로 약속한 용역의 특성을 서술합니다.</w:t>
      </w:r>
      <w:r>
        <w:rPr>
          <w:rStyle w:val="FootnoteReference"/>
        </w:rPr>
        <w:footnoteReference w:id="82"/>
      </w:r>
    </w:p>
    <w:p>
      <w:pPr>
        <w:pStyle w:val="Compact"/>
        <w:numPr>
          <w:ilvl w:val="0"/>
          <w:numId w:val="1022"/>
        </w:numPr>
      </w:pPr>
      <w:r>
        <w:t xml:space="preserve">보고기간 말 현재 나머지 수행의무에 배분된 거래가격과, 이를 수익으로 인식할 것으로 예상하는 시기를 공시합니다.</w:t>
      </w:r>
      <w:r>
        <w:rPr>
          <w:rStyle w:val="FootnoteReference"/>
        </w:rPr>
        <w:footnoteReference w:id="83"/>
      </w:r>
    </w:p>
    <w:p>
      <w:pPr>
        <w:pStyle w:val="Compact"/>
        <w:numPr>
          <w:ilvl w:val="0"/>
          <w:numId w:val="1022"/>
        </w:numPr>
      </w:pPr>
      <w:r>
        <w:t xml:space="preserve">기간에 걸쳐 인식하는 경우 진행률 측정방법(투입시간 기준)과 원가 범위 인식 적용 사실을 회계정책으로 기재합니다.</w:t>
      </w:r>
    </w:p>
    <w:bookmarkEnd w:id="84"/>
    <w:bookmarkStart w:id="86" w:name="유의사항"/>
    <w:p>
      <w:pPr>
        <w:pStyle w:val="Heading1"/>
      </w:pPr>
      <w:r>
        <w:t xml:space="preserve">8. 유의사항</w:t>
      </w:r>
    </w:p>
    <w:p>
      <w:pPr>
        <w:pStyle w:val="FirstParagraph"/>
      </w:pPr>
      <w:r>
        <w:rPr>
          <w:b/>
          <w:bCs/>
        </w:rPr>
        <w:t xml:space="preserve">결론을 바꿀 수 있는 사실</w:t>
      </w:r>
    </w:p>
    <w:p>
      <w:pPr>
        <w:pStyle w:val="Compact"/>
        <w:numPr>
          <w:ilvl w:val="0"/>
          <w:numId w:val="1023"/>
        </w:numPr>
      </w:pPr>
      <w:r>
        <w:t xml:space="preserve">계약의 법적 성격과 민법 적용 여부: 법률상 진행 중 수행분 대가를 받을 권리가 인정되면, 산출물 수익 인식이 한 시점에서 기간에 걸쳐로 바뀝니다. 향후 계약에</w:t>
      </w:r>
      <w:r>
        <w:t xml:space="preserve"> </w:t>
      </w:r>
      <w:r>
        <w:t xml:space="preserve">‘고객 사정에 따른 해지 시 수행분(투입원가와 적정 이윤 또는 진척 비율) 정산’</w:t>
      </w:r>
      <w:r>
        <w:t xml:space="preserve"> </w:t>
      </w:r>
      <w:r>
        <w:t xml:space="preserve">조항을 두면 이 쟁점이 해소됩니다.</w:t>
      </w:r>
    </w:p>
    <w:p>
      <w:pPr>
        <w:pStyle w:val="Compact"/>
        <w:numPr>
          <w:ilvl w:val="0"/>
          <w:numId w:val="1023"/>
        </w:numPr>
      </w:pPr>
      <w:r>
        <w:t xml:space="preserve">산출물의 대체 용도: 산출물 내용을 다른 고객에게 재활용할 수 있다면(가정 1과 다름), 지급청구권이 있어도 문단 35⑶을 충족하지 못합니다.</w:t>
      </w:r>
    </w:p>
    <w:p>
      <w:pPr>
        <w:pStyle w:val="Compact"/>
        <w:numPr>
          <w:ilvl w:val="0"/>
          <w:numId w:val="1023"/>
        </w:numPr>
      </w:pPr>
      <w:r>
        <w:t xml:space="preserve">작업물 공유와 자문의 실제 운영: 고객이 작업 중인 산출물을 실시간으로 통제·활용한다면 문단 35⑵ 검토가 달라질 수 있습니다. 자문이 특정 시기에 몰린다면 자문 진행률 방법이 달라질 수 있습니다.</w:t>
      </w:r>
    </w:p>
    <w:p>
      <w:pPr>
        <w:pStyle w:val="FirstParagraph"/>
      </w:pPr>
      <w:r>
        <w:rPr>
          <w:b/>
          <w:bCs/>
        </w:rPr>
        <w:t xml:space="preserve">확정되지 않은 자료에 기댄 부분</w:t>
      </w:r>
    </w:p>
    <w:p>
      <w:pPr>
        <w:pStyle w:val="Compact"/>
        <w:numPr>
          <w:ilvl w:val="0"/>
          <w:numId w:val="1024"/>
        </w:numPr>
      </w:pPr>
      <w:r>
        <w:t xml:space="preserve">민법 조문의 적용 여부는 법률 판단이 필요하므로 결론을 유보했습니다.</w:t>
      </w:r>
    </w:p>
    <w:p>
      <w:pPr>
        <w:pStyle w:val="Compact"/>
        <w:numPr>
          <w:ilvl w:val="0"/>
          <w:numId w:val="1024"/>
        </w:numPr>
      </w:pPr>
      <w:r>
        <w:t xml:space="preserve">회계위키 실무해설은 비공식 해설로 참고만 했습니다.</w:t>
      </w:r>
    </w:p>
    <w:p>
      <w:pPr>
        <w:pStyle w:val="FirstParagraph"/>
      </w:pPr>
      <w:r>
        <w:rPr>
          <w:b/>
          <w:bCs/>
        </w:rPr>
        <w:t xml:space="preserve">감독당국이 문제 삼을 수 있는 지점</w:t>
      </w:r>
    </w:p>
    <w:p>
      <w:pPr>
        <w:pStyle w:val="Compact"/>
        <w:numPr>
          <w:ilvl w:val="0"/>
          <w:numId w:val="1025"/>
        </w:numPr>
      </w:pPr>
      <w:r>
        <w:t xml:space="preserve">단계 검수 시점에 청구액만큼 매출을 인식하면, 결합 산출물의 일부 단계 완료를 이유로 수익을 앞당긴 것으로 지적받을 수 있습니다.</w:t>
      </w:r>
    </w:p>
    <w:p>
      <w:pPr>
        <w:pStyle w:val="Compact"/>
        <w:numPr>
          <w:ilvl w:val="0"/>
          <w:numId w:val="1025"/>
        </w:numPr>
      </w:pPr>
      <w:r>
        <w:t xml:space="preserve">반대로 법률상 지급청구권이 확인되는데도 최종 검수 시점 인식을 유지하면, 기간귀속 오류로 지적받을 수 있습니다.</w:t>
      </w:r>
    </w:p>
    <w:p>
      <w:pPr>
        <w:pStyle w:val="FirstParagraph"/>
      </w:pPr>
      <w:r>
        <w:rPr>
          <w:b/>
          <w:bCs/>
        </w:rPr>
        <w:t xml:space="preserve">회계·세무 차이</w:t>
      </w:r>
    </w:p>
    <w:p>
      <w:pPr>
        <w:pStyle w:val="Compact"/>
        <w:numPr>
          <w:ilvl w:val="0"/>
          <w:numId w:val="1026"/>
        </w:numPr>
      </w:pPr>
      <w:r>
        <w:t xml:space="preserve">법인세법 시행령 제69조 제1항은 용역 제공 손익을 작업진행률 기준으로 익금·손금에 산입하도록 합니다. 다만 같은 항 제2호는</w:t>
      </w:r>
      <w:r>
        <w:t xml:space="preserve"> </w:t>
      </w:r>
      <w:r>
        <w:t xml:space="preserve">“기업회계기준에 따라 그 목적물의 인도일이 속하는 사업연도의 수익과 비용으로 계상한 경우”</w:t>
      </w:r>
      <w:r>
        <w:t xml:space="preserve"> </w:t>
      </w:r>
      <w:r>
        <w:t xml:space="preserve">인도일(용역은 제공 완료일) 사업연도에 산입할 수 있게 합니다.</w:t>
      </w:r>
      <w:r>
        <w:rPr>
          <w:rStyle w:val="FootnoteReference"/>
        </w:rPr>
        <w:footnoteReference w:id="85"/>
      </w:r>
    </w:p>
    <w:p>
      <w:pPr>
        <w:pStyle w:val="Compact"/>
        <w:numPr>
          <w:ilvl w:val="0"/>
          <w:numId w:val="1026"/>
        </w:numPr>
      </w:pPr>
      <w:r>
        <w:t xml:space="preserve">따라서 기본 결론(최종 검수 시점 인식)에서는 세무도 회계를 따를 여지가 있습니다.</w:t>
      </w:r>
    </w:p>
    <w:p>
      <w:pPr>
        <w:pStyle w:val="Compact"/>
        <w:numPr>
          <w:ilvl w:val="0"/>
          <w:numId w:val="1026"/>
        </w:numPr>
      </w:pPr>
      <w:r>
        <w:t xml:space="preserve">기간에 걸쳐 인식하는 경우에는 세법상 작업진행률 계산방법과 회계상 투입시간 기준이 달라 세무조정이 생길 수 있습니다.</w:t>
      </w:r>
    </w:p>
    <w:bookmarkEnd w:id="86"/>
    <w:bookmarkStart w:id="87" w:name="관련-사항"/>
    <w:p>
      <w:pPr>
        <w:pStyle w:val="Heading1"/>
      </w:pPr>
      <w:r>
        <w:t xml:space="preserve">9. 관련 사항</w:t>
      </w:r>
    </w:p>
    <w:p>
      <w:pPr>
        <w:pStyle w:val="Compact"/>
        <w:numPr>
          <w:ilvl w:val="0"/>
          <w:numId w:val="1027"/>
        </w:numPr>
      </w:pPr>
      <w:r>
        <w:t xml:space="preserve">유의적인 금융요소: 대금 50%를 계약 초기(약 3개월)에 받고, 산출물 통제는 약 15개월 뒤에 이전됩니다(기본 결론). 선수 기간이 길어 유의적인 금융요소가 있는지 별도로 검토해야 합니다. 이 검토에서는 결론을 내리지 않았습니다.</w:t>
      </w:r>
    </w:p>
    <w:p>
      <w:pPr>
        <w:pStyle w:val="Compact"/>
        <w:numPr>
          <w:ilvl w:val="0"/>
          <w:numId w:val="1027"/>
        </w:numPr>
      </w:pPr>
      <w:r>
        <w:t xml:space="preserve">korean-law-reviewer 에 넘길 사항</w:t>
      </w:r>
    </w:p>
    <w:p>
      <w:pPr>
        <w:pStyle w:val="Compact"/>
        <w:numPr>
          <w:ilvl w:val="1"/>
          <w:numId w:val="1028"/>
        </w:numPr>
      </w:pPr>
      <w:r>
        <w:t xml:space="preserve">본건 용역계약의 법적 성격(도급·위임·혼합)과, 고객의 중도해지 시 민법 제673조·제686조 제3항·제689조에 따라 회사가 이미 수행한 부분의 대가(원가와 이윤 포함)를 청구할 수 있는지, 그 권리를 집행할 수 있는지에 대한 판단. 이 결과가 5-3의 결론을 정합니다.</w:t>
      </w:r>
    </w:p>
    <w:p>
      <w:pPr>
        <w:pStyle w:val="Compact"/>
        <w:numPr>
          <w:ilvl w:val="1"/>
          <w:numId w:val="1028"/>
        </w:numPr>
      </w:pPr>
      <w:r>
        <w:t xml:space="preserve">법인세법 시행령 제69조 적용 시 단서 제2호(인도일 기준)를 적용할 수 있는지, 기간에 걸쳐 인식하는 경우의 작업진행률 계산과 세무조정. 자문 수익을 별도로 기간 배분할 때의 세무 처리도 포함합니다.</w:t>
      </w:r>
    </w:p>
    <w:bookmarkEnd w:id="87"/>
    <w:bookmarkStart w:id="108" w:name="부록-a.-인용-기준서-원문"/>
    <w:p>
      <w:pPr>
        <w:pStyle w:val="Heading1"/>
        <w:pageBreakBefore/>
      </w:pPr>
      <w:r>
        <w:t xml:space="preserve">부록 A. 인용 기준서 원문</w:t>
      </w:r>
    </w:p>
    <w:p>
      <w:pPr>
        <w:pStyle w:val="FirstParagraph"/>
      </w:pPr>
      <w:r>
        <w:rPr>
          <w:b/>
          <w:bCs/>
        </w:rPr>
        <w:t xml:space="preserve">제1115호 문단 27</w:t>
      </w:r>
      <w:r>
        <w:br/>
      </w:r>
      <w:r>
        <w:t xml:space="preserve">다음 기준을 모두 충족한다면 고객에게 약속한 재화나 용역은 구별되는 것이다.</w:t>
      </w:r>
    </w:p>
    <w:p>
      <w:pPr>
        <w:pStyle w:val="Compact"/>
        <w:numPr>
          <w:ilvl w:val="0"/>
          <w:numId w:val="1029"/>
        </w:numPr>
      </w:pPr>
    </w:p>
    <w:p>
      <w:pPr>
        <w:pStyle w:val="Compact"/>
        <w:numPr>
          <w:ilvl w:val="1"/>
          <w:numId w:val="1030"/>
        </w:numPr>
      </w:pPr>
      <w:r>
        <w:t xml:space="preserve">고객이 재화나 용역 그 자체에서 효익을 얻거나 고객이 쉽게 구할 수 있는 다른 자원과 함께하여 그 재화나 용역에서 효익을 얻을 수 있다(그 재화나 용역이 구별될 수 있다).</w:t>
      </w:r>
    </w:p>
    <w:p>
      <w:pPr>
        <w:pStyle w:val="Compact"/>
        <w:numPr>
          <w:ilvl w:val="0"/>
          <w:numId w:val="1029"/>
        </w:numPr>
      </w:pPr>
    </w:p>
    <w:p>
      <w:pPr>
        <w:pStyle w:val="Compact"/>
        <w:numPr>
          <w:ilvl w:val="1"/>
          <w:numId w:val="1031"/>
        </w:numPr>
      </w:pPr>
      <w:r>
        <w:t xml:space="preserve">고객에게 재화나 용역을 이전하기로 하는 약속을 계약 내의 다른 약속과 별도로 식별해 낼 수 있다(그 재화나 용역을 이전하기로 하는 약속은 계약상 구별된다).</w:t>
      </w:r>
      <w:r>
        <w:rPr>
          <w:rStyle w:val="FootnoteReference"/>
        </w:rPr>
        <w:footnoteReference w:id="88"/>
      </w:r>
    </w:p>
    <w:p>
      <w:pPr>
        <w:pStyle w:val="FirstParagraph"/>
      </w:pPr>
      <w:r>
        <w:rPr>
          <w:b/>
          <w:bCs/>
        </w:rPr>
        <w:t xml:space="preserve">제1115호 문단 29</w:t>
      </w:r>
      <w:r>
        <w:br/>
      </w:r>
      <w:r>
        <w:t xml:space="preserve">고객에게 재화나 용역을 이전하기로 하는 약속이 문단 27(2)에 따라 별도로 식별되는지를 파악할 때, 그 목적은 계약상 그 약속의 성격이 각 재화나 용역을 개별적으로 이전하는 것인지, 아니면 약속된 재화나 용역을 투입한 결합 품목(들)을 이전하는 것인지를 판단하는 것이다. 고객에게 재화나 용역을 이전하기로 하는 둘 이상의 약속을 별도로 식별해 낼 수 없음을 나타내는 요소에는 다음이 포함되지만, 이에 한정되지는 않는다.</w:t>
      </w:r>
    </w:p>
    <w:p>
      <w:pPr>
        <w:pStyle w:val="Compact"/>
        <w:numPr>
          <w:ilvl w:val="0"/>
          <w:numId w:val="1032"/>
        </w:numPr>
      </w:pPr>
    </w:p>
    <w:p>
      <w:pPr>
        <w:pStyle w:val="Compact"/>
        <w:numPr>
          <w:ilvl w:val="1"/>
          <w:numId w:val="1033"/>
        </w:numPr>
      </w:pPr>
      <w:r>
        <w:t xml:space="preserve">기업은 해당 재화나 용역과 그 계약에서 약속한 다른 재화나 용역을 통합하는(이 통합으로 고객이 계약한 결합산출물(들)에 해당하는 재화나 용역의 묶음이 됨) 유의적인 용역을 제공한다. 다시 말해서, 기업은 고객이 특정한 결합산출물(들)을 생산하거나 인도하기 위한 투입물로서 그 재화나 용역을 사용하고 있다. 결합산출물(들)은 둘 이상의 단계, 구성요소, 단위를 포함할 수 있다.</w:t>
      </w:r>
    </w:p>
    <w:p>
      <w:pPr>
        <w:pStyle w:val="Compact"/>
        <w:numPr>
          <w:ilvl w:val="0"/>
          <w:numId w:val="1032"/>
        </w:numPr>
      </w:pPr>
    </w:p>
    <w:p>
      <w:pPr>
        <w:pStyle w:val="Compact"/>
        <w:numPr>
          <w:ilvl w:val="1"/>
          <w:numId w:val="1034"/>
        </w:numPr>
      </w:pPr>
      <w:r>
        <w:t xml:space="preserve">하나 이상의 해당 재화나 용역은 그 계약에서 약속한 하나 이상의 다른 재화나 용역을 유의적으로 변형 또는 고객 맞춤화하거나, 계약에서 약속한 하나 이상의 다른 재화나 용역에 의해 변형 또는 고객 맞춤화 된다.</w:t>
      </w:r>
    </w:p>
    <w:p>
      <w:pPr>
        <w:pStyle w:val="Compact"/>
        <w:numPr>
          <w:ilvl w:val="0"/>
          <w:numId w:val="1032"/>
        </w:numPr>
      </w:pPr>
    </w:p>
    <w:p>
      <w:pPr>
        <w:pStyle w:val="Compact"/>
        <w:numPr>
          <w:ilvl w:val="1"/>
          <w:numId w:val="1035"/>
        </w:numPr>
      </w:pPr>
      <w:r>
        <w:t xml:space="preserve">해당 재화나 용역은 상호의존도나 상호관련성이 매우 높다. 다시 말해서 각 재화나 용역은 그 계약에서 하나 이상의 다른 재화나 용역에 의해 유의적으로 영향을 받는다. 예를 들면 어떤 경우에는 기업이 각 재화나 용역을 별개로 이전하여 그 약속을 이행할 수 없을 것이기 때문에 둘 이상의 재화나 용역은 서로 유의적으로 영향을 주고받는다.</w:t>
      </w:r>
      <w:r>
        <w:rPr>
          <w:rStyle w:val="FootnoteReference"/>
        </w:rPr>
        <w:footnoteReference w:id="89"/>
      </w:r>
    </w:p>
    <w:p>
      <w:pPr>
        <w:pStyle w:val="FirstParagraph"/>
      </w:pPr>
      <w:r>
        <w:rPr>
          <w:b/>
          <w:bCs/>
        </w:rPr>
        <w:t xml:space="preserve">제1115호 문단 35</w:t>
      </w:r>
      <w:r>
        <w:br/>
      </w:r>
      <w:r>
        <w:t xml:space="preserve">다음 기준 중 어느 하나를 충족하면, 기업은 재화나 용역에 대한 통제를 기간에 걸쳐 이전하므로, 기간에 걸쳐 수행의무를 이행하는 것이고 기간에 걸쳐 수익을 인식한다.</w:t>
      </w:r>
    </w:p>
    <w:p>
      <w:pPr>
        <w:pStyle w:val="Compact"/>
        <w:numPr>
          <w:ilvl w:val="0"/>
          <w:numId w:val="1036"/>
        </w:numPr>
      </w:pPr>
    </w:p>
    <w:p>
      <w:pPr>
        <w:pStyle w:val="Compact"/>
        <w:numPr>
          <w:ilvl w:val="1"/>
          <w:numId w:val="1037"/>
        </w:numPr>
      </w:pPr>
      <w:r>
        <w:t xml:space="preserve">고객은 기업이 수행하는 대로 기업의 수행에서 제공하는 효익을 동시에 얻고 소비한다(문단 B3~B4 참조).</w:t>
      </w:r>
    </w:p>
    <w:p>
      <w:pPr>
        <w:pStyle w:val="Compact"/>
        <w:numPr>
          <w:ilvl w:val="0"/>
          <w:numId w:val="1036"/>
        </w:numPr>
      </w:pPr>
    </w:p>
    <w:p>
      <w:pPr>
        <w:pStyle w:val="Compact"/>
        <w:numPr>
          <w:ilvl w:val="1"/>
          <w:numId w:val="1038"/>
        </w:numPr>
      </w:pPr>
      <w:r>
        <w:t xml:space="preserve">기업이 수행하여 만들어지거나 가치가 높아지는 대로 고객이 통제하는 자산(예: 재공품)을 기업이 만들거나 그 자산 가치를 높인다(문단 B5 참조).</w:t>
      </w:r>
    </w:p>
    <w:p>
      <w:pPr>
        <w:pStyle w:val="Compact"/>
        <w:numPr>
          <w:ilvl w:val="0"/>
          <w:numId w:val="1036"/>
        </w:numPr>
      </w:pPr>
    </w:p>
    <w:p>
      <w:pPr>
        <w:pStyle w:val="Compact"/>
        <w:numPr>
          <w:ilvl w:val="1"/>
          <w:numId w:val="1039"/>
        </w:numPr>
      </w:pPr>
      <w:r>
        <w:t xml:space="preserve">기업이 수행하여 만든 자산이 기업 자체에는 대체 용도가 없고(문단 36 참조), 지금까지 수행을 완료한 부분에 대해 집행 가능한 지급청구권이 기업에 있다(문단 37 참조).</w:t>
      </w:r>
      <w:r>
        <w:rPr>
          <w:rStyle w:val="FootnoteReference"/>
        </w:rPr>
        <w:footnoteReference w:id="90"/>
      </w:r>
    </w:p>
    <w:p>
      <w:pPr>
        <w:pStyle w:val="FirstParagraph"/>
      </w:pPr>
      <w:r>
        <w:rPr>
          <w:b/>
          <w:bCs/>
        </w:rPr>
        <w:t xml:space="preserve">제1115호 문단 37</w:t>
      </w:r>
      <w:r>
        <w:br/>
      </w:r>
      <w:r>
        <w:t xml:space="preserve">문단 35(3)에 따라 지금까지 수행을 완료한 부분에 대해 집행 가능한 지급청구권이 기업에 있는지를 판단할 때에는 계약에 적용되는 법률뿐만 아니라 계약 조건도 고려한다. 지금까지 수행을 완료한 부분에 대한 지급청구권이 고정금액에 대한 권리일 필요는 없다. 그러나 기업이 약속대로 수행하지 못했기 때문이 아니라 그 밖의 사유로 고객이나 다른 당사자가 계약을 종료한다면 적어도 지금까지 수행을 완료한 부분에 대한 보상 금액을 받을 권리가 계약기간에는 언제든지 있어야 한다. B9~B13에서는 지급청구권의 존재와 집행 가능성 그리고 그러한 지급청구권에 따라 지금까지 수행을 완료한 부분에 대해 지급받을 권리가 있는지를 판단하는 지침을 제공한다.</w:t>
      </w:r>
      <w:r>
        <w:rPr>
          <w:rStyle w:val="FootnoteReference"/>
        </w:rPr>
        <w:footnoteReference w:id="91"/>
      </w:r>
    </w:p>
    <w:p>
      <w:pPr>
        <w:pStyle w:val="BodyText"/>
      </w:pPr>
      <w:r>
        <w:rPr>
          <w:b/>
          <w:bCs/>
        </w:rPr>
        <w:t xml:space="preserve">제1115호 문단 38</w:t>
      </w:r>
      <w:r>
        <w:br/>
      </w:r>
      <w:r>
        <w:t xml:space="preserve">수행의무가 문단 35~37에 따라 기간에 걸쳐 이행되지 않는다면, 그 수행의무는 한 시점에 이행되는 것이다. 고객이 약속된 자산을 통제하고 기업이 수행의무를 이행하는 시점을 판단하기 위해, 문단 31~34의 통제에 관한 요구사항을 참고한다. 또 다음과 같은 통제 이전의 지표(다음이 포함되나 이에 한정되지는 않는다)를 참고하여야 한다.</w:t>
      </w:r>
    </w:p>
    <w:p>
      <w:pPr>
        <w:pStyle w:val="Compact"/>
        <w:numPr>
          <w:ilvl w:val="0"/>
          <w:numId w:val="1040"/>
        </w:numPr>
      </w:pPr>
    </w:p>
    <w:p>
      <w:pPr>
        <w:pStyle w:val="Compact"/>
        <w:numPr>
          <w:ilvl w:val="1"/>
          <w:numId w:val="1041"/>
        </w:numPr>
      </w:pPr>
      <w:r>
        <w:t xml:space="preserve">기업은 자산에 대해 현재 지급청구권이 </w:t>
      </w:r>
      <w:r>
        <w:rPr>
          <w:rFonts w:hint="eastAsia"/>
        </w:rPr>
        <w:t xml:space="preserve">있다.－고객이</w:t>
      </w:r>
      <w:r>
        <w:t xml:space="preserve"> 자산에 대해 지급할 현재 의무가 있다면, 이는 고객이 교환되는 자산의 사용을 지시하고 자산의 나머지 효익의 대부분을 획득할 능력을 갖게 되었음을 나타낼 수 있다.</w:t>
      </w:r>
    </w:p>
    <w:p>
      <w:pPr>
        <w:pStyle w:val="Compact"/>
        <w:numPr>
          <w:ilvl w:val="0"/>
          <w:numId w:val="1040"/>
        </w:numPr>
      </w:pPr>
    </w:p>
    <w:p>
      <w:pPr>
        <w:pStyle w:val="Compact"/>
        <w:numPr>
          <w:ilvl w:val="1"/>
          <w:numId w:val="1042"/>
        </w:numPr>
      </w:pPr>
      <w:r>
        <w:t xml:space="preserve">고객에게 자산의 법적 소유권이 </w:t>
      </w:r>
      <w:r>
        <w:rPr>
          <w:rFonts w:hint="eastAsia"/>
        </w:rPr>
        <w:t xml:space="preserve">있다.－법적</w:t>
      </w:r>
      <w:r>
        <w:t xml:space="preserve"> 소유권은 계약 당사자 중 누가 ‘자산의 사용을 지시하고 자산의 나머지 효익의 대부분을 획득할 능력이 있는지’ 또는 ‘그 효익에 다른 기업이 접근하지 못하게 하는 능력이 있는지’를 나타낼 수 있다. 그러므로 자산의 법적 소유권의 이전은 자산을 고객이 통제하게 되었음을 나타낼 수 있다. 고객의 지급불이행에 대비한 안전장치로서만 기업이 법적 소유권을 보유한다면, 그러한 기업의 권리가 고객이 자산을 통제하게 되는 것을 막지는 못할 것이다.</w:t>
      </w:r>
    </w:p>
    <w:p>
      <w:pPr>
        <w:pStyle w:val="Compact"/>
        <w:numPr>
          <w:ilvl w:val="0"/>
          <w:numId w:val="1040"/>
        </w:numPr>
      </w:pPr>
    </w:p>
    <w:p>
      <w:pPr>
        <w:pStyle w:val="Compact"/>
        <w:numPr>
          <w:ilvl w:val="1"/>
          <w:numId w:val="1043"/>
        </w:numPr>
      </w:pPr>
      <w:r>
        <w:t xml:space="preserve">기업이 자산의 물리적 점유를 </w:t>
      </w:r>
      <w:r>
        <w:rPr>
          <w:rFonts w:hint="eastAsia"/>
        </w:rPr>
        <w:t xml:space="preserve">이전하였다.－자산에</w:t>
      </w:r>
      <w:r>
        <w:t xml:space="preserve"> 대한 고객의 물리적 점유는 고객이 ‘자산의 사용을 지시하고 자산의 나머지 효익의 대부분을 획득할 능력’이 있거나 ‘그 효익에 다른 기업이 접근하지 못하게 하는 능력’이 있음을 나타낼 수 있다. 그러나 물리적 점유는 자산에 대한 통제와 일치하지 않을 수 있다. 예를 들면 일부 재매입약정이나 위탁약정에서는 고객이나 수탁자가 기업이 통제하는 자산을 물리적으로 점유할 수 있다. 이와 반대로, 일부 미인도청구약정에서는 고객이 통제하는 자산을 기업이 물리적으로 점유할 수 있다. 문단 B64~B76, B77~B78, B79~B82에서는 각각 재매입약정, 위탁약정, 미인도청구약정의 회계처리 지침을 제공한다.</w:t>
      </w:r>
    </w:p>
    <w:p>
      <w:pPr>
        <w:pStyle w:val="Compact"/>
        <w:numPr>
          <w:ilvl w:val="0"/>
          <w:numId w:val="1040"/>
        </w:numPr>
      </w:pPr>
    </w:p>
    <w:p>
      <w:pPr>
        <w:pStyle w:val="Compact"/>
        <w:numPr>
          <w:ilvl w:val="1"/>
          <w:numId w:val="1044"/>
        </w:numPr>
      </w:pPr>
      <w:r>
        <w:t xml:space="preserve">자산의 소유에 따른 유의적인 위험과 보상이 고객에게 </w:t>
      </w:r>
      <w:r>
        <w:rPr>
          <w:rFonts w:hint="eastAsia"/>
        </w:rPr>
        <w:t xml:space="preserve">있다.－자산의</w:t>
      </w:r>
      <w:r>
        <w:t xml:space="preserve"> 소유에 따른 유의적인 위험과 보상이 고객에게 이전되었다는 것은 자산의 사용을 지시하고 자산의 나머지 효익의 대부분을 획득할 능력이 고객에게 있음을 나타낼 수 있다. 그러나 약속된 자산의 소유에 따른 위험과 보상을 평가할 때에는, 그 자산을 이전해야 하는 수행의무에 더하여 별도의 수행의무를 생기게 할 위험은 고려하지 않는다. 예를 들면 기업이 고객에게 자산에 대한 통제를 이전하였으나 이전한 자산과 관련된 유지용역을 제공해야 하는 추가되는 수행의무는 아직 이행하지 못하였을 수 있다.</w:t>
      </w:r>
    </w:p>
    <w:p>
      <w:pPr>
        <w:pStyle w:val="Compact"/>
        <w:numPr>
          <w:ilvl w:val="0"/>
          <w:numId w:val="1040"/>
        </w:numPr>
      </w:pPr>
    </w:p>
    <w:p>
      <w:pPr>
        <w:pStyle w:val="Compact"/>
        <w:numPr>
          <w:ilvl w:val="1"/>
          <w:numId w:val="1045"/>
        </w:numPr>
      </w:pPr>
      <w:r>
        <w:t xml:space="preserve">고객이 자산을 </w:t>
      </w:r>
      <w:r>
        <w:rPr>
          <w:rFonts w:hint="eastAsia"/>
        </w:rPr>
        <w:t xml:space="preserve">인수하였다.－고객이</w:t>
      </w:r>
      <w:r>
        <w:t xml:space="preserve"> 자산을 인수한 것은 ‘자산의 사용을 지시하고 자산의 나머지 효익의 대부분을 획득할 능력’이 고객에게 있음을 나타낼 수 있다. 계약상 고객의 인수 조항이 자산에 대한 통제를 이전하는 시점에 미치는 영향을 평가하기 위해서는 문단 B83~B86의 지침을 참고한다.</w:t>
      </w:r>
      <w:r>
        <w:rPr>
          <w:rStyle w:val="FootnoteReference"/>
        </w:rPr>
        <w:footnoteReference w:id="92"/>
      </w:r>
    </w:p>
    <w:p>
      <w:pPr>
        <w:pStyle w:val="FirstParagraph"/>
      </w:pPr>
      <w:r>
        <w:rPr>
          <w:b/>
          <w:bCs/>
        </w:rPr>
        <w:t xml:space="preserve">제1115호 문단 41</w:t>
      </w:r>
      <w:r>
        <w:br/>
      </w:r>
      <w:r>
        <w:t xml:space="preserve">적절한 진행률 측정방법에는 산출법과 투입법이 포함된다. 문단 B14~B19에서는 수행의무의 진행률을 측정하기 위한 산출법과 투입법의 사용 지침을 제공한다. 적절한 진행률 측정방법을 결정할 때, 고객에게 이전하기로 약속한 재화나 용역의 특성을 고려한다.</w:t>
      </w:r>
      <w:r>
        <w:rPr>
          <w:rStyle w:val="FootnoteReference"/>
        </w:rPr>
        <w:footnoteReference w:id="93"/>
      </w:r>
    </w:p>
    <w:p>
      <w:pPr>
        <w:pStyle w:val="BodyText"/>
      </w:pPr>
      <w:r>
        <w:rPr>
          <w:b/>
          <w:bCs/>
        </w:rPr>
        <w:t xml:space="preserve">제1115호 문단 44</w:t>
      </w:r>
      <w:r>
        <w:br/>
      </w:r>
      <w:r>
        <w:t xml:space="preserve">수행의무의 진행률을 합리적으로 측정할 수 있는 경우에만, 기간에 걸쳐 이행하는 수행의무에 대한 수익을 인식한다. 적절한 진행률 측정방법을 적용하는 데 필요한 신뢰할 수 있는 정보가 부족하다면 수행의무의 진행률을 합리적으로 측정할 수 없을 것이다.</w:t>
      </w:r>
      <w:r>
        <w:rPr>
          <w:rStyle w:val="FootnoteReference"/>
        </w:rPr>
        <w:footnoteReference w:id="94"/>
      </w:r>
    </w:p>
    <w:p>
      <w:pPr>
        <w:pStyle w:val="BodyText"/>
      </w:pPr>
      <w:r>
        <w:rPr>
          <w:b/>
          <w:bCs/>
        </w:rPr>
        <w:t xml:space="preserve">제1115호 문단 45</w:t>
      </w:r>
      <w:r>
        <w:br/>
      </w:r>
      <w:r>
        <w:t xml:space="preserve">어떤 상황(예: 계약 초기 단계)에서는 수행의무의 결과를 합리적으로 측정할 수 없으나, 수행의무를 이행하는 동안에 드는 원가는 회수될 것으로 예상한다. 그 상황에서는 수행의무의 결과를 합리적으로 측정할 수 있을 때까지 발생원가의 범위에서만 수익을 인식한다.</w:t>
      </w:r>
      <w:r>
        <w:rPr>
          <w:rStyle w:val="FootnoteReference"/>
        </w:rPr>
        <w:footnoteReference w:id="95"/>
      </w:r>
    </w:p>
    <w:p>
      <w:pPr>
        <w:pStyle w:val="BodyText"/>
      </w:pPr>
      <w:r>
        <w:rPr>
          <w:b/>
          <w:bCs/>
        </w:rPr>
        <w:t xml:space="preserve">제1115호 문단 76</w:t>
      </w:r>
      <w:r>
        <w:br/>
      </w:r>
      <w:r>
        <w:t xml:space="preserve">거래가격을 상대적 개별 판매가격에 기초하여 각 수행의무에 배분하기 위하여 계약 개시시점에 계약상 각 수행의무의 대상인 구별되는 재화나 용역의 개별 판매가격을 산정하고 이 개별 판매가격에 비례하여 거래가격을 배분한다.</w:t>
      </w:r>
      <w:r>
        <w:rPr>
          <w:rStyle w:val="FootnoteReference"/>
        </w:rPr>
        <w:footnoteReference w:id="96"/>
      </w:r>
    </w:p>
    <w:p>
      <w:pPr>
        <w:pStyle w:val="BodyText"/>
      </w:pPr>
      <w:r>
        <w:rPr>
          <w:b/>
          <w:bCs/>
        </w:rPr>
        <w:t xml:space="preserve">제1115호 문단 95</w:t>
      </w:r>
      <w:r>
        <w:br/>
      </w:r>
      <w:r>
        <w:t xml:space="preserve">고객과의 계약을 이행할 때 드는 원가가 다른 기업회계기준서의 적용범위(예: 기업회계기준서 제1002호 ‘재고자산’, 제1016호 ‘유형자산’, 제1038호 ‘무형자산’)에 포함되지 않는다면, 그 원가는 다음 기준을 모두 충족해야만 자산으로 인식한다.</w:t>
      </w:r>
    </w:p>
    <w:p>
      <w:pPr>
        <w:pStyle w:val="Compact"/>
        <w:numPr>
          <w:ilvl w:val="0"/>
          <w:numId w:val="1046"/>
        </w:numPr>
      </w:pPr>
    </w:p>
    <w:p>
      <w:pPr>
        <w:pStyle w:val="Compact"/>
        <w:numPr>
          <w:ilvl w:val="1"/>
          <w:numId w:val="1047"/>
        </w:numPr>
      </w:pPr>
      <w:r>
        <w:t xml:space="preserve">원가가 계약이나 구체적으로 식별할 수 있는 예상 계약에 직접 관련된다(예: 기존 계약의 갱신에 따라 제공할 용역에 관련되는 원가, 아직 승인되지 않은 특정 계약에 따라 이전할 자산의 설계원가).</w:t>
      </w:r>
    </w:p>
    <w:p>
      <w:pPr>
        <w:pStyle w:val="Compact"/>
        <w:numPr>
          <w:ilvl w:val="0"/>
          <w:numId w:val="1046"/>
        </w:numPr>
      </w:pPr>
    </w:p>
    <w:p>
      <w:pPr>
        <w:pStyle w:val="Compact"/>
        <w:numPr>
          <w:ilvl w:val="1"/>
          <w:numId w:val="1048"/>
        </w:numPr>
      </w:pPr>
      <w:r>
        <w:t xml:space="preserve">원가가 미래의 수행의무를 이행(또는 계속 이행)할 때 사용할 기업의 자원을 창출하거나 가치를 높인다.</w:t>
      </w:r>
    </w:p>
    <w:p>
      <w:pPr>
        <w:pStyle w:val="Compact"/>
        <w:numPr>
          <w:ilvl w:val="0"/>
          <w:numId w:val="1046"/>
        </w:numPr>
      </w:pPr>
    </w:p>
    <w:p>
      <w:pPr>
        <w:pStyle w:val="Compact"/>
        <w:numPr>
          <w:ilvl w:val="1"/>
          <w:numId w:val="1049"/>
        </w:numPr>
      </w:pPr>
      <w:r>
        <w:t xml:space="preserve">원가는 회수될 것으로 예상된다.</w:t>
      </w:r>
      <w:r>
        <w:rPr>
          <w:rStyle w:val="FootnoteReference"/>
        </w:rPr>
        <w:footnoteReference w:id="97"/>
      </w:r>
    </w:p>
    <w:p>
      <w:pPr>
        <w:pStyle w:val="FirstParagraph"/>
      </w:pPr>
      <w:r>
        <w:rPr>
          <w:b/>
          <w:bCs/>
        </w:rPr>
        <w:t xml:space="preserve">제1115호 문단 106</w:t>
      </w:r>
      <w:r>
        <w:br/>
      </w:r>
      <w:r>
        <w:t xml:space="preserve">기업이 고객에게 재화나 용역을 이전하기 전에 고객이 대가를 지급하거나 기업이 대가(금액)를 받을 무조건적인 권리(수취채권)를 갖고 있는 경우에 기업은 지급받은 때나 지급받기로 한 때(둘 중 이른 시기)에 그 계약을 계약부채로 표시한다. 계약부채는 기업이 고객에게서 받은 대가[또는 지급받을 권리가 있는 대가(금액)]에 상응하여 고객에게 재화나 용역을 이전하여야 하는 기업의 의무이다.</w:t>
      </w:r>
      <w:r>
        <w:rPr>
          <w:rStyle w:val="FootnoteReference"/>
        </w:rPr>
        <w:footnoteReference w:id="98"/>
      </w:r>
    </w:p>
    <w:p>
      <w:pPr>
        <w:pStyle w:val="BodyText"/>
      </w:pPr>
      <w:r>
        <w:rPr>
          <w:b/>
          <w:bCs/>
        </w:rPr>
        <w:t xml:space="preserve">제1115호 문단 B3</w:t>
      </w:r>
      <w:r>
        <w:br/>
      </w:r>
      <w:r>
        <w:t xml:space="preserve">일부 유형의 수행의무는 기업이 수행하는 대로 그 수행의 효익을 고객이 얻고 동시에 소비하는지를 쉽게 파악할 수 있을 것이다. 예를 들면 일상적이거나 반복적인 용역들(예: 청소 용역)은 기업의 수행에서 고객이 효익을 얻고 동시에 소비한다는 것을 쉽게 식별할 수 있다.</w:t>
      </w:r>
      <w:r>
        <w:rPr>
          <w:rStyle w:val="FootnoteReference"/>
        </w:rPr>
        <w:footnoteReference w:id="99"/>
      </w:r>
    </w:p>
    <w:p>
      <w:pPr>
        <w:pStyle w:val="BodyText"/>
      </w:pPr>
      <w:r>
        <w:rPr>
          <w:b/>
          <w:bCs/>
        </w:rPr>
        <w:t xml:space="preserve">제1115호 문단 B4</w:t>
      </w:r>
      <w:r>
        <w:br/>
      </w:r>
      <w:r>
        <w:t xml:space="preserve">다른 유형의 수행의무는 기업이 수행하는 대로 그 수행의 효익을 고객이 동시에 얻고 소비하는지를 쉽게 식별하지 못할 수 있다. 그러한 상황에서 다른 기업이 고객에게 나머지 수행의무를 이행한다고 가정할 때, 기업이 지금까지 완료한 업무를 다른 기업이 실질적으로 다시 수행할 필요가 없을 것이라고 판단한다면 그 수행의무는 기간에 걸쳐 이행하는 것이다. 기업이 지금까지 완료한 업무를 다른 기업이 실질적으로 다시 수행할 필요가 없을지를 판단할 때, 다음 사항 모두를 가정한다.</w:t>
      </w:r>
    </w:p>
    <w:p>
      <w:pPr>
        <w:pStyle w:val="Compact"/>
        <w:numPr>
          <w:ilvl w:val="0"/>
          <w:numId w:val="1050"/>
        </w:numPr>
      </w:pPr>
    </w:p>
    <w:p>
      <w:pPr>
        <w:pStyle w:val="Compact"/>
        <w:numPr>
          <w:ilvl w:val="1"/>
          <w:numId w:val="1051"/>
        </w:numPr>
      </w:pPr>
      <w:r>
        <w:t xml:space="preserve">다른 기업에 나머지 수행의무 이전을 금지하는 잠재적인 계약상 제약이나 실무상 제한을 무시한다.</w:t>
      </w:r>
    </w:p>
    <w:p>
      <w:pPr>
        <w:pStyle w:val="Compact"/>
        <w:numPr>
          <w:ilvl w:val="0"/>
          <w:numId w:val="1050"/>
        </w:numPr>
      </w:pPr>
    </w:p>
    <w:p>
      <w:pPr>
        <w:pStyle w:val="Compact"/>
        <w:numPr>
          <w:ilvl w:val="1"/>
          <w:numId w:val="1052"/>
        </w:numPr>
      </w:pPr>
      <w:r>
        <w:t xml:space="preserve">수행의무를 다른 기업에 이전한다고 가정할 때, 나머지 수행의무를 이행하는 다른 기업은 기업이 현재 통제하고 있고 수행의무 이전 후에도 여전히 통제할 자산에서 효익을 얻지 못한다고 가정한다.</w:t>
      </w:r>
      <w:r>
        <w:rPr>
          <w:rStyle w:val="FootnoteReference"/>
        </w:rPr>
        <w:footnoteReference w:id="100"/>
      </w:r>
    </w:p>
    <w:p>
      <w:pPr>
        <w:pStyle w:val="FirstParagraph"/>
      </w:pPr>
      <w:r>
        <w:rPr>
          <w:b/>
          <w:bCs/>
        </w:rPr>
        <w:t xml:space="preserve">제1115호 문단 B9</w:t>
      </w:r>
      <w:r>
        <w:br/>
      </w:r>
      <w:r>
        <w:t xml:space="preserve">문단 37에 따라, 기업이 약속한 대로 수행하지 못했기 때문이 아니라 그 밖의 사유로 고객이나 다른 당사자가 계약을 종료하는 경우에는 적어도 지금까지 수행을 완료한 부분에 대해 보상하는 금액을 받을 권리가 있다면, 기업에는 지금까지 수행을 완료한 부분에 대한 지급청구권이 있는 것이다. 지금까지 수행을 완료한 부분에 대해 기업에 보상하는 금액은 계약이 종료된다고 가정할 때, 기업이 잠재적으로 상실하는 이익만을 보상하는 것이 아니라 지금까지 이전된 재화나 용역의 판매가격에 가까운 금액(예: 수행의무의 이행에 든 원가의 회수금액에 적정한 이윤을 더한 금액)이 될 것이다. 적정한 이윤에 대한 보상은 계약에서 약속한 대로 이행한 것을 가정한 예상 이윤과 동일할 필요는 없으나, 다음 금액 중 어느 하나에 대해 보상 받을 권리는 있어야 한다.</w:t>
      </w:r>
    </w:p>
    <w:p>
      <w:pPr>
        <w:pStyle w:val="Compact"/>
        <w:numPr>
          <w:ilvl w:val="0"/>
          <w:numId w:val="1053"/>
        </w:numPr>
      </w:pPr>
    </w:p>
    <w:p>
      <w:pPr>
        <w:pStyle w:val="Compact"/>
        <w:numPr>
          <w:ilvl w:val="1"/>
          <w:numId w:val="1054"/>
        </w:numPr>
      </w:pPr>
      <w:r>
        <w:t xml:space="preserve">계약상 예상 이윤 중 고객(또는 다른 당사자)이 계약을 종료하기 전에 기업이 계약을 수행한 정도를 합리적으로 반영하는 부분</w:t>
      </w:r>
    </w:p>
    <w:p>
      <w:pPr>
        <w:pStyle w:val="Compact"/>
        <w:numPr>
          <w:ilvl w:val="0"/>
          <w:numId w:val="1053"/>
        </w:numPr>
      </w:pPr>
    </w:p>
    <w:p>
      <w:pPr>
        <w:pStyle w:val="Compact"/>
        <w:numPr>
          <w:ilvl w:val="1"/>
          <w:numId w:val="1055"/>
        </w:numPr>
      </w:pPr>
      <w:r>
        <w:t xml:space="preserve">계약 특유의 이윤이 비슷한 계약에서 일반적으로 생기는 기업의 이익보다 더 높은 경우에, 비슷한 계약에서 기업의 자본원가에 대한 적정한 보상(또는 비슷한 계약에서 기업의 일반적인 영업 이윤)</w:t>
      </w:r>
      <w:r>
        <w:rPr>
          <w:rStyle w:val="FootnoteReference"/>
        </w:rPr>
        <w:footnoteReference w:id="101"/>
      </w:r>
    </w:p>
    <w:p>
      <w:pPr>
        <w:pStyle w:val="FirstParagraph"/>
      </w:pPr>
      <w:r>
        <w:rPr>
          <w:b/>
          <w:bCs/>
        </w:rPr>
        <w:t xml:space="preserve">제1115호 문단 B12</w:t>
      </w:r>
      <w:r>
        <w:br/>
      </w:r>
      <w:r>
        <w:t xml:space="preserve">지금까지 수행을 완료한 부분에 대해 지급청구권이 있는지와 그 권리를 집행할 수 있는지를 판단하기 위해, 계약 조건과 그 계약 조건을 보충하거나 무효화할 수 있는 법률이나 판례도 참고한다. 이에는 다음 사항에 대한 판단이 포함될 것이다.</w:t>
      </w:r>
    </w:p>
    <w:p>
      <w:pPr>
        <w:pStyle w:val="Compact"/>
        <w:numPr>
          <w:ilvl w:val="0"/>
          <w:numId w:val="1056"/>
        </w:numPr>
      </w:pPr>
    </w:p>
    <w:p>
      <w:pPr>
        <w:pStyle w:val="Compact"/>
        <w:numPr>
          <w:ilvl w:val="1"/>
          <w:numId w:val="1057"/>
        </w:numPr>
      </w:pPr>
      <w:r>
        <w:t xml:space="preserve">고객과의 계약에 지급청구권이 규정되지 않더라도 법률, 행정 관행이나 판례에서 기업에 지금까지의 수행분에 대한 지급청구권을 부여하는지</w:t>
      </w:r>
    </w:p>
    <w:p>
      <w:pPr>
        <w:pStyle w:val="Compact"/>
        <w:numPr>
          <w:ilvl w:val="0"/>
          <w:numId w:val="1056"/>
        </w:numPr>
      </w:pPr>
    </w:p>
    <w:p>
      <w:pPr>
        <w:pStyle w:val="Compact"/>
        <w:numPr>
          <w:ilvl w:val="1"/>
          <w:numId w:val="1058"/>
        </w:numPr>
      </w:pPr>
      <w:r>
        <w:t xml:space="preserve">관련 판례가 비슷한 계약에서 지금까지 수행을 완료한 부분에 대한 비슷한 지급청구권이 법적으로 구속력이 없음을 나타내는지</w:t>
      </w:r>
    </w:p>
    <w:p>
      <w:pPr>
        <w:pStyle w:val="Compact"/>
        <w:numPr>
          <w:ilvl w:val="0"/>
          <w:numId w:val="1056"/>
        </w:numPr>
      </w:pPr>
    </w:p>
    <w:p>
      <w:pPr>
        <w:pStyle w:val="Compact"/>
        <w:numPr>
          <w:ilvl w:val="1"/>
          <w:numId w:val="1059"/>
        </w:numPr>
      </w:pPr>
      <w:r>
        <w:t xml:space="preserve">기업이 지급청구권을 집행하지 않기로 선택한 사업 관행이 그 법적 환경에서 권리를 집행할 수 없게 되는 결과를 가져왔는지. 그러나 기업이 비슷한 계약에서 자신의 지급청구권 포기를 선택할 수 있더라도 고객과의 계약에서 지금까지 수행분에 대한 지급청구권을 여전히 집행할 수 있다면, 지급청구권을 계속 갖는 것이다.</w:t>
      </w:r>
      <w:r>
        <w:rPr>
          <w:rStyle w:val="FootnoteReference"/>
        </w:rPr>
        <w:footnoteReference w:id="102"/>
      </w:r>
    </w:p>
    <w:p>
      <w:pPr>
        <w:pStyle w:val="FirstParagraph"/>
      </w:pPr>
      <w:r>
        <w:rPr>
          <w:b/>
          <w:bCs/>
        </w:rPr>
        <w:t xml:space="preserve">제1115호 문단 B13</w:t>
      </w:r>
      <w:r>
        <w:br/>
      </w:r>
      <w:r>
        <w:t xml:space="preserve">계약에서 정한 지급 일정이 기업이 지금까지 수행을 완료한 부분에 대해 집행 가능한 지급청구권을 갖는지를 반드시 나타내는 것은 아니다. 계약상 지급 일정에서 고객이 대가를 지급할 시기와 금액을 정하더라도, 그 지급 일정이 지금까지 수행을 완료한 부분에 대한 기업의 지급청구권에 관한 증거가 되지 않을 수 있다. 예를 들면 기업이 계약에서 약속한 대로 수행하지 못했기 때문이 아니라 그 밖의 사유로 고객에게서 받는 대가를 환불할 수 있다고 계약에서 정할 수 있기 때문이다.</w:t>
      </w:r>
      <w:r>
        <w:rPr>
          <w:rStyle w:val="FootnoteReference"/>
        </w:rPr>
        <w:footnoteReference w:id="103"/>
      </w:r>
    </w:p>
    <w:p>
      <w:pPr>
        <w:pStyle w:val="BodyText"/>
      </w:pPr>
      <w:r>
        <w:rPr>
          <w:b/>
          <w:bCs/>
        </w:rPr>
        <w:t xml:space="preserve">제1115호 문단 B15</w:t>
      </w:r>
      <w:r>
        <w:br/>
      </w:r>
      <w:r>
        <w:t xml:space="preserve">산출법은 계약에서 약속한 재화나 용역의 나머지 부분의 가치와 비교하여 지금까지 이전한 재화나 용역이 고객에 주는 가치의 직접 측정에 기초하여 수익을 인식한다. 산출법은 지금까지 수행을 완료한 정도를 조사, 달성한 결과에 대한 평가, 도달한 단계, 경과한 시간, 생산한 단위나 인도한 단위와 같은 방법이 포함된다. 진행률을 측정하기 위해 산출법을 적용할지를 판단할 때, 선택한 산출물이 수행의무의 완료 대비 기업의 수행 정도를 충실하게 나타내는지를 고려한다. 선택한 산출물이 고객에게 통제가 이전되는 재화나 용역의 일부를 측정하지 못한다면, 해당 산출법은 기업의 수행 정도를 충실하게 나타낼 수 없을 것이다. 예를 들면 보고기간 말에 기업이 고객이 통제하는 재공품이나 완성품을 생산하였으나 산출물의 측정에는 포함하지 않았다면 생산한 단위나 인도한 단위에 기초한 산출법은 수행의무를 이행할 때 기업의 수행 정도를 충실하게 나타내지 못할 것이다.</w:t>
      </w:r>
      <w:r>
        <w:rPr>
          <w:rStyle w:val="FootnoteReference"/>
        </w:rPr>
        <w:footnoteReference w:id="104"/>
      </w:r>
    </w:p>
    <w:p>
      <w:pPr>
        <w:pStyle w:val="BodyText"/>
      </w:pPr>
      <w:r>
        <w:rPr>
          <w:b/>
          <w:bCs/>
        </w:rPr>
        <w:t xml:space="preserve">제1115호 문단 B16</w:t>
      </w:r>
      <w:r>
        <w:br/>
      </w:r>
      <w:r>
        <w:t xml:space="preserve">기업이 지금까지 수행을 완료한 정도가 고객에게 주는 가치에 직접 상응하는 금액을 고객에게서 받을 권리가 있다면(예: 기업이 제공한 용역 시간당 고정금액을 청구할 수 있는 용역계약), 기업은 청구권이 있는 금액으로 수익을 인식하는 실무적 간편법을 쓸 수 있다.</w:t>
      </w:r>
      <w:r>
        <w:rPr>
          <w:rStyle w:val="FootnoteReference"/>
        </w:rPr>
        <w:footnoteReference w:id="105"/>
      </w:r>
    </w:p>
    <w:p>
      <w:pPr>
        <w:pStyle w:val="BodyText"/>
      </w:pPr>
      <w:r>
        <w:rPr>
          <w:b/>
          <w:bCs/>
        </w:rPr>
        <w:t xml:space="preserve">제1115호 문단 B18</w:t>
      </w:r>
      <w:r>
        <w:br/>
      </w:r>
      <w:r>
        <w:t xml:space="preserve">투입법은 해당 수행의무의 이행에 예상되는 총 투입물 대비 수행의무를 이행하기 위한 기업의 노력이나 투입물(예: 소비한 자원, 사용한 노동시간, 발생원가, 경과한 시간, 사용한 기계시간)에 기초하여 수익을 인식하는 것이다. 기업의 노력이나 투입물을 수행기간에 걸쳐 균등하게 소비한다면, 정액법으로 수익을 인식하는 것이 적절할 수 있다.</w:t>
      </w:r>
      <w:r>
        <w:rPr>
          <w:rStyle w:val="FootnoteReference"/>
        </w:rPr>
        <w:footnoteReference w:id="106"/>
      </w:r>
    </w:p>
    <w:p>
      <w:pPr>
        <w:pStyle w:val="BodyText"/>
      </w:pPr>
      <w:r>
        <w:rPr>
          <w:b/>
          <w:bCs/>
        </w:rPr>
        <w:t xml:space="preserve">제1115호 문단 BC167 (결론도출근거)</w:t>
      </w:r>
      <w:r>
        <w:br/>
      </w:r>
      <w:r>
        <w:t xml:space="preserve">IASB와 FASB는 일부 상황에서는 실무적 간편법으로서 또 다른 적절한 산출법은 기업이 청구할 수 있는 권리에 해당하는 대가(금액)만큼을 수익으로 인식하는 것이라고도 결정하였다. 이 방법은 기업이 청구할 수 있는 권리에 해당하는 대가(금액)가 기업이 고객에게 이전하는 재화나 용역(지금까지 수행을 완료한 부분)의 각 증분에 대하여 고객에게 주는 가치에 직접 상응하는 경우에 적절하다. 예를 들면 이것은 기업이 제공한 용역시간당 고정금액을 청구하는 용역계약에서 생길 수 있다.</w:t>
      </w:r>
      <w:r>
        <w:rPr>
          <w:rStyle w:val="FootnoteReference"/>
        </w:rPr>
        <w:footnoteReference w:id="107"/>
      </w:r>
    </w:p>
    <w:bookmarkEnd w:id="108"/>
    <w:sectPr>
      <w:headerReference r:id="rId9" w:type="default"/>
      <w:footerReference r:id="rId10" w:type="default"/>
      <w:footnotePr>
        <w:numRestart w:val="eachSect"/>
      </w:footnotePr>
      <w:pgSz w:h="16838" w:w="11906"/>
      <w:pgMar w:bottom="1134" w:left="1134" w:right="113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기업회계기준서 제1115호 문단 27. 회계위키, https://accountingwiki.co.kr/standards/1115#p27</w:t>
      </w:r>
    </w:p>
  </w:footnote>
  <w:footnote w:id="24">
    <w:p>
      <w:pPr>
        <w:pStyle w:val="FootnoteText"/>
      </w:pPr>
      <w:r>
        <w:rPr>
          <w:rStyle w:val="FootnoteReference"/>
        </w:rPr>
        <w:footnoteRef/>
      </w:r>
      <w:r>
        <w:t xml:space="preserve"> </w:t>
      </w:r>
      <w:r>
        <w:t xml:space="preserve">기업회계기준서 제1115호 문단 29. 회계위키, https://accountingwiki.co.kr/standards/1115#p29</w:t>
      </w:r>
    </w:p>
  </w:footnote>
  <w:footnote w:id="25">
    <w:p>
      <w:pPr>
        <w:pStyle w:val="FootnoteText"/>
      </w:pPr>
      <w:r>
        <w:rPr>
          <w:rStyle w:val="FootnoteReference"/>
        </w:rPr>
        <w:footnoteRef/>
      </w:r>
      <w:r>
        <w:t xml:space="preserve"> </w:t>
      </w:r>
      <w:r>
        <w:t xml:space="preserve">기업회계기준서 제1115호 문단 29. 회계위키, https://accountingwiki.co.kr/standards/1115#p29</w:t>
      </w:r>
    </w:p>
  </w:footnote>
  <w:footnote w:id="26">
    <w:p>
      <w:pPr>
        <w:pStyle w:val="FootnoteText"/>
      </w:pPr>
      <w:r>
        <w:rPr>
          <w:rStyle w:val="FootnoteReference"/>
        </w:rPr>
        <w:footnoteRef/>
      </w:r>
      <w:r>
        <w:t xml:space="preserve"> </w:t>
      </w:r>
      <w:r>
        <w:t xml:space="preserve">기업회계기준서 제1115호 결론도출근거 문단 BC161(둘 이상의 측정방법을 허용하면 수행의무 식별 요구사항을 우회). 회계위키, https://accountingwiki.co.kr/standards/1115/bc#pBC161</w:t>
      </w:r>
    </w:p>
  </w:footnote>
  <w:footnote w:id="27">
    <w:p>
      <w:pPr>
        <w:pStyle w:val="FootnoteText"/>
      </w:pPr>
      <w:r>
        <w:rPr>
          <w:rStyle w:val="FootnoteReference"/>
        </w:rPr>
        <w:footnoteRef/>
      </w:r>
      <w:r>
        <w:t xml:space="preserve"> </w:t>
      </w:r>
      <w:r>
        <w:t xml:space="preserve">회계기준원 질의회신 2018-I-KQA009</w:t>
      </w:r>
      <w:r>
        <w:t xml:space="preserve"> </w:t>
      </w:r>
      <w:r>
        <w:t xml:space="preserve">‘의약품 수탁생산계약의 수행의무 구별’</w:t>
      </w:r>
      <w:r>
        <w:t xml:space="preserve">(2018-04-19). 회계위키, https://accountingwiki.co.kr/qnas/2018-I-KQA009</w:t>
      </w:r>
    </w:p>
  </w:footnote>
  <w:footnote w:id="28">
    <w:p>
      <w:pPr>
        <w:pStyle w:val="FootnoteText"/>
      </w:pPr>
      <w:r>
        <w:rPr>
          <w:rStyle w:val="FootnoteReference"/>
        </w:rPr>
        <w:footnoteRef/>
      </w:r>
      <w:r>
        <w:t xml:space="preserve"> </w:t>
      </w:r>
      <w:r>
        <w:t xml:space="preserve">금융감독원 감리지적사례</w:t>
      </w:r>
      <w:r>
        <w:t xml:space="preserve"> </w:t>
      </w:r>
      <w:r>
        <w:t xml:space="preserve">‘[2023] 매출 기간 귀속 오류’</w:t>
      </w:r>
      <w:r>
        <w:t xml:space="preserve">. 회계위키, https://accountingwiki.co.kr/audit/qnas/fss-2023-f076296a</w:t>
      </w:r>
    </w:p>
  </w:footnote>
  <w:footnote w:id="30">
    <w:p>
      <w:pPr>
        <w:pStyle w:val="FootnoteText"/>
      </w:pPr>
      <w:r>
        <w:rPr>
          <w:rStyle w:val="FootnoteReference"/>
        </w:rPr>
        <w:footnoteRef/>
      </w:r>
      <w:r>
        <w:t xml:space="preserve"> </w:t>
      </w:r>
      <w:r>
        <w:t xml:space="preserve">기업회계기준서 제1115호 문단 76. 회계위키, https://accountingwiki.co.kr/standards/1115#p76</w:t>
      </w:r>
    </w:p>
  </w:footnote>
  <w:footnote w:id="31">
    <w:p>
      <w:pPr>
        <w:pStyle w:val="FootnoteText"/>
      </w:pPr>
      <w:r>
        <w:rPr>
          <w:rStyle w:val="FootnoteReference"/>
        </w:rPr>
        <w:footnoteRef/>
      </w:r>
      <w:r>
        <w:t xml:space="preserve"> </w:t>
      </w:r>
      <w:r>
        <w:t xml:space="preserve">기업회계기준서 제1115호 문단 B3. 회계위키, https://accountingwiki.co.kr/standards/1115/b#pB3</w:t>
      </w:r>
    </w:p>
  </w:footnote>
  <w:footnote w:id="32">
    <w:p>
      <w:pPr>
        <w:pStyle w:val="FootnoteText"/>
      </w:pPr>
      <w:r>
        <w:rPr>
          <w:rStyle w:val="FootnoteReference"/>
        </w:rPr>
        <w:footnoteRef/>
      </w:r>
      <w:r>
        <w:t xml:space="preserve"> </w:t>
      </w:r>
      <w:r>
        <w:t xml:space="preserve">기업회계기준서 제1115호 문단 79(개별 판매가격 추정방법: 시장평가 조정, 예상원가 이윤 가산, 잔여접근법). 회계위키, https://accountingwiki.co.kr/standards/1115#p79</w:t>
      </w:r>
    </w:p>
  </w:footnote>
  <w:footnote w:id="33">
    <w:p>
      <w:pPr>
        <w:pStyle w:val="FootnoteText"/>
      </w:pPr>
      <w:r>
        <w:rPr>
          <w:rStyle w:val="FootnoteReference"/>
        </w:rPr>
        <w:footnoteRef/>
      </w:r>
      <w:r>
        <w:t xml:space="preserve"> </w:t>
      </w:r>
      <w:r>
        <w:t xml:space="preserve">기업회계기준서 제1115호 결론도출근거 문단 BC160(헬스클럽 사례: 사용할 수 있게 하는 용역에 기초한 측정). 회계위키, https://accountingwiki.co.kr/standards/1115/bc#pBC160</w:t>
      </w:r>
    </w:p>
  </w:footnote>
  <w:footnote w:id="34">
    <w:p>
      <w:pPr>
        <w:pStyle w:val="FootnoteText"/>
      </w:pPr>
      <w:r>
        <w:rPr>
          <w:rStyle w:val="FootnoteReference"/>
        </w:rPr>
        <w:footnoteRef/>
      </w:r>
      <w:r>
        <w:t xml:space="preserve"> </w:t>
      </w:r>
      <w:r>
        <w:t xml:space="preserve">기업회계기준서 제1115호 문단 35. 회계위키, https://accountingwiki.co.kr/standards/1115#p35</w:t>
      </w:r>
    </w:p>
  </w:footnote>
  <w:footnote w:id="35">
    <w:p>
      <w:pPr>
        <w:pStyle w:val="FootnoteText"/>
      </w:pPr>
      <w:r>
        <w:rPr>
          <w:rStyle w:val="FootnoteReference"/>
        </w:rPr>
        <w:footnoteRef/>
      </w:r>
      <w:r>
        <w:t xml:space="preserve"> </w:t>
      </w:r>
      <w:r>
        <w:t xml:space="preserve">기업회계기준서 제1115호 문단 40(한 수행의무에 하나의 측정방법을 일관 적용하고, 보고기간 말마다 재측정). 회계위키, https://accountingwiki.co.kr/standards/1115#p40</w:t>
      </w:r>
    </w:p>
  </w:footnote>
  <w:footnote w:id="36">
    <w:p>
      <w:pPr>
        <w:pStyle w:val="FootnoteText"/>
      </w:pPr>
      <w:r>
        <w:rPr>
          <w:rStyle w:val="FootnoteReference"/>
        </w:rPr>
        <w:footnoteRef/>
      </w:r>
      <w:r>
        <w:t xml:space="preserve"> </w:t>
      </w:r>
      <w:r>
        <w:t xml:space="preserve">기업회계기준서 제1115호 문단 43(진행률 변동은 회계추정치의 변경으로 처리). 회계위키, https://accountingwiki.co.kr/standards/1115#p43</w:t>
      </w:r>
    </w:p>
  </w:footnote>
  <w:footnote w:id="38">
    <w:p>
      <w:pPr>
        <w:pStyle w:val="FootnoteText"/>
      </w:pPr>
      <w:r>
        <w:rPr>
          <w:rStyle w:val="FootnoteReference"/>
        </w:rPr>
        <w:footnoteRef/>
      </w:r>
      <w:r>
        <w:t xml:space="preserve"> </w:t>
      </w:r>
      <w:r>
        <w:t xml:space="preserve">기업회계기준서 제1115호 문단 35. 회계위키, https://accountingwiki.co.kr/standards/1115#p35</w:t>
      </w:r>
    </w:p>
  </w:footnote>
  <w:footnote w:id="39">
    <w:p>
      <w:pPr>
        <w:pStyle w:val="FootnoteText"/>
      </w:pPr>
      <w:r>
        <w:rPr>
          <w:rStyle w:val="FootnoteReference"/>
        </w:rPr>
        <w:footnoteRef/>
      </w:r>
      <w:r>
        <w:t xml:space="preserve"> </w:t>
      </w:r>
      <w:r>
        <w:t xml:space="preserve">기업회계기준서 제1115호 문단 B4. 회계위키, https://accountingwiki.co.kr/standards/1115/b#pB4</w:t>
      </w:r>
    </w:p>
  </w:footnote>
  <w:footnote w:id="40">
    <w:p>
      <w:pPr>
        <w:pStyle w:val="FootnoteText"/>
      </w:pPr>
      <w:r>
        <w:rPr>
          <w:rStyle w:val="FootnoteReference"/>
        </w:rPr>
        <w:footnoteRef/>
      </w:r>
      <w:r>
        <w:t xml:space="preserve"> </w:t>
      </w:r>
      <w:r>
        <w:t xml:space="preserve">기업회계기준서 제1115호 문단 37. 회계위키, https://accountingwiki.co.kr/standards/1115#p37</w:t>
      </w:r>
    </w:p>
  </w:footnote>
  <w:footnote w:id="41">
    <w:p>
      <w:pPr>
        <w:pStyle w:val="FootnoteText"/>
      </w:pPr>
      <w:r>
        <w:rPr>
          <w:rStyle w:val="FootnoteReference"/>
        </w:rPr>
        <w:footnoteRef/>
      </w:r>
      <w:r>
        <w:t xml:space="preserve"> </w:t>
      </w:r>
      <w:r>
        <w:t xml:space="preserve">기업회계기준서 제1115호 문단 B9. 회계위키, https://accountingwiki.co.kr/standards/1115/b#pB9</w:t>
      </w:r>
    </w:p>
  </w:footnote>
  <w:footnote w:id="42">
    <w:p>
      <w:pPr>
        <w:pStyle w:val="FootnoteText"/>
      </w:pPr>
      <w:r>
        <w:rPr>
          <w:rStyle w:val="FootnoteReference"/>
        </w:rPr>
        <w:footnoteRef/>
      </w:r>
      <w:r>
        <w:t xml:space="preserve"> </w:t>
      </w:r>
      <w:r>
        <w:t xml:space="preserve">기업회계기준서 제1115호 문단 B12. 회계위키, https://accountingwiki.co.kr/standards/1115/b#pB12</w:t>
      </w:r>
    </w:p>
  </w:footnote>
  <w:footnote w:id="43">
    <w:p>
      <w:pPr>
        <w:pStyle w:val="FootnoteText"/>
      </w:pPr>
      <w:r>
        <w:rPr>
          <w:rStyle w:val="FootnoteReference"/>
        </w:rPr>
        <w:footnoteRef/>
      </w:r>
      <w:r>
        <w:t xml:space="preserve"> </w:t>
      </w:r>
      <w:r>
        <w:t xml:space="preserve">기업회계기준서 제1115호 문단 B13. 회계위키, https://accountingwiki.co.kr/standards/1115/b#pB13</w:t>
      </w:r>
    </w:p>
  </w:footnote>
  <w:footnote w:id="44">
    <w:p>
      <w:pPr>
        <w:pStyle w:val="FootnoteText"/>
      </w:pPr>
      <w:r>
        <w:rPr>
          <w:rStyle w:val="FootnoteReference"/>
        </w:rPr>
        <w:footnoteRef/>
      </w:r>
      <w:r>
        <w:t xml:space="preserve"> </w:t>
      </w:r>
      <w:r>
        <w:t xml:space="preserve">기업회계기준서 제1115호 문단 38. 회계위키, https://accountingwiki.co.kr/standards/1115#p38</w:t>
      </w:r>
    </w:p>
  </w:footnote>
  <w:footnote w:id="45">
    <w:p>
      <w:pPr>
        <w:pStyle w:val="FootnoteText"/>
      </w:pPr>
      <w:r>
        <w:rPr>
          <w:rStyle w:val="FootnoteReference"/>
        </w:rPr>
        <w:footnoteRef/>
      </w:r>
      <w:r>
        <w:t xml:space="preserve"> </w:t>
      </w:r>
      <w:r>
        <w:t xml:space="preserve">신속처리질의 SSI-36904</w:t>
      </w:r>
      <w:r>
        <w:t xml:space="preserve"> </w:t>
      </w:r>
      <w:r>
        <w:t xml:space="preserve">‘용역제공 시 진행기준 적용 여부’</w:t>
      </w:r>
      <w:r>
        <w:t xml:space="preserve">(2020-01-21). 회계위키, https://accountingwiki.co.kr/qnas/SSI-36904</w:t>
      </w:r>
    </w:p>
  </w:footnote>
  <w:footnote w:id="46">
    <w:p>
      <w:pPr>
        <w:pStyle w:val="FootnoteText"/>
      </w:pPr>
      <w:r>
        <w:rPr>
          <w:rStyle w:val="FootnoteReference"/>
        </w:rPr>
        <w:footnoteRef/>
      </w:r>
      <w:r>
        <w:t xml:space="preserve"> </w:t>
      </w:r>
      <w:r>
        <w:t xml:space="preserve">민법 제673조(완성전의 도급인의 해제권). 국가법령정보센터, https://www.law.go.kr/법령/민법/제673조</w:t>
      </w:r>
    </w:p>
  </w:footnote>
  <w:footnote w:id="47">
    <w:p>
      <w:pPr>
        <w:pStyle w:val="FootnoteText"/>
      </w:pPr>
      <w:r>
        <w:rPr>
          <w:rStyle w:val="FootnoteReference"/>
        </w:rPr>
        <w:footnoteRef/>
      </w:r>
      <w:r>
        <w:t xml:space="preserve"> </w:t>
      </w:r>
      <w:r>
        <w:t xml:space="preserve">민법 제689조(위임의 상호해지의 자유). 국가법령정보센터, https://www.law.go.kr/법령/민법/제689조</w:t>
      </w:r>
    </w:p>
  </w:footnote>
  <w:footnote w:id="48">
    <w:p>
      <w:pPr>
        <w:pStyle w:val="FootnoteText"/>
      </w:pPr>
      <w:r>
        <w:rPr>
          <w:rStyle w:val="FootnoteReference"/>
        </w:rPr>
        <w:footnoteRef/>
      </w:r>
      <w:r>
        <w:t xml:space="preserve"> </w:t>
      </w:r>
      <w:r>
        <w:t xml:space="preserve">민법 제686조(수임인의 보수청구권). 국가법령정보센터, https://www.law.go.kr/법령/민법/제686조</w:t>
      </w:r>
    </w:p>
  </w:footnote>
  <w:footnote w:id="49">
    <w:p>
      <w:pPr>
        <w:pStyle w:val="FootnoteText"/>
      </w:pPr>
      <w:r>
        <w:rPr>
          <w:rStyle w:val="FootnoteReference"/>
        </w:rPr>
        <w:footnoteRef/>
      </w:r>
      <w:r>
        <w:t xml:space="preserve"> </w:t>
      </w:r>
      <w:r>
        <w:t xml:space="preserve">기업회계기준서 제1115호 문단 B85(규격 충족을 객관적으로 판단할 수 없으면 고객이 인수할 때까지 통제 이전으로 볼 수 없음). 회계위키, https://accountingwiki.co.kr/standards/1115/b#pB85</w:t>
      </w:r>
    </w:p>
  </w:footnote>
  <w:footnote w:id="50">
    <w:p>
      <w:pPr>
        <w:pStyle w:val="FootnoteText"/>
      </w:pPr>
      <w:r>
        <w:rPr>
          <w:rStyle w:val="FootnoteReference"/>
        </w:rPr>
        <w:footnoteRef/>
      </w:r>
      <w:r>
        <w:t xml:space="preserve"> </w:t>
      </w:r>
      <w:r>
        <w:t xml:space="preserve">신속처리질의 SSI-36904</w:t>
      </w:r>
      <w:r>
        <w:t xml:space="preserve"> </w:t>
      </w:r>
      <w:r>
        <w:t xml:space="preserve">‘용역제공 시 진행기준 적용 여부’</w:t>
      </w:r>
      <w:r>
        <w:t xml:space="preserve">(2020-01-21). 회계위키, https://accountingwiki.co.kr/qnas/SSI-36904</w:t>
      </w:r>
    </w:p>
  </w:footnote>
  <w:footnote w:id="51">
    <w:p>
      <w:pPr>
        <w:pStyle w:val="FootnoteText"/>
      </w:pPr>
      <w:r>
        <w:rPr>
          <w:rStyle w:val="FootnoteReference"/>
        </w:rPr>
        <w:footnoteRef/>
      </w:r>
      <w:r>
        <w:t xml:space="preserve"> </w:t>
      </w:r>
      <w:r>
        <w:t xml:space="preserve">신속처리질의 SSI-202312052</w:t>
      </w:r>
      <w:r>
        <w:t xml:space="preserve"> </w:t>
      </w:r>
      <w:r>
        <w:t xml:space="preserve">‘수익 인식시기’</w:t>
      </w:r>
      <w:r>
        <w:t xml:space="preserve">(2022-08-21). 회계위키, https://accountingwiki.co.kr/qnas/SSI-202312052</w:t>
      </w:r>
    </w:p>
  </w:footnote>
  <w:footnote w:id="52">
    <w:p>
      <w:pPr>
        <w:pStyle w:val="FootnoteText"/>
      </w:pPr>
      <w:r>
        <w:rPr>
          <w:rStyle w:val="FootnoteReference"/>
        </w:rPr>
        <w:footnoteRef/>
      </w:r>
      <w:r>
        <w:t xml:space="preserve"> </w:t>
      </w:r>
      <w:r>
        <w:t xml:space="preserve">한국공인회계사회 심사·감리지적사례 KICPA-2025-07</w:t>
      </w:r>
      <w:r>
        <w:t xml:space="preserve"> </w:t>
      </w:r>
      <w:r>
        <w:t xml:space="preserve">‘수익·비용의 기간귀속 오류(용역)’</w:t>
      </w:r>
      <w:r>
        <w:t xml:space="preserve">. 회계위키, https://accountingwiki.co.kr/audit/qnas/kicpa-2025-2c5a43c2</w:t>
      </w:r>
    </w:p>
  </w:footnote>
  <w:footnote w:id="54">
    <w:p>
      <w:pPr>
        <w:pStyle w:val="FootnoteText"/>
      </w:pPr>
      <w:r>
        <w:rPr>
          <w:rStyle w:val="FootnoteReference"/>
        </w:rPr>
        <w:footnoteRef/>
      </w:r>
      <w:r>
        <w:t xml:space="preserve"> </w:t>
      </w:r>
      <w:r>
        <w:t xml:space="preserve">기업회계기준서 제1115호 문단 B16. 회계위키, https://accountingwiki.co.kr/standards/1115/b#pB16</w:t>
      </w:r>
    </w:p>
  </w:footnote>
  <w:footnote w:id="55">
    <w:p>
      <w:pPr>
        <w:pStyle w:val="FootnoteText"/>
      </w:pPr>
      <w:r>
        <w:rPr>
          <w:rStyle w:val="FootnoteReference"/>
        </w:rPr>
        <w:footnoteRef/>
      </w:r>
      <w:r>
        <w:t xml:space="preserve"> </w:t>
      </w:r>
      <w:r>
        <w:t xml:space="preserve">기업회계기준서 제1115호 문단 B15. 회계위키, https://accountingwiki.co.kr/standards/1115/b#pB15</w:t>
      </w:r>
    </w:p>
  </w:footnote>
  <w:footnote w:id="56">
    <w:p>
      <w:pPr>
        <w:pStyle w:val="FootnoteText"/>
      </w:pPr>
      <w:r>
        <w:rPr>
          <w:rStyle w:val="FootnoteReference"/>
        </w:rPr>
        <w:footnoteRef/>
      </w:r>
      <w:r>
        <w:t xml:space="preserve"> </w:t>
      </w:r>
      <w:r>
        <w:t xml:space="preserve">기업회계기준서 제1115호 결론도출근거 문단 BC167. 회계위키, https://accountingwiki.co.kr/standards/1115/bc#pBC167</w:t>
      </w:r>
    </w:p>
  </w:footnote>
  <w:footnote w:id="57">
    <w:p>
      <w:pPr>
        <w:pStyle w:val="FootnoteText"/>
      </w:pPr>
      <w:r>
        <w:rPr>
          <w:rStyle w:val="FootnoteReference"/>
        </w:rPr>
        <w:footnoteRef/>
      </w:r>
      <w:r>
        <w:t xml:space="preserve"> </w:t>
      </w:r>
      <w:r>
        <w:t xml:space="preserve">한국공인회계사회 심사·감리지적사례 KICPA-2024-02</w:t>
      </w:r>
      <w:r>
        <w:t xml:space="preserve"> </w:t>
      </w:r>
      <w:r>
        <w:t xml:space="preserve">‘수익의 기간귀속 오류’</w:t>
      </w:r>
      <w:r>
        <w:t xml:space="preserve">. 회계위키, https://accountingwiki.co.kr/audit/qnas/kicpa-2024-7cd931bd</w:t>
      </w:r>
    </w:p>
  </w:footnote>
  <w:footnote w:id="59">
    <w:p>
      <w:pPr>
        <w:pStyle w:val="FootnoteText"/>
      </w:pPr>
      <w:r>
        <w:rPr>
          <w:rStyle w:val="FootnoteReference"/>
        </w:rPr>
        <w:footnoteRef/>
      </w:r>
      <w:r>
        <w:t xml:space="preserve"> </w:t>
      </w:r>
      <w:r>
        <w:t xml:space="preserve">기업회계기준서 제1115호 문단 B18. 회계위키, https://accountingwiki.co.kr/standards/1115/b#pB18</w:t>
      </w:r>
    </w:p>
  </w:footnote>
  <w:footnote w:id="60">
    <w:p>
      <w:pPr>
        <w:pStyle w:val="FootnoteText"/>
      </w:pPr>
      <w:r>
        <w:rPr>
          <w:rStyle w:val="FootnoteReference"/>
        </w:rPr>
        <w:footnoteRef/>
      </w:r>
      <w:r>
        <w:t xml:space="preserve"> </w:t>
      </w:r>
      <w:r>
        <w:t xml:space="preserve">기업회계기준서 제1115호 문단 41. 회계위키, https://accountingwiki.co.kr/standards/1115#p41</w:t>
      </w:r>
    </w:p>
  </w:footnote>
  <w:footnote w:id="61">
    <w:p>
      <w:pPr>
        <w:pStyle w:val="FootnoteText"/>
      </w:pPr>
      <w:r>
        <w:rPr>
          <w:rStyle w:val="FootnoteReference"/>
        </w:rPr>
        <w:footnoteRef/>
      </w:r>
      <w:r>
        <w:t xml:space="preserve"> </w:t>
      </w:r>
      <w:r>
        <w:t xml:space="preserve">기업회계기준서 제1115호 결론도출근거 문단 BC159(진행률 측정방법은 자유로운 선택이 아니며, 수행 정도를 나타내는 목적에 부합해야 함). 회계위키, https://accountingwiki.co.kr/standards/1115/bc#pBC159</w:t>
      </w:r>
    </w:p>
  </w:footnote>
  <w:footnote w:id="63">
    <w:p>
      <w:pPr>
        <w:pStyle w:val="FootnoteText"/>
      </w:pPr>
      <w:r>
        <w:rPr>
          <w:rStyle w:val="FootnoteReference"/>
        </w:rPr>
        <w:footnoteRef/>
      </w:r>
      <w:r>
        <w:t xml:space="preserve"> </w:t>
      </w:r>
      <w:r>
        <w:t xml:space="preserve">기업회계기준서 제1115호 문단 44. 회계위키, https://accountingwiki.co.kr/standards/1115#p44</w:t>
      </w:r>
    </w:p>
  </w:footnote>
  <w:footnote w:id="64">
    <w:p>
      <w:pPr>
        <w:pStyle w:val="FootnoteText"/>
      </w:pPr>
      <w:r>
        <w:rPr>
          <w:rStyle w:val="FootnoteReference"/>
        </w:rPr>
        <w:footnoteRef/>
      </w:r>
      <w:r>
        <w:t xml:space="preserve"> </w:t>
      </w:r>
      <w:r>
        <w:t xml:space="preserve">기업회계기준서 제1115호 문단 45. 회계위키, https://accountingwiki.co.kr/standards/1115#p45</w:t>
      </w:r>
    </w:p>
  </w:footnote>
  <w:footnote w:id="65">
    <w:p>
      <w:pPr>
        <w:pStyle w:val="FootnoteText"/>
      </w:pPr>
      <w:r>
        <w:rPr>
          <w:rStyle w:val="FootnoteReference"/>
        </w:rPr>
        <w:footnoteRef/>
      </w:r>
      <w:r>
        <w:t xml:space="preserve"> </w:t>
      </w:r>
      <w:r>
        <w:t xml:space="preserve">기업회계기준서 제1115호 결론도출근거 문단 BC164(산출법이 개념적으로 가장 충실하나, 투입법이 원가가 덜 들고 근사값을 제공하면 적절). 회계위키, https://accountingwiki.co.kr/standards/1115/bc#pBC164</w:t>
      </w:r>
    </w:p>
  </w:footnote>
  <w:footnote w:id="66">
    <w:p>
      <w:pPr>
        <w:pStyle w:val="FootnoteText"/>
      </w:pPr>
      <w:r>
        <w:rPr>
          <w:rStyle w:val="FootnoteReference"/>
        </w:rPr>
        <w:footnoteRef/>
      </w:r>
      <w:r>
        <w:t xml:space="preserve"> </w:t>
      </w:r>
      <w:r>
        <w:t xml:space="preserve">기업회계기준서 제1115호 문단 B17(산출물을 관측할 수 없거나 정보 입수 원가가 과도하면 투입법이 필요할 수 있음). 회계위키, https://accountingwiki.co.kr/standards/1115/b#pB17</w:t>
      </w:r>
    </w:p>
  </w:footnote>
  <w:footnote w:id="67">
    <w:p>
      <w:pPr>
        <w:pStyle w:val="FootnoteText"/>
      </w:pPr>
      <w:r>
        <w:rPr>
          <w:rStyle w:val="FootnoteReference"/>
        </w:rPr>
        <w:footnoteRef/>
      </w:r>
      <w:r>
        <w:t xml:space="preserve"> </w:t>
      </w:r>
      <w:r>
        <w:t xml:space="preserve">기업회계기준서 제1115호 문단 B19(수행 정도를 나타내지 못하는 투입물의 영향은 투입법에서 제외). 회계위키, https://accountingwiki.co.kr/standards/1115/b#pB19</w:t>
      </w:r>
    </w:p>
  </w:footnote>
  <w:footnote w:id="68">
    <w:p>
      <w:pPr>
        <w:pStyle w:val="FootnoteText"/>
      </w:pPr>
      <w:r>
        <w:rPr>
          <w:rStyle w:val="FootnoteReference"/>
        </w:rPr>
        <w:footnoteRef/>
      </w:r>
      <w:r>
        <w:t xml:space="preserve"> </w:t>
      </w:r>
      <w:r>
        <w:t xml:space="preserve">기업회계기준서 제1115호 문단 43(진행률 변동은 회계추정치의 변경으로 처리). 회계위키, https://accountingwiki.co.kr/standards/1115#p43</w:t>
      </w:r>
    </w:p>
  </w:footnote>
  <w:footnote w:id="69">
    <w:p>
      <w:pPr>
        <w:pStyle w:val="FootnoteText"/>
      </w:pPr>
      <w:r>
        <w:rPr>
          <w:rStyle w:val="FootnoteReference"/>
        </w:rPr>
        <w:footnoteRef/>
      </w:r>
      <w:r>
        <w:t xml:space="preserve"> </w:t>
      </w:r>
      <w:r>
        <w:t xml:space="preserve">한국공인회계사회 심사·감리지적사례 KICPA-2025-04</w:t>
      </w:r>
      <w:r>
        <w:t xml:space="preserve"> </w:t>
      </w:r>
      <w:r>
        <w:t xml:space="preserve">‘용역매출 수익인식 오류’</w:t>
      </w:r>
      <w:r>
        <w:t xml:space="preserve">. 회계위키, https://accountingwiki.co.kr/audit/qnas/kicpa-2025-5e14f429</w:t>
      </w:r>
    </w:p>
  </w:footnote>
  <w:footnote w:id="70">
    <w:p>
      <w:pPr>
        <w:pStyle w:val="FootnoteText"/>
      </w:pPr>
      <w:r>
        <w:rPr>
          <w:rStyle w:val="FootnoteReference"/>
        </w:rPr>
        <w:footnoteRef/>
      </w:r>
      <w:r>
        <w:t xml:space="preserve"> </w:t>
      </w:r>
      <w:r>
        <w:t xml:space="preserve">금융감독원 감리지적사례</w:t>
      </w:r>
      <w:r>
        <w:t xml:space="preserve"> </w:t>
      </w:r>
      <w:r>
        <w:t xml:space="preserve">‘[2020] 예정원가 오류로 인한 매출원가 과소계상’</w:t>
      </w:r>
      <w:r>
        <w:t xml:space="preserve">. 회계위키, https://accountingwiki.co.kr/audit/qnas/fss-2020-2406f7b2</w:t>
      </w:r>
    </w:p>
  </w:footnote>
  <w:footnote w:id="71">
    <w:p>
      <w:pPr>
        <w:pStyle w:val="FootnoteText"/>
      </w:pPr>
      <w:r>
        <w:rPr>
          <w:rStyle w:val="FootnoteReference"/>
        </w:rPr>
        <w:footnoteRef/>
      </w:r>
      <w:r>
        <w:t xml:space="preserve"> </w:t>
      </w:r>
      <w:r>
        <w:t xml:space="preserve">회계위키 실무해설</w:t>
      </w:r>
      <w:r>
        <w:t xml:space="preserve"> </w:t>
      </w:r>
      <w:r>
        <w:t xml:space="preserve">‘[5단계 수익인식] 기간에 걸친 수익인식 (2) 진행률 측정 — 투입법·산출법과 미설치 자재’</w:t>
      </w:r>
      <w:r>
        <w:t xml:space="preserve">(비공식 해설). 회계위키, https://accountingwiki.co.kr/articles/progress-measurement-uninstalled-materials</w:t>
      </w:r>
    </w:p>
  </w:footnote>
  <w:footnote w:id="75">
    <w:p>
      <w:pPr>
        <w:pStyle w:val="FootnoteText"/>
      </w:pPr>
      <w:r>
        <w:rPr>
          <w:rStyle w:val="FootnoteReference"/>
        </w:rPr>
        <w:footnoteRef/>
      </w:r>
      <w:r>
        <w:t xml:space="preserve"> </w:t>
      </w:r>
      <w:r>
        <w:t xml:space="preserve">기업회계기준서 제1115호 문단 106. 회계위키, https://accountingwiki.co.kr/standards/1115#p106</w:t>
      </w:r>
    </w:p>
  </w:footnote>
  <w:footnote w:id="76">
    <w:p>
      <w:pPr>
        <w:pStyle w:val="FootnoteText"/>
      </w:pPr>
      <w:r>
        <w:rPr>
          <w:rStyle w:val="FootnoteReference"/>
        </w:rPr>
        <w:footnoteRef/>
      </w:r>
      <w:r>
        <w:t xml:space="preserve"> </w:t>
      </w:r>
      <w:r>
        <w:t xml:space="preserve">기업회계기준서 제1115호 문단 95. 회계위키, https://accountingwiki.co.kr/standards/1115#p95</w:t>
      </w:r>
    </w:p>
  </w:footnote>
  <w:footnote w:id="77">
    <w:p>
      <w:pPr>
        <w:pStyle w:val="FootnoteText"/>
      </w:pPr>
      <w:r>
        <w:rPr>
          <w:rStyle w:val="FootnoteReference"/>
        </w:rPr>
        <w:footnoteRef/>
      </w:r>
      <w:r>
        <w:t xml:space="preserve"> </w:t>
      </w:r>
      <w:r>
        <w:t xml:space="preserve">기업회계기준서 제1115호 문단 98(이미 이행한 수행의무 관련 원가 등은 발생 시 비용). 회계위키, https://accountingwiki.co.kr/standards/1115#p98</w:t>
      </w:r>
    </w:p>
  </w:footnote>
  <w:footnote w:id="78">
    <w:p>
      <w:pPr>
        <w:pStyle w:val="FootnoteText"/>
      </w:pPr>
      <w:r>
        <w:rPr>
          <w:rStyle w:val="FootnoteReference"/>
        </w:rPr>
        <w:footnoteRef/>
      </w:r>
      <w:r>
        <w:t xml:space="preserve"> </w:t>
      </w:r>
      <w:r>
        <w:t xml:space="preserve">기업회계기준서 제1115호 문단 99(계약원가 자산은 관련 재화·용역의 이전 방식과 일치하게 상각). 회계위키, https://accountingwiki.co.kr/standards/1115#p99</w:t>
      </w:r>
    </w:p>
  </w:footnote>
  <w:footnote w:id="79">
    <w:p>
      <w:pPr>
        <w:pStyle w:val="FootnoteText"/>
      </w:pPr>
      <w:r>
        <w:rPr>
          <w:rStyle w:val="FootnoteReference"/>
        </w:rPr>
        <w:footnoteRef/>
      </w:r>
      <w:r>
        <w:t xml:space="preserve"> </w:t>
      </w:r>
      <w:r>
        <w:t xml:space="preserve">기업회계기준서 제1002호 문단 8(고객 계약 이행원가 중 재고자산을 생기게 하지 않는 원가는 제1115호로 처리). 회계위키, https://accountingwiki.co.kr/standards/1002#p8</w:t>
      </w:r>
    </w:p>
  </w:footnote>
  <w:footnote w:id="80">
    <w:p>
      <w:pPr>
        <w:pStyle w:val="FootnoteText"/>
      </w:pPr>
      <w:r>
        <w:rPr>
          <w:rStyle w:val="FootnoteReference"/>
        </w:rPr>
        <w:footnoteRef/>
      </w:r>
      <w:r>
        <w:t xml:space="preserve"> </w:t>
      </w:r>
      <w:r>
        <w:t xml:space="preserve">기업회계기준서 제1115호 문단 105(수행 정도와 고객 지급의 관계에 따라 계약자산·계약부채로 표시). 회계위키, https://accountingwiki.co.kr/standards/1115#p105</w:t>
      </w:r>
    </w:p>
  </w:footnote>
  <w:footnote w:id="81">
    <w:p>
      <w:pPr>
        <w:pStyle w:val="FootnoteText"/>
      </w:pPr>
      <w:r>
        <w:rPr>
          <w:rStyle w:val="FootnoteReference"/>
        </w:rPr>
        <w:footnoteRef/>
      </w:r>
      <w:r>
        <w:t xml:space="preserve"> </w:t>
      </w:r>
      <w:r>
        <w:t xml:space="preserve">기업회계기준서 제1115호 문단 107(대가 지급 전에 이전을 수행하면 계약자산으로 표시). 회계위키, https://accountingwiki.co.kr/standards/1115#p107</w:t>
      </w:r>
    </w:p>
  </w:footnote>
  <w:footnote w:id="82">
    <w:p>
      <w:pPr>
        <w:pStyle w:val="FootnoteText"/>
      </w:pPr>
      <w:r>
        <w:rPr>
          <w:rStyle w:val="FootnoteReference"/>
        </w:rPr>
        <w:footnoteRef/>
      </w:r>
      <w:r>
        <w:t xml:space="preserve"> </w:t>
      </w:r>
      <w:r>
        <w:t xml:space="preserve">기업회계기준서 제1115호 문단 119(수행의무 이행 시기·유의적 지급조건·용역 특성 공시). 회계위키, https://accountingwiki.co.kr/standards/1115#p119</w:t>
      </w:r>
    </w:p>
  </w:footnote>
  <w:footnote w:id="83">
    <w:p>
      <w:pPr>
        <w:pStyle w:val="FootnoteText"/>
      </w:pPr>
      <w:r>
        <w:rPr>
          <w:rStyle w:val="FootnoteReference"/>
        </w:rPr>
        <w:footnoteRef/>
      </w:r>
      <w:r>
        <w:t xml:space="preserve"> </w:t>
      </w:r>
      <w:r>
        <w:t xml:space="preserve">기업회계기준서 제1115호 문단 120(나머지 수행의무에 배분된 거래가격과 인식 예상 시기 공시). 회계위키, https://accountingwiki.co.kr/standards/1115#p120</w:t>
      </w:r>
    </w:p>
  </w:footnote>
  <w:footnote w:id="85">
    <w:p>
      <w:pPr>
        <w:pStyle w:val="FootnoteText"/>
      </w:pPr>
      <w:r>
        <w:rPr>
          <w:rStyle w:val="FootnoteReference"/>
        </w:rPr>
        <w:footnoteRef/>
      </w:r>
      <w:r>
        <w:t xml:space="preserve"> </w:t>
      </w:r>
      <w:r>
        <w:t xml:space="preserve">법인세법 시행령 제69조(용역제공 등에 의한 손익의 귀속사업연도), 2026-10-01 시행본. 국가법령정보센터, https://www.law.go.kr/법령/법인세법시행령/제69조</w:t>
      </w:r>
    </w:p>
  </w:footnote>
  <w:footnote w:id="88">
    <w:p>
      <w:pPr>
        <w:pStyle w:val="FootnoteText"/>
      </w:pPr>
      <w:r>
        <w:rPr>
          <w:rStyle w:val="FootnoteReference"/>
        </w:rPr>
        <w:footnoteRef/>
      </w:r>
      <w:r>
        <w:t xml:space="preserve"> </w:t>
      </w:r>
      <w:r>
        <w:t xml:space="preserve">기업회계기준서 제1115호 문단 27. 회계위키, https://accountingwiki.co.kr/standards/1115#p27</w:t>
      </w:r>
    </w:p>
  </w:footnote>
  <w:footnote w:id="89">
    <w:p>
      <w:pPr>
        <w:pStyle w:val="FootnoteText"/>
      </w:pPr>
      <w:r>
        <w:rPr>
          <w:rStyle w:val="FootnoteReference"/>
        </w:rPr>
        <w:footnoteRef/>
      </w:r>
      <w:r>
        <w:t xml:space="preserve"> </w:t>
      </w:r>
      <w:r>
        <w:t xml:space="preserve">기업회계기준서 제1115호 문단 29. 회계위키, https://accountingwiki.co.kr/standards/1115#p29</w:t>
      </w:r>
    </w:p>
  </w:footnote>
  <w:footnote w:id="90">
    <w:p>
      <w:pPr>
        <w:pStyle w:val="FootnoteText"/>
      </w:pPr>
      <w:r>
        <w:rPr>
          <w:rStyle w:val="FootnoteReference"/>
        </w:rPr>
        <w:footnoteRef/>
      </w:r>
      <w:r>
        <w:t xml:space="preserve"> </w:t>
      </w:r>
      <w:r>
        <w:t xml:space="preserve">기업회계기준서 제1115호 문단 35. 회계위키, https://accountingwiki.co.kr/standards/1115#p35</w:t>
      </w:r>
    </w:p>
  </w:footnote>
  <w:footnote w:id="91">
    <w:p>
      <w:pPr>
        <w:pStyle w:val="FootnoteText"/>
      </w:pPr>
      <w:r>
        <w:rPr>
          <w:rStyle w:val="FootnoteReference"/>
        </w:rPr>
        <w:footnoteRef/>
      </w:r>
      <w:r>
        <w:t xml:space="preserve"> </w:t>
      </w:r>
      <w:r>
        <w:t xml:space="preserve">기업회계기준서 제1115호 문단 37. 회계위키, https://accountingwiki.co.kr/standards/1115#p37</w:t>
      </w:r>
    </w:p>
  </w:footnote>
  <w:footnote w:id="92">
    <w:p>
      <w:pPr>
        <w:pStyle w:val="FootnoteText"/>
      </w:pPr>
      <w:r>
        <w:rPr>
          <w:rStyle w:val="FootnoteReference"/>
        </w:rPr>
        <w:footnoteRef/>
      </w:r>
      <w:r>
        <w:t xml:space="preserve"> </w:t>
      </w:r>
      <w:r>
        <w:t xml:space="preserve">기업회계기준서 제1115호 문단 38. 회계위키, https://accountingwiki.co.kr/standards/1115#p38</w:t>
      </w:r>
    </w:p>
  </w:footnote>
  <w:footnote w:id="93">
    <w:p>
      <w:pPr>
        <w:pStyle w:val="FootnoteText"/>
      </w:pPr>
      <w:r>
        <w:rPr>
          <w:rStyle w:val="FootnoteReference"/>
        </w:rPr>
        <w:footnoteRef/>
      </w:r>
      <w:r>
        <w:t xml:space="preserve"> </w:t>
      </w:r>
      <w:r>
        <w:t xml:space="preserve">기업회계기준서 제1115호 문단 41. 회계위키, https://accountingwiki.co.kr/standards/1115#p41</w:t>
      </w:r>
    </w:p>
  </w:footnote>
  <w:footnote w:id="94">
    <w:p>
      <w:pPr>
        <w:pStyle w:val="FootnoteText"/>
      </w:pPr>
      <w:r>
        <w:rPr>
          <w:rStyle w:val="FootnoteReference"/>
        </w:rPr>
        <w:footnoteRef/>
      </w:r>
      <w:r>
        <w:t xml:space="preserve"> </w:t>
      </w:r>
      <w:r>
        <w:t xml:space="preserve">기업회계기준서 제1115호 문단 44. 회계위키, https://accountingwiki.co.kr/standards/1115#p44</w:t>
      </w:r>
    </w:p>
  </w:footnote>
  <w:footnote w:id="95">
    <w:p>
      <w:pPr>
        <w:pStyle w:val="FootnoteText"/>
      </w:pPr>
      <w:r>
        <w:rPr>
          <w:rStyle w:val="FootnoteReference"/>
        </w:rPr>
        <w:footnoteRef/>
      </w:r>
      <w:r>
        <w:t xml:space="preserve"> </w:t>
      </w:r>
      <w:r>
        <w:t xml:space="preserve">기업회계기준서 제1115호 문단 45. 회계위키, https://accountingwiki.co.kr/standards/1115#p45</w:t>
      </w:r>
    </w:p>
  </w:footnote>
  <w:footnote w:id="96">
    <w:p>
      <w:pPr>
        <w:pStyle w:val="FootnoteText"/>
      </w:pPr>
      <w:r>
        <w:rPr>
          <w:rStyle w:val="FootnoteReference"/>
        </w:rPr>
        <w:footnoteRef/>
      </w:r>
      <w:r>
        <w:t xml:space="preserve"> </w:t>
      </w:r>
      <w:r>
        <w:t xml:space="preserve">기업회계기준서 제1115호 문단 76. 회계위키, https://accountingwiki.co.kr/standards/1115#p76</w:t>
      </w:r>
    </w:p>
  </w:footnote>
  <w:footnote w:id="97">
    <w:p>
      <w:pPr>
        <w:pStyle w:val="FootnoteText"/>
      </w:pPr>
      <w:r>
        <w:rPr>
          <w:rStyle w:val="FootnoteReference"/>
        </w:rPr>
        <w:footnoteRef/>
      </w:r>
      <w:r>
        <w:t xml:space="preserve"> </w:t>
      </w:r>
      <w:r>
        <w:t xml:space="preserve">기업회계기준서 제1115호 문단 95. 회계위키, https://accountingwiki.co.kr/standards/1115#p95</w:t>
      </w:r>
    </w:p>
  </w:footnote>
  <w:footnote w:id="98">
    <w:p>
      <w:pPr>
        <w:pStyle w:val="FootnoteText"/>
      </w:pPr>
      <w:r>
        <w:rPr>
          <w:rStyle w:val="FootnoteReference"/>
        </w:rPr>
        <w:footnoteRef/>
      </w:r>
      <w:r>
        <w:t xml:space="preserve"> </w:t>
      </w:r>
      <w:r>
        <w:t xml:space="preserve">기업회계기준서 제1115호 문단 106. 회계위키, https://accountingwiki.co.kr/standards/1115#p106</w:t>
      </w:r>
    </w:p>
  </w:footnote>
  <w:footnote w:id="99">
    <w:p>
      <w:pPr>
        <w:pStyle w:val="FootnoteText"/>
      </w:pPr>
      <w:r>
        <w:rPr>
          <w:rStyle w:val="FootnoteReference"/>
        </w:rPr>
        <w:footnoteRef/>
      </w:r>
      <w:r>
        <w:t xml:space="preserve"> </w:t>
      </w:r>
      <w:r>
        <w:t xml:space="preserve">기업회계기준서 제1115호 문단 B3. 회계위키, https://accountingwiki.co.kr/standards/1115/b#pB3</w:t>
      </w:r>
    </w:p>
  </w:footnote>
  <w:footnote w:id="100">
    <w:p>
      <w:pPr>
        <w:pStyle w:val="FootnoteText"/>
      </w:pPr>
      <w:r>
        <w:rPr>
          <w:rStyle w:val="FootnoteReference"/>
        </w:rPr>
        <w:footnoteRef/>
      </w:r>
      <w:r>
        <w:t xml:space="preserve"> </w:t>
      </w:r>
      <w:r>
        <w:t xml:space="preserve">기업회계기준서 제1115호 문단 B4. 회계위키, https://accountingwiki.co.kr/standards/1115/b#pB4</w:t>
      </w:r>
    </w:p>
  </w:footnote>
  <w:footnote w:id="101">
    <w:p>
      <w:pPr>
        <w:pStyle w:val="FootnoteText"/>
      </w:pPr>
      <w:r>
        <w:rPr>
          <w:rStyle w:val="FootnoteReference"/>
        </w:rPr>
        <w:footnoteRef/>
      </w:r>
      <w:r>
        <w:t xml:space="preserve"> </w:t>
      </w:r>
      <w:r>
        <w:t xml:space="preserve">기업회계기준서 제1115호 문단 B9. 회계위키, https://accountingwiki.co.kr/standards/1115/b#pB9</w:t>
      </w:r>
    </w:p>
  </w:footnote>
  <w:footnote w:id="102">
    <w:p>
      <w:pPr>
        <w:pStyle w:val="FootnoteText"/>
      </w:pPr>
      <w:r>
        <w:rPr>
          <w:rStyle w:val="FootnoteReference"/>
        </w:rPr>
        <w:footnoteRef/>
      </w:r>
      <w:r>
        <w:t xml:space="preserve"> </w:t>
      </w:r>
      <w:r>
        <w:t xml:space="preserve">기업회계기준서 제1115호 문단 B12. 회계위키, https://accountingwiki.co.kr/standards/1115/b#pB12</w:t>
      </w:r>
    </w:p>
  </w:footnote>
  <w:footnote w:id="103">
    <w:p>
      <w:pPr>
        <w:pStyle w:val="FootnoteText"/>
      </w:pPr>
      <w:r>
        <w:rPr>
          <w:rStyle w:val="FootnoteReference"/>
        </w:rPr>
        <w:footnoteRef/>
      </w:r>
      <w:r>
        <w:t xml:space="preserve"> </w:t>
      </w:r>
      <w:r>
        <w:t xml:space="preserve">기업회계기준서 제1115호 문단 B13. 회계위키, https://accountingwiki.co.kr/standards/1115/b#pB13</w:t>
      </w:r>
    </w:p>
  </w:footnote>
  <w:footnote w:id="104">
    <w:p>
      <w:pPr>
        <w:pStyle w:val="FootnoteText"/>
      </w:pPr>
      <w:r>
        <w:rPr>
          <w:rStyle w:val="FootnoteReference"/>
        </w:rPr>
        <w:footnoteRef/>
      </w:r>
      <w:r>
        <w:t xml:space="preserve"> </w:t>
      </w:r>
      <w:r>
        <w:t xml:space="preserve">기업회계기준서 제1115호 문단 B15. 회계위키, https://accountingwiki.co.kr/standards/1115/b#pB15</w:t>
      </w:r>
    </w:p>
  </w:footnote>
  <w:footnote w:id="105">
    <w:p>
      <w:pPr>
        <w:pStyle w:val="FootnoteText"/>
      </w:pPr>
      <w:r>
        <w:rPr>
          <w:rStyle w:val="FootnoteReference"/>
        </w:rPr>
        <w:footnoteRef/>
      </w:r>
      <w:r>
        <w:t xml:space="preserve"> </w:t>
      </w:r>
      <w:r>
        <w:t xml:space="preserve">기업회계기준서 제1115호 문단 B16. 회계위키, https://accountingwiki.co.kr/standards/1115/b#pB16</w:t>
      </w:r>
    </w:p>
  </w:footnote>
  <w:footnote w:id="106">
    <w:p>
      <w:pPr>
        <w:pStyle w:val="FootnoteText"/>
      </w:pPr>
      <w:r>
        <w:rPr>
          <w:rStyle w:val="FootnoteReference"/>
        </w:rPr>
        <w:footnoteRef/>
      </w:r>
      <w:r>
        <w:t xml:space="preserve"> </w:t>
      </w:r>
      <w:r>
        <w:t xml:space="preserve">기업회계기준서 제1115호 문단 B18. 회계위키, https://accountingwiki.co.kr/standards/1115/b#pB18</w:t>
      </w:r>
    </w:p>
  </w:footnote>
  <w:footnote w:id="107">
    <w:p>
      <w:pPr>
        <w:pStyle w:val="FootnoteText"/>
      </w:pPr>
      <w:r>
        <w:rPr>
          <w:rStyle w:val="FootnoteReference"/>
        </w:rPr>
        <w:footnoteRef/>
      </w:r>
      <w:r>
        <w:t xml:space="preserve"> </w:t>
      </w:r>
      <w:r>
        <w:t xml:space="preserve">기업회계기준서 제1115호 결론도출근거 문단 BC167. 회계위키, https://accountingwiki.co.kr/standards/1115/bc#pBC167</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sz w:val="17"/>
      </w:rPr>
      <w:t>대외비 | 회계위키·법령 근거 검토</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1"/>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1"/>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1"/>
    </w:rPr>
  </w:style>
  <w:style w:styleId="BodyText" w:type="paragraph">
    <w:name w:val="Body Text"/>
    <w:basedOn w:val="Normal"/>
    <w:link w:val="BodyTextChar"/>
    <w:qFormat/>
    <w:pPr>
      <w:spacing w:after="180" w:before="180"/>
    </w:pPr>
    <w:rPr>
      <w:rFonts w:ascii="맑은 고딕" w:cs="맑은 고딕" w:eastAsia="맑은 고딕" w:hAnsi="맑은 고딕"/>
      <w:sz w:val="21"/>
    </w:rPr>
  </w:style>
  <w:style w:customStyle="1" w:styleId="FirstParagraph" w:type="paragraph">
    <w:name w:val="First Paragraph"/>
    <w:basedOn w:val="BodyText"/>
    <w:next w:val="BodyText"/>
    <w:qFormat/>
    <w:rPr>
      <w:rFonts w:ascii="맑은 고딕" w:cs="맑은 고딕" w:eastAsia="맑은 고딕" w:hAnsi="맑은 고딕"/>
      <w:sz w:val="21"/>
    </w:rPr>
  </w:style>
  <w:style w:customStyle="1" w:styleId="Compact" w:type="paragraph">
    <w:name w:val="Compact"/>
    <w:basedOn w:val="BodyText"/>
    <w:qFormat/>
    <w:pPr>
      <w:spacing w:after="36" w:before="36"/>
    </w:pPr>
    <w:rPr>
      <w:rFonts w:ascii="맑은 고딕" w:cs="맑은 고딕" w:eastAsia="맑은 고딕" w:hAnsi="맑은 고딕"/>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맑은 고딕" w:cs="맑은 고딕" w:eastAsia="맑은 고딕" w:hAnsi="맑은 고딕"/>
      <w:b/>
      <w:color w:val="1F3864"/>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맑은 고딕" w:cs="맑은 고딕" w:eastAsia="맑은 고딕" w:hAnsi="맑은 고딕"/>
      <w:b w:val="0"/>
      <w:color w:val="1F3864"/>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rFonts w:ascii="맑은 고딕" w:cs="맑은 고딕" w:eastAsia="맑은 고딕" w:hAnsi="맑은 고딕"/>
      <w:b w:val="0"/>
      <w:color w:val="1F3864"/>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맑은 고딕" w:cs="맑은 고딕" w:eastAsia="맑은 고딕" w:hAnsi="맑은 고딕"/>
      <w:b/>
      <w:color w:val="1F3864"/>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맑은 고딕" w:cs="맑은 고딕" w:eastAsia="맑은 고딕" w:hAnsi="맑은 고딕"/>
      <w:b/>
      <w:color w:val="1F3864"/>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맑은 고딕" w:cs="맑은 고딕" w:eastAsia="맑은 고딕" w:hAnsi="맑은 고딕"/>
      <w:b/>
      <w:color w:val="1F3864"/>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2F2" w:val="clear"/>
      <w:spacing w:after="100" w:before="100"/>
      <w:ind w:firstLine="0" w:left="280" w:right="12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sz w:val="1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TOC1">
    <w:name w:val="TOC 1"/>
    <w:basedOn w:val="BodyText"/>
    <w:qFormat/>
  </w:style>
  <w:style w:type="paragraph" w:customStyle="1" w:styleId="TOC2">
    <w:name w:val="TOC 2"/>
    <w:basedOn w:val="BodyText"/>
    <w:qFormat/>
    <w:pPr>
      <w:ind w:left="2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검토 의견서: 단계별 산출물 용역계약의 수익인식 시기와 진행률 측정방법</dc:title>
  <dc:creator/>
  <dc:language>ko-KR</dc:language>
  <cp:keywords/>
  <dcterms:created xsi:type="dcterms:W3CDTF">2026-10-02T02:58:22Z</dcterms:created>
  <dcterms:modified xsi:type="dcterms:W3CDTF">2026-10-02T02:58:22Z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2026-10-02</vt:lpwstr>
  </property>
  <property fmtid="{D5CDD505-2E9C-101B-9397-08002B2CF9AE}" pid="3" name="subtitle">
    <vt:lpwstr>회계위키 근거 검토</vt:lpwstr>
  </property>
</Properties>
</file>