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감사 조서 메모: 단계별 산출물 용역계약의 수익인식 시기와 진행률 측정방법</w:t>
      </w:r>
    </w:p>
    <w:p>
      <w:pPr>
        <w:pStyle w:val="Subtitle"/>
      </w:pPr>
      <w:r>
        <w:t xml:space="preserve">감사팀 내부용</w:t>
      </w:r>
    </w:p>
    <w:p>
      <w:pPr>
        <w:pStyle w:val="Date"/>
      </w:pPr>
      <w:r>
        <w:t xml:space="preserve">2026-10-02</w:t>
      </w:r>
    </w:p>
    <w:p>
      <w:pPr>
        <w:pStyle w:val="TOCHeading"/>
      </w:pPr>
      <w:r>
        <w:t xml:space="preserve">목차</w:t>
      </w:r>
    </w:p>
    <w:p>
      <w:pPr>
        <w:pStyle w:val="TOC1"/>
      </w:pPr>
      <w:r>
        <w:t xml:space="preserve">1. 쟁점과 결론 요약</w:t>
      </w:r>
    </w:p>
    <w:p>
      <w:pPr>
        <w:pStyle w:val="TOC1"/>
      </w:pPr>
      <w:r>
        <w:t xml:space="preserve">2. 위험평가</w:t>
      </w:r>
    </w:p>
    <w:p>
      <w:pPr>
        <w:pStyle w:val="TOC1"/>
      </w:pPr>
      <w:r>
        <w:t xml:space="preserve">3. 통제테스트</w:t>
      </w:r>
    </w:p>
    <w:p>
      <w:pPr>
        <w:pStyle w:val="TOC1"/>
      </w:pPr>
      <w:r>
        <w:t xml:space="preserve">4. 실증절차</w:t>
      </w:r>
    </w:p>
    <w:p>
      <w:pPr>
        <w:pStyle w:val="TOC1"/>
      </w:pPr>
      <w:r>
        <w:t xml:space="preserve">5. 회계추정 감사</w:t>
      </w:r>
    </w:p>
    <w:p>
      <w:pPr>
        <w:pStyle w:val="TOC1"/>
      </w:pPr>
      <w:r>
        <w:t xml:space="preserve">6. 공시 검토와 경영진 확인서 반영 사항</w:t>
      </w:r>
    </w:p>
    <w:p>
      <w:pPr>
        <w:pStyle w:val="TOC1"/>
      </w:pPr>
      <w:r>
        <w:t xml:space="preserve">7. 감사의견·핵심감사사항 영향</w:t>
      </w:r>
    </w:p>
    <w:p>
      <w:pPr>
        <w:pStyle w:val="TOC1"/>
      </w:pPr>
      <w:r>
        <w:t xml:space="preserve">8. 감리 리스크와 대응 포인트</w:t>
      </w:r>
    </w:p>
    <w:p>
      <w:pPr>
        <w:pStyle w:val="TOC1"/>
      </w:pPr>
      <w:r>
        <w:t xml:space="preserve">9. 근거 회계감사기준</w:t>
      </w:r>
    </w:p>
    <w:p>
      <w:pPr>
        <w:pStyle w:val="TOC1"/>
      </w:pPr>
      <w:r>
        <w:t xml:space="preserve">10. 인용 검증 결과</w:t>
      </w:r>
    </w:p>
    <w:bookmarkStart w:id="19" w:name="쟁점과-결론-요약"/>
    <w:p>
      <w:pPr>
        <w:pStyle w:val="Heading1"/>
        <w:pageBreakBefore/>
      </w:pPr>
      <w:r>
        <w:t xml:space="preserve">1. 쟁점과 결론 요약</w:t>
      </w:r>
    </w:p>
    <w:p>
      <w:pPr>
        <w:pStyle w:val="Compact"/>
        <w:numPr>
          <w:ilvl w:val="0"/>
          <w:numId w:val="1001"/>
        </w:numPr>
      </w:pPr>
      <w:r>
        <w:t xml:space="preserve">산출물 1~3단계는 단일 수행의무이고, 실시간 자문은 별도 수행의무입니다. 계약서에 지급청구권 조항이 없으므로 기본 결론은 산출물을 최종 검수 시점에 인식하는 것입니다. 법률상 지급청구권이 확인되면 투입시간 기준 진행률로 인식하고, 총예정을 추정할 수 있을 때까지는 원가 범위로 인식합니다.</w:t>
      </w:r>
    </w:p>
    <w:p>
      <w:pPr>
        <w:pStyle w:val="Compact"/>
        <w:numPr>
          <w:ilvl w:val="0"/>
          <w:numId w:val="1001"/>
        </w:numPr>
      </w:pPr>
      <w:r>
        <w:t xml:space="preserve">회사 원안(단계 청구액 50/30/20을 수익으로 인식)은 허용되지 않습니다. 산출물에 정액법을 적용하는 것도 허용되지 않습니다.</w:t>
      </w:r>
    </w:p>
    <w:p>
      <w:pPr>
        <w:pStyle w:val="Compact"/>
        <w:numPr>
          <w:ilvl w:val="0"/>
          <w:numId w:val="1001"/>
        </w:numPr>
      </w:pPr>
      <w:r>
        <w:t xml:space="preserve">상세는 검토 의견서 5번을 참조합니다.</w:t>
      </w:r>
    </w:p>
    <w:bookmarkEnd w:id="19"/>
    <w:bookmarkStart w:id="20" w:name="위험평가"/>
    <w:p>
      <w:pPr>
        <w:pStyle w:val="Heading1"/>
      </w:pPr>
      <w:r>
        <w:t xml:space="preserve">2. 위험평가</w:t>
      </w:r>
    </w:p>
    <w:tbl>
      <w:tblPr>
        <w:tblStyle w:val="Table"/>
        <w:tblW w:type="pct" w:w="500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1790"/>
        <w:gridCol w:w="4198"/>
        <w:gridCol w:w="3648"/>
      </w:tblGrid>
      <w:tr>
        <w:trPr>
          <w:tblHeader w:val="on"/>
        </w:trPr>
        <w:tc>
          <w:tcPr>
            <w:tcW w:type="dxa" w:w="1791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경영진 주장</w:t>
            </w:r>
          </w:p>
        </w:tc>
        <w:tc>
          <w:tcPr>
            <w:tcW w:type="dxa" w:w="4199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중요왜곡표시위험</w:t>
            </w:r>
          </w:p>
        </w:tc>
        <w:tc>
          <w:tcPr>
            <w:tcW w:type="dxa" w:w="3649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유의적 위험</w:t>
            </w:r>
          </w:p>
        </w:tc>
      </w:tr>
      <w:tr>
        <w:tc>
          <w:tcPr>
            <w:tcW w:type="dxa" w:w="1791"/>
          </w:tcPr>
          <w:p>
            <w:pPr>
              <w:pStyle w:val="Compact"/>
            </w:pPr>
            <w:r>
              <w:t xml:space="preserve">기간귀속·발생</w:t>
            </w:r>
          </w:p>
        </w:tc>
        <w:tc>
          <w:tcPr>
            <w:tcW w:type="dxa" w:w="4199"/>
          </w:tcPr>
          <w:p>
            <w:pPr>
              <w:pStyle w:val="Compact"/>
            </w:pPr>
            <w:r>
              <w:t xml:space="preserve">1단계 검수 시 50%를 인식하는 등 수익이 앞당겨질 위험(회사 원안). 반대로 법률상 지급청구권이 있는데 최종 검수까지 이연될 위험</w:t>
            </w:r>
          </w:p>
        </w:tc>
        <w:tc>
          <w:tcPr>
            <w:tcW w:type="dxa" w:w="3649"/>
          </w:tcPr>
          <w:p>
            <w:pPr>
              <w:pStyle w:val="Compact"/>
            </w:pPr>
            <w:r>
              <w:t xml:space="preserve">해당(계약 금액이 중요한 경우). 수익인식 부정위험 추정(감사기준서 240 문단 27)에 더해, 인식 시기 판단이 법률 해석에 좌우되어 판단 개입도가 높음</w:t>
            </w:r>
          </w:p>
        </w:tc>
      </w:tr>
      <w:tr>
        <w:tc>
          <w:tcPr>
            <w:tcW w:type="dxa" w:w="1791"/>
          </w:tcPr>
          <w:p>
            <w:pPr>
              <w:pStyle w:val="Compact"/>
            </w:pPr>
            <w:r>
              <w:t xml:space="preserve">정확성·평가</w:t>
            </w:r>
          </w:p>
        </w:tc>
        <w:tc>
          <w:tcPr>
            <w:tcW w:type="dxa" w:w="4199"/>
          </w:tcPr>
          <w:p>
            <w:pPr>
              <w:pStyle w:val="Compact"/>
            </w:pPr>
            <w:r>
              <w:t xml:space="preserve">자문의 개별 판매가격 추정, 총예정 투입시간 추정(기간에 걸치는 경우), 계약이행원가의 회수 가능성</w:t>
            </w:r>
          </w:p>
        </w:tc>
        <w:tc>
          <w:tcPr>
            <w:tcW w:type="dxa" w:w="3649"/>
          </w:tcPr>
          <w:p>
            <w:pPr>
              <w:pStyle w:val="Compact"/>
            </w:pPr>
            <w:r>
              <w:t xml:space="preserve">회계추정치에 해당. 추정불확실성은 중간 수준(계약 1건, 수치 미확보)</w:t>
            </w:r>
          </w:p>
        </w:tc>
      </w:tr>
      <w:tr>
        <w:tc>
          <w:tcPr>
            <w:tcW w:type="dxa" w:w="1791"/>
          </w:tcPr>
          <w:p>
            <w:pPr>
              <w:pStyle w:val="Compact"/>
            </w:pPr>
            <w:r>
              <w:t xml:space="preserve">분류·표시</w:t>
            </w:r>
          </w:p>
        </w:tc>
        <w:tc>
          <w:tcPr>
            <w:tcW w:type="dxa" w:w="4199"/>
          </w:tcPr>
          <w:p>
            <w:pPr>
              <w:pStyle w:val="Compact"/>
            </w:pPr>
            <w:r>
              <w:t xml:space="preserve">계약부채·계약자산·매출채권 구분, 계약이행원가 자산과 비용 구분</w:t>
            </w:r>
          </w:p>
        </w:tc>
        <w:tc>
          <w:tcPr>
            <w:tcW w:type="dxa" w:w="3649"/>
          </w:tcPr>
          <w:p>
            <w:pPr>
              <w:pStyle w:val="Compact"/>
            </w:pPr>
            <w:r>
              <w:t xml:space="preserve">아님</w:t>
            </w:r>
          </w:p>
        </w:tc>
      </w:tr>
      <w:tr>
        <w:tc>
          <w:tcPr>
            <w:tcW w:type="dxa" w:w="1791"/>
          </w:tcPr>
          <w:p>
            <w:pPr>
              <w:pStyle w:val="Compact"/>
            </w:pPr>
            <w:r>
              <w:t xml:space="preserve">표시·공시</w:t>
            </w:r>
          </w:p>
        </w:tc>
        <w:tc>
          <w:tcPr>
            <w:tcW w:type="dxa" w:w="4199"/>
          </w:tcPr>
          <w:p>
            <w:pPr>
              <w:pStyle w:val="Compact"/>
            </w:pPr>
            <w:r>
              <w:t xml:space="preserve">수행의무 이행 시기, 나머지 수행의무, 진행률 측정방법 공시 누락</w:t>
            </w:r>
          </w:p>
        </w:tc>
        <w:tc>
          <w:tcPr>
            <w:tcW w:type="dxa" w:w="3649"/>
          </w:tcPr>
          <w:p>
            <w:pPr>
              <w:pStyle w:val="Compact"/>
            </w:pPr>
            <w:r>
              <w:t xml:space="preserve">아님</w:t>
            </w:r>
          </w:p>
        </w:tc>
      </w:tr>
    </w:tbl>
    <w:bookmarkEnd w:id="20"/>
    <w:bookmarkStart w:id="21" w:name="통제테스트"/>
    <w:p>
      <w:pPr>
        <w:pStyle w:val="Heading1"/>
      </w:pPr>
      <w:r>
        <w:t xml:space="preserve">3. 통제테스트</w:t>
      </w:r>
    </w:p>
    <w:p>
      <w:pPr>
        <w:pStyle w:val="Compact"/>
        <w:numPr>
          <w:ilvl w:val="0"/>
          <w:numId w:val="1002"/>
        </w:numPr>
      </w:pPr>
      <w:r>
        <w:t xml:space="preserve">신규 계약 수익인식 검토 통제: 계약 체결 시 수행의무 식별, 기간·시점 판단, 진행률 방법을 문서화하고 승인하는지 확인합니다. 설계 평가는 질문과 검토 문서 열람으로, 운영 테스트는 본건 계약의 검토 문서와 승인 흔적을 검사하는 방식으로 합니다.</w:t>
      </w:r>
    </w:p>
    <w:p>
      <w:pPr>
        <w:pStyle w:val="Compact"/>
        <w:numPr>
          <w:ilvl w:val="0"/>
          <w:numId w:val="1002"/>
        </w:numPr>
      </w:pPr>
      <w:r>
        <w:t xml:space="preserve">프로젝트 투입시간 기록 통제(기간에 걸쳐 인식하는 경우): 근무시간 입력과 프로젝트 관리자 승인 절차를 확인합니다. 표본 월의 시간 기록을 급여·인력 배치 자료와 대사합니다.</w:t>
      </w:r>
    </w:p>
    <w:p>
      <w:pPr>
        <w:pStyle w:val="Compact"/>
        <w:numPr>
          <w:ilvl w:val="0"/>
          <w:numId w:val="1002"/>
        </w:numPr>
      </w:pPr>
      <w:r>
        <w:t xml:space="preserve">결산 시 청구액과 수익 인식액 차이(계약부채·계약자산) 검토 통제가 있는지 확인합니다.</w:t>
      </w:r>
    </w:p>
    <w:p>
      <w:pPr>
        <w:pStyle w:val="Compact"/>
        <w:numPr>
          <w:ilvl w:val="0"/>
          <w:numId w:val="1002"/>
        </w:numPr>
      </w:pPr>
      <w:r>
        <w:t xml:space="preserve">통제에 의존하지 않을 경우 실증절차로만 대응합니다. 이때 유의적 위험에는 세부테스트를 포함합니다(감사기준서 330 문단 21).</w:t>
      </w:r>
    </w:p>
    <w:bookmarkEnd w:id="21"/>
    <w:bookmarkStart w:id="22" w:name="실증절차"/>
    <w:p>
      <w:pPr>
        <w:pStyle w:val="Heading1"/>
      </w:pPr>
      <w:r>
        <w:t xml:space="preserve">4. 실증절차</w:t>
      </w:r>
    </w:p>
    <w:tbl>
      <w:tblPr>
        <w:tblStyle w:val="Table"/>
        <w:tblW w:type="pct" w:w="500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2776"/>
        <w:gridCol w:w="2509"/>
        <w:gridCol w:w="2083"/>
        <w:gridCol w:w="2268"/>
      </w:tblGrid>
      <w:tr>
        <w:trPr>
          <w:tblHeader w:val="on"/>
        </w:trPr>
        <w:tc>
          <w:tcPr>
            <w:tcW w:type="dxa" w:w="2777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절차</w:t>
            </w:r>
          </w:p>
        </w:tc>
        <w:tc>
          <w:tcPr>
            <w:tcW w:type="dxa" w:w="2509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목적 경영진 주장</w:t>
            </w:r>
          </w:p>
        </w:tc>
        <w:tc>
          <w:tcPr>
            <w:tcW w:type="dxa" w:w="2083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확보 증거</w:t>
            </w:r>
          </w:p>
        </w:tc>
        <w:tc>
          <w:tcPr>
            <w:tcW w:type="dxa" w:w="2268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표본 기준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계약서 전문 검토(과업 범위, 단계 정의, 검수·인수, 해지·해제, 지식재산권, 자문 조항)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기간귀속, 발생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계약서 사본과 검토 조서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본건 계약 전수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법률 의견 입수·평가. 경영진측 법률전문가 의견이 있으면 적격성·객관성 평가, 없으면 감사인측 전문가 활용 여부 결정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기간귀속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법률 의견서, 전문가 평가 조서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본건 계약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단계 검수확인서·인수증 검사와 청구·입금 대사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발생, 기간귀속, 분류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검수확인서, 세금계산서, 입금 증빙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기중 검수 전 단계 전수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결산일 전후 기간귀속 테스트(최종 검수일과 수익 인식일 일치 여부)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기간귀속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검수확인서 일자, 전표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결산일 전후 단계 검수 건 전수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고객 외부조회(계약금액, 단계별 검수 현황, 부속합의·해지 합의 유무)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발생, 완전성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조회서 회신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본건 고객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거래가격 배분 재계산(자문 개별 판매가격 산정 근거: 예상시간 × 단가 × 이윤)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정확성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회사 배분표, 재계산 조서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전수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자문 수익 재계산(경과기간/총예상기간)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정확성, 기간귀속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재계산 조서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전수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계약이행원가 자산화 요건(문단 95) 검토와 회수 가능성 검토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평가, 분류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원가 집계표, 회수 가능성 분석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기말 잔액 전수</w:t>
            </w:r>
          </w:p>
        </w:tc>
      </w:tr>
      <w:tr>
        <w:tc>
          <w:tcPr>
            <w:tcW w:type="dxa" w:w="2777"/>
          </w:tcPr>
          <w:p>
            <w:pPr>
              <w:pStyle w:val="Compact"/>
            </w:pPr>
            <w:r>
              <w:t xml:space="preserve">투입시간 기록 검사(기간에 걸치는 경우)</w:t>
            </w:r>
          </w:p>
        </w:tc>
        <w:tc>
          <w:tcPr>
            <w:tcW w:type="dxa" w:w="2509"/>
          </w:tcPr>
          <w:p>
            <w:pPr>
              <w:pStyle w:val="Compact"/>
            </w:pPr>
            <w:r>
              <w:t xml:space="preserve">정확성, 발생</w:t>
            </w:r>
          </w:p>
        </w:tc>
        <w:tc>
          <w:tcPr>
            <w:tcW w:type="dxa" w:w="2083"/>
          </w:tcPr>
          <w:p>
            <w:pPr>
              <w:pStyle w:val="Compact"/>
            </w:pPr>
            <w:r>
              <w:t xml:space="preserve">근무시간 기록, 급여대장</w:t>
            </w:r>
          </w:p>
        </w:tc>
        <w:tc>
          <w:tcPr>
            <w:tcW w:type="dxa" w:w="2268"/>
          </w:tcPr>
          <w:p>
            <w:pPr>
              <w:pStyle w:val="Compact"/>
            </w:pPr>
            <w:r>
              <w:t xml:space="preserve">기말 직전 2개월분 표본(수행 중요성 기준)</w:t>
            </w:r>
          </w:p>
        </w:tc>
      </w:tr>
    </w:tbl>
    <w:bookmarkEnd w:id="22"/>
    <w:bookmarkStart w:id="23" w:name="회계추정-감사"/>
    <w:p>
      <w:pPr>
        <w:pStyle w:val="Heading1"/>
      </w:pPr>
      <w:r>
        <w:t xml:space="preserve">5. 회계추정 감사</w:t>
      </w:r>
    </w:p>
    <w:p>
      <w:pPr>
        <w:pStyle w:val="FirstParagraph"/>
      </w:pPr>
      <w:r>
        <w:t xml:space="preserve">해당 범위: 자문의 개별 판매가격, 자문 총예상기간, 그리고 기간에 걸치는 경우 총예정 투입시간.</w:t>
      </w:r>
    </w:p>
    <w:p>
      <w:pPr>
        <w:pStyle w:val="Compact"/>
        <w:numPr>
          <w:ilvl w:val="0"/>
          <w:numId w:val="1003"/>
        </w:numPr>
      </w:pPr>
      <w:r>
        <w:t xml:space="preserve">방법·가정·데이터 테스트: 경영진이 사용한 방법, 유의적 가정, 데이터의 선택과 적용을 테스트합니다(감사기준서 540 문단 22). 개별 판매가격은 회사의 시간당 원가와 유사 용역 이윤율로, 총예정 투입시간은 단계별 작업계획과 과거 유사 프로젝트 실적으로 검토합니다.</w:t>
      </w:r>
    </w:p>
    <w:p>
      <w:pPr>
        <w:pStyle w:val="Compact"/>
        <w:numPr>
          <w:ilvl w:val="0"/>
          <w:numId w:val="1003"/>
        </w:numPr>
      </w:pPr>
      <w:r>
        <w:t xml:space="preserve">독자적 추정치: 감사인이 단계별 예상 투입인원 × 기간으로 범위 추정치를 산정하고 경영진 추정치와 비교합니다.</w:t>
      </w:r>
    </w:p>
    <w:p>
      <w:pPr>
        <w:pStyle w:val="Compact"/>
        <w:numPr>
          <w:ilvl w:val="0"/>
          <w:numId w:val="1003"/>
        </w:numPr>
      </w:pPr>
      <w:r>
        <w:t xml:space="preserve">민감도 분석: 총예정 투입시간 ±20%가 당기 수익에 미치는 영향을 계산합니다.</w:t>
      </w:r>
    </w:p>
    <w:p>
      <w:pPr>
        <w:pStyle w:val="Compact"/>
        <w:numPr>
          <w:ilvl w:val="0"/>
          <w:numId w:val="1003"/>
        </w:numPr>
      </w:pPr>
      <w:r>
        <w:t xml:space="preserve">소급검토: 다음 연도 감사에서 전기 총예정과 실제 투입시간을 비교합니다.</w:t>
      </w:r>
    </w:p>
    <w:p>
      <w:pPr>
        <w:pStyle w:val="Compact"/>
        <w:numPr>
          <w:ilvl w:val="0"/>
          <w:numId w:val="1003"/>
        </w:numPr>
      </w:pPr>
      <w:r>
        <w:t xml:space="preserve">편향 배제: 확인적 증거만 찾지 않도록 편향되지 않게 절차를 설계합니다(감사기준서 540 문단 18). 특히 총예정을 아직 추정할 수 없다는 주장에 대해, 추정 가능 시점이 늦춰지는 편향이 있는지 확인합니다.</w:t>
      </w:r>
    </w:p>
    <w:bookmarkEnd w:id="23"/>
    <w:bookmarkStart w:id="24" w:name="공시-검토와-경영진-확인서-반영-사항"/>
    <w:p>
      <w:pPr>
        <w:pStyle w:val="Heading1"/>
      </w:pPr>
      <w:r>
        <w:t xml:space="preserve">6. 공시 검토와 경영진 확인서 반영 사항</w:t>
      </w:r>
    </w:p>
    <w:p>
      <w:pPr>
        <w:pStyle w:val="FirstParagraph"/>
      </w:pPr>
      <w:r>
        <w:rPr>
          <w:b/>
          <w:bCs/>
        </w:rPr>
        <w:t xml:space="preserve">공시 검토</w:t>
      </w:r>
    </w:p>
    <w:p>
      <w:pPr>
        <w:pStyle w:val="Compact"/>
        <w:numPr>
          <w:ilvl w:val="0"/>
          <w:numId w:val="1004"/>
        </w:numPr>
      </w:pPr>
      <w:r>
        <w:t xml:space="preserve">수행의무 이행 시기와 유의적 지급조건(문단 119)</w:t>
      </w:r>
    </w:p>
    <w:p>
      <w:pPr>
        <w:pStyle w:val="Compact"/>
        <w:numPr>
          <w:ilvl w:val="0"/>
          <w:numId w:val="1004"/>
        </w:numPr>
      </w:pPr>
      <w:r>
        <w:t xml:space="preserve">나머지 수행의무 금액과 인식 예상 시기(문단 120)</w:t>
      </w:r>
    </w:p>
    <w:p>
      <w:pPr>
        <w:pStyle w:val="Compact"/>
        <w:numPr>
          <w:ilvl w:val="0"/>
          <w:numId w:val="1004"/>
        </w:numPr>
      </w:pPr>
      <w:r>
        <w:t xml:space="preserve">진행률 측정방법과 원가 범위 인식 적용 여부(회계정책)</w:t>
      </w:r>
    </w:p>
    <w:p>
      <w:pPr>
        <w:pStyle w:val="Compact"/>
        <w:numPr>
          <w:ilvl w:val="0"/>
          <w:numId w:val="1004"/>
        </w:numPr>
      </w:pPr>
      <w:r>
        <w:t xml:space="preserve">계약부채 잔액 변동</w:t>
      </w:r>
    </w:p>
    <w:p>
      <w:pPr>
        <w:pStyle w:val="FirstParagraph"/>
      </w:pPr>
      <w:r>
        <w:rPr>
          <w:b/>
          <w:bCs/>
        </w:rPr>
        <w:t xml:space="preserve">경영진 확인서</w:t>
      </w:r>
    </w:p>
    <w:p>
      <w:pPr>
        <w:pStyle w:val="Compact"/>
        <w:numPr>
          <w:ilvl w:val="0"/>
          <w:numId w:val="1005"/>
        </w:numPr>
      </w:pPr>
      <w:r>
        <w:t xml:space="preserve">계약서 외에 해지·정산·환불에 관한 부속합의나 구두 합의가 없다는 확인</w:t>
      </w:r>
    </w:p>
    <w:p>
      <w:pPr>
        <w:pStyle w:val="Compact"/>
        <w:numPr>
          <w:ilvl w:val="0"/>
          <w:numId w:val="1005"/>
        </w:numPr>
      </w:pPr>
      <w:r>
        <w:t xml:space="preserve">단계별 검수 현황이 모두 제공되었다는 확인</w:t>
      </w:r>
    </w:p>
    <w:p>
      <w:pPr>
        <w:pStyle w:val="Compact"/>
        <w:numPr>
          <w:ilvl w:val="0"/>
          <w:numId w:val="1005"/>
        </w:numPr>
      </w:pPr>
      <w:r>
        <w:t xml:space="preserve">자문 개별 판매가격과 총예정 투입시간 추정의 근거가 합리적이라는 확인</w:t>
      </w:r>
    </w:p>
    <w:bookmarkEnd w:id="24"/>
    <w:bookmarkStart w:id="25" w:name="감사의견핵심감사사항-영향"/>
    <w:p>
      <w:pPr>
        <w:pStyle w:val="Heading1"/>
      </w:pPr>
      <w:r>
        <w:t xml:space="preserve">7. 감사의견·핵심감사사항 영향</w:t>
      </w:r>
    </w:p>
    <w:p>
      <w:pPr>
        <w:pStyle w:val="Compact"/>
        <w:numPr>
          <w:ilvl w:val="0"/>
          <w:numId w:val="1006"/>
        </w:numPr>
      </w:pPr>
      <w:r>
        <w:t xml:space="preserve">회사가 원안(청구액 기준)으로 처리하면, 1·2단계 검수분 수익 80% 상당(자문 배분분 제외)이 조기 인식된 왜곡표시가 됩니다. 수정을 요구합니다.</w:t>
      </w:r>
    </w:p>
    <w:p>
      <w:pPr>
        <w:pStyle w:val="Compact"/>
        <w:numPr>
          <w:ilvl w:val="0"/>
          <w:numId w:val="1006"/>
        </w:numPr>
      </w:pPr>
      <w:r>
        <w:t xml:space="preserve">수정하지 않아 중요하면 한정의견 사유를 검토합니다.</w:t>
      </w:r>
    </w:p>
    <w:p>
      <w:pPr>
        <w:pStyle w:val="Compact"/>
        <w:numPr>
          <w:ilvl w:val="0"/>
          <w:numId w:val="1006"/>
        </w:numPr>
      </w:pPr>
      <w:r>
        <w:t xml:space="preserve">금액이 중요하고 인식 시기 판단이 법률 해석에 좌우되면, 핵심감사사항 후보로 지배기구와 협의합니다(일반 실무 판단).</w:t>
      </w:r>
    </w:p>
    <w:bookmarkEnd w:id="25"/>
    <w:bookmarkStart w:id="26" w:name="감리-리스크와-대응-포인트"/>
    <w:p>
      <w:pPr>
        <w:pStyle w:val="Heading1"/>
      </w:pPr>
      <w:r>
        <w:t xml:space="preserve">8. 감리 리스크와 대응 포인트</w:t>
      </w:r>
    </w:p>
    <w:p>
      <w:pPr>
        <w:pStyle w:val="Compact"/>
        <w:numPr>
          <w:ilvl w:val="0"/>
          <w:numId w:val="1007"/>
        </w:numPr>
      </w:pPr>
      <w:r>
        <w:t xml:space="preserve">금융감독원 2023</w:t>
      </w:r>
      <w:r>
        <w:t xml:space="preserve"> </w:t>
      </w:r>
      <w:r>
        <w:t xml:space="preserve">‘매출 기간 귀속 오류’</w:t>
      </w:r>
      <w:r>
        <w:t xml:space="preserve">: 결합 품목을 개별 단계로 나눠 조기 인식한 것을 지적한 사례입니다. 회사 원안과 같은 구조이므로, 단일 수행의무 판단 조서를 반드시 남깁니다.</w:t>
      </w:r>
    </w:p>
    <w:p>
      <w:pPr>
        <w:pStyle w:val="Compact"/>
        <w:numPr>
          <w:ilvl w:val="0"/>
          <w:numId w:val="1007"/>
        </w:numPr>
      </w:pPr>
      <w:r>
        <w:t xml:space="preserve">KICPA-2025-07: 기간에 걸친 요건을 충족하는데 인도 시점에 인식한 것을 지적한 사례입니다. 법률 검토 결과를 반영하지 않은 채 한 시점 인식을 유지하는 반대 위험에 대응해, 법률 의견을 조서화합니다.</w:t>
      </w:r>
    </w:p>
    <w:p>
      <w:pPr>
        <w:pStyle w:val="Compact"/>
        <w:numPr>
          <w:ilvl w:val="0"/>
          <w:numId w:val="1007"/>
        </w:numPr>
      </w:pPr>
      <w:r>
        <w:t xml:space="preserve">KICPA-2025-04: 총예정원가를 신뢰성 있게 측정할 수 없는데 세금계산서 기준으로 인식한 것을 지적한 사례입니다(일반기업회계기준). 원가 범위 인식 적용 여부를 확인합니다.</w:t>
      </w:r>
    </w:p>
    <w:p>
      <w:pPr>
        <w:pStyle w:val="Compact"/>
        <w:numPr>
          <w:ilvl w:val="0"/>
          <w:numId w:val="1007"/>
        </w:numPr>
      </w:pPr>
      <w:r>
        <w:t xml:space="preserve">금융감독원 2020</w:t>
      </w:r>
      <w:r>
        <w:t xml:space="preserve"> </w:t>
      </w:r>
      <w:r>
        <w:t xml:space="preserve">‘예정원가 오류’</w:t>
      </w:r>
      <w:r>
        <w:t xml:space="preserve">: 예정원가 변경을 검토하지 않은 감사절차 미흡이 지적된 사례입니다. 총예정 투입시간 변경을 검토하는 절차를 포함합니다.</w:t>
      </w:r>
    </w:p>
    <w:bookmarkEnd w:id="26"/>
    <w:bookmarkStart w:id="32" w:name="근거-회계감사기준"/>
    <w:p>
      <w:pPr>
        <w:pStyle w:val="Heading1"/>
      </w:pPr>
      <w:r>
        <w:t xml:space="preserve">9. 근거 회계감사기준</w:t>
      </w:r>
    </w:p>
    <w:p>
      <w:pPr>
        <w:pStyle w:val="BlockText"/>
      </w:pPr>
      <w:r>
        <w:rPr>
          <w:b/>
          <w:bCs/>
        </w:rPr>
        <w:t xml:space="preserve">감사기준서 240 문단 27</w:t>
      </w:r>
      <w:r>
        <w:br/>
      </w:r>
      <w:r>
        <w:t xml:space="preserve">부정으로 인한 중요왜곡표시위험을 식별하고 평가할 때, 감사인은 수익의 인식에 부정위험이 존재한다는 가정에 기초하여, 어떤 유형의 수익이나 수익거래 또는 경영진주장이 그러한 위험을 발생시키는지 평가하여야 한다. (후략)</w:t>
      </w:r>
      <w:r>
        <w:rPr>
          <w:rStyle w:val="FootnoteReference"/>
        </w:rPr>
        <w:footnoteReference w:id="27"/>
      </w:r>
    </w:p>
    <w:p>
      <w:pPr>
        <w:pStyle w:val="FirstParagraph"/>
      </w:pPr>
      <w:r>
        <w:t xml:space="preserve">본건에서의 의미: 단계 검수 시점 청구액 인식은 기간귀속 주장에서 부정위험을 발생시키는 수익거래 유형으로 평가합니다.</w:t>
      </w:r>
    </w:p>
    <w:p>
      <w:pPr>
        <w:pStyle w:val="BlockText"/>
      </w:pPr>
      <w:r>
        <w:rPr>
          <w:b/>
          <w:bCs/>
        </w:rPr>
        <w:t xml:space="preserve">감사기준서 330 문단 21</w:t>
      </w:r>
      <w:r>
        <w:br/>
      </w:r>
      <w:r>
        <w:t xml:space="preserve">(전략) 유의적 위험에 대응하는 접근방법이 실증절차 만으로 구성되어 있는 경우에는, 반드시 세부테스트를 포함하여야 한다.</w:t>
      </w:r>
      <w:r>
        <w:rPr>
          <w:rStyle w:val="FootnoteReference"/>
        </w:rPr>
        <w:footnoteReference w:id="28"/>
      </w:r>
    </w:p>
    <w:p>
      <w:pPr>
        <w:pStyle w:val="FirstParagraph"/>
      </w:pPr>
      <w:r>
        <w:t xml:space="preserve">본건에서의 의미: 통제에 의존하지 않으면 검수확인서 검사, 기간귀속 테스트, 외부조회 같은 세부테스트를 반드시 수행합니다.</w:t>
      </w:r>
    </w:p>
    <w:p>
      <w:pPr>
        <w:pStyle w:val="BlockText"/>
      </w:pPr>
      <w:r>
        <w:rPr>
          <w:b/>
          <w:bCs/>
        </w:rPr>
        <w:t xml:space="preserve">감사기준서 540 문단 22</w:t>
      </w:r>
      <w:r>
        <w:br/>
      </w:r>
      <w:r>
        <w:t xml:space="preserve">(전략) ⒜ 회계추정치를 도출하는 데 경영진이 사용한 방법, 유의적 가정 및 데이터의 선택과 적용 (후략)</w:t>
      </w:r>
      <w:r>
        <w:rPr>
          <w:rStyle w:val="FootnoteReference"/>
        </w:rPr>
        <w:footnoteReference w:id="29"/>
      </w:r>
    </w:p>
    <w:p>
      <w:pPr>
        <w:pStyle w:val="FirstParagraph"/>
      </w:pPr>
      <w:r>
        <w:t xml:space="preserve">본건에서의 의미: 자문 개별 판매가격과 총예정 투입시간의 방법·가정·데이터를 테스트합니다.</w:t>
      </w:r>
    </w:p>
    <w:p>
      <w:pPr>
        <w:pStyle w:val="BlockText"/>
      </w:pPr>
      <w:r>
        <w:rPr>
          <w:b/>
          <w:bCs/>
        </w:rPr>
        <w:t xml:space="preserve">감사기준서 540 문단 18</w:t>
      </w:r>
      <w:r>
        <w:br/>
      </w:r>
      <w:r>
        <w:t xml:space="preserve">(전략) 감사인은 확인적인 감사증거를 입수하려 하거나 상반될 수 있는 감사증거를 배제하려 하는 방향으로 치우치지 않게 편향되지 않은 방식으로 추가감사절차를 설계하고 수행하여야 한다. (후략)</w:t>
      </w:r>
      <w:r>
        <w:rPr>
          <w:rStyle w:val="FootnoteReference"/>
        </w:rPr>
        <w:footnoteReference w:id="30"/>
      </w:r>
    </w:p>
    <w:p>
      <w:pPr>
        <w:pStyle w:val="FirstParagraph"/>
      </w:pPr>
      <w:r>
        <w:t xml:space="preserve">본건에서의 의미: 추정 가능 시점 판단이나 개별 판매가격 추정에서 회사에 유리한 방향의 증거만 수집하지 않습니다.</w:t>
      </w:r>
    </w:p>
    <w:p>
      <w:pPr>
        <w:pStyle w:val="BlockText"/>
      </w:pPr>
      <w:r>
        <w:rPr>
          <w:b/>
          <w:bCs/>
        </w:rPr>
        <w:t xml:space="preserve">감사기준서 620 문단 7</w:t>
      </w:r>
      <w:r>
        <w:br/>
      </w:r>
      <w:r>
        <w:t xml:space="preserve">만약 충분하고 적합한 감사증거를 입수하기 위하여 회계나 감사 외 분야에서의 전문성이 필요한 경우, 감사인은 감사인측 전문가의 업무를 활용할 것인지를 여부를 결정하여야 한다.</w:t>
      </w:r>
      <w:r>
        <w:rPr>
          <w:rStyle w:val="FootnoteReference"/>
        </w:rPr>
        <w:footnoteReference w:id="31"/>
      </w:r>
    </w:p>
    <w:p>
      <w:pPr>
        <w:pStyle w:val="FirstParagraph"/>
      </w:pPr>
      <w:r>
        <w:t xml:space="preserve">본건에서의 의미: 민법상 지급청구권의 집행 가능성은 법률 전문성이 필요한 사항입니다. 따라서 법률 전문가 활용 여부를 결정하고 조서화합니다.</w:t>
      </w:r>
    </w:p>
    <w:bookmarkEnd w:id="32"/>
    <w:bookmarkStart w:id="33" w:name="인용-검증-결과"/>
    <w:p>
      <w:pPr>
        <w:pStyle w:val="Heading1"/>
      </w:pPr>
      <w:r>
        <w:t xml:space="preserve">10. 인용 검증 결과</w:t>
      </w:r>
    </w:p>
    <w:p>
      <w:pPr>
        <w:pStyle w:val="Compact"/>
        <w:numPr>
          <w:ilvl w:val="0"/>
          <w:numId w:val="1008"/>
        </w:numPr>
      </w:pPr>
      <w:r>
        <w:t xml:space="preserve">검증 문구 수: 31건</w:t>
      </w:r>
    </w:p>
    <w:p>
      <w:pPr>
        <w:pStyle w:val="Compact"/>
        <w:numPr>
          <w:ilvl w:val="1"/>
          <w:numId w:val="1009"/>
        </w:numPr>
      </w:pPr>
      <w:r>
        <w:t xml:space="preserve">기업회계기준서 제1115호: 26건(문단 27·29·35·37·38·41·44·45·76·95·106·B3·B4·B9·B12·B13·B15·B16·B18·BC167, 일부 문단은 복수 문구)</w:t>
      </w:r>
    </w:p>
    <w:p>
      <w:pPr>
        <w:pStyle w:val="Compact"/>
        <w:numPr>
          <w:ilvl w:val="1"/>
          <w:numId w:val="1009"/>
        </w:numPr>
      </w:pPr>
      <w:r>
        <w:t xml:space="preserve">회계감사기준: 5건(240-27, 330-21, 540-18, 540-22, 620-7)</w:t>
      </w:r>
    </w:p>
    <w:p>
      <w:pPr>
        <w:pStyle w:val="Compact"/>
        <w:numPr>
          <w:ilvl w:val="1"/>
          <w:numId w:val="1009"/>
        </w:numPr>
      </w:pPr>
      <w:r>
        <w:t xml:space="preserve">전부 일치 판정을 받았습니다.</w:t>
      </w:r>
    </w:p>
    <w:p>
      <w:pPr>
        <w:pStyle w:val="Compact"/>
        <w:numPr>
          <w:ilvl w:val="0"/>
          <w:numId w:val="1008"/>
        </w:numPr>
      </w:pPr>
      <w:r>
        <w:t xml:space="preserve">수정 문구 수: 0건</w:t>
      </w:r>
    </w:p>
    <w:p>
      <w:pPr>
        <w:pStyle w:val="Compact"/>
        <w:numPr>
          <w:ilvl w:val="0"/>
          <w:numId w:val="1008"/>
        </w:numPr>
      </w:pPr>
      <w:r>
        <w:t xml:space="preserve">근거 미확인 항목</w:t>
      </w:r>
    </w:p>
    <w:p>
      <w:pPr>
        <w:pStyle w:val="Compact"/>
        <w:numPr>
          <w:ilvl w:val="1"/>
          <w:numId w:val="1010"/>
        </w:numPr>
      </w:pPr>
      <w:r>
        <w:t xml:space="preserve">자문의 중요성 판단 기준(일반 실무 판단)</w:t>
      </w:r>
    </w:p>
    <w:p>
      <w:pPr>
        <w:pStyle w:val="Compact"/>
        <w:numPr>
          <w:ilvl w:val="1"/>
          <w:numId w:val="1010"/>
        </w:numPr>
      </w:pPr>
      <w:r>
        <w:t xml:space="preserve">핵심감사사항 해당 가능성 판단(일반 실무 판단)</w:t>
      </w:r>
    </w:p>
    <w:p>
      <w:pPr>
        <w:pStyle w:val="Compact"/>
        <w:numPr>
          <w:ilvl w:val="1"/>
          <w:numId w:val="1010"/>
        </w:numPr>
      </w:pPr>
      <w:r>
        <w:t xml:space="preserve">유의적인 금융요소 해당 여부(문단 미조회로 결론 유보)</w:t>
      </w:r>
    </w:p>
    <w:p>
      <w:pPr>
        <w:pStyle w:val="Compact"/>
        <w:numPr>
          <w:ilvl w:val="1"/>
          <w:numId w:val="1010"/>
        </w:numPr>
      </w:pPr>
      <w:r>
        <w:t xml:space="preserve">민법 조문의 본건 적용과 집행 가능성(법률 판단으로 korean-law-reviewer 에 넘김)</w:t>
      </w:r>
    </w:p>
    <w:bookmarkEnd w:id="33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134" w:right="113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240 문단 27. 회계위키, https://accountingwiki.co.kr/audit/standards/240#p27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330 문단 21. 회계위키, https://accountingwiki.co.kr/audit/standards/330#p21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540 문단 22. 회계위키, https://accountingwiki.co.kr/audit/standards/540#p22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540 문단 18. 회계위키, https://accountingwiki.co.kr/audit/standards/540#p18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620 문단 7. 회계위키, https://accountingwiki.co.kr/audit/standards/620#p7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sz w:val="17"/>
      </w:rPr>
      <w:t>대외비 | 감사 조서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cs="맑은 고딕" w:eastAsia="맑은 고딕" w:hAnsi="맑은 고딕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cs="맑은 고딕" w:eastAsia="맑은 고딕" w:hAnsi="맑은 고딕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cs="맑은 고딕" w:eastAsia="맑은 고딕" w:hAnsi="맑은 고딕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맑은 고딕" w:cs="맑은 고딕" w:eastAsia="맑은 고딕" w:hAnsi="맑은 고딕"/>
      <w:b/>
      <w:color w:val="1F3864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맑은 고딕" w:cs="맑은 고딕" w:eastAsia="맑은 고딕" w:hAnsi="맑은 고딕"/>
      <w:b w:val="0"/>
      <w:color w:val="1F3864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맑은 고딕" w:cs="맑은 고딕" w:eastAsia="맑은 고딕" w:hAnsi="맑은 고딕"/>
      <w:b w:val="0"/>
      <w:color w:val="1F3864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맑은 고딕" w:cs="맑은 고딕" w:eastAsia="맑은 고딕" w:hAnsi="맑은 고딕"/>
      <w:b/>
      <w:color w:val="1F386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맑은 고딕" w:cs="맑은 고딕" w:eastAsia="맑은 고딕" w:hAnsi="맑은 고딕"/>
      <w:b/>
      <w:color w:val="1F386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맑은 고딕" w:cs="맑은 고딕" w:eastAsia="맑은 고딕" w:hAnsi="맑은 고딕"/>
      <w:b/>
      <w:color w:val="1F3864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2F2" w:val="clear"/>
      <w:spacing w:after="100" w:before="100"/>
      <w:ind w:firstLine="0" w:left="280" w:right="120"/>
    </w:pPr>
    <w:rPr>
      <w:rFonts w:ascii="맑은 고딕" w:cs="맑은 고딕" w:eastAsia="맑은 고딕" w:hAnsi="맑은 고딕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cs="맑은 고딕" w:eastAsia="맑은 고딕" w:hAnsi="맑은 고딕"/>
      <w:sz w:val="17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OC1">
    <w:name w:val="TOC 1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감사 조서 메모: 단계별 산출물 용역계약의 수익인식 시기와 진행률 측정방법</dc:title>
  <dc:creator/>
  <dc:language>ko-KR</dc:language>
  <cp:keywords/>
  <dcterms:created xsi:type="dcterms:W3CDTF">2026-10-02T02:58:22Z</dcterms:created>
  <dcterms:modified xsi:type="dcterms:W3CDTF">2026-10-02T02:58:22Z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subtitle">
    <vt:lpwstr>감사팀 내부용</vt:lpwstr>
  </property>
</Properties>
</file>