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검토 의견서: 중간리스제공자(금융 전대리스) 관련 손익의 기업회계기준서 제1118호 범주 분류</w:t>
      </w:r>
    </w:p>
    <w:p>
      <w:pPr>
        <w:pStyle w:val="Subtitle"/>
      </w:pPr>
      <w:r>
        <w:t xml:space="preserve">회계위키 근거 검토</w:t>
      </w:r>
    </w:p>
    <w:p>
      <w:pPr>
        <w:pStyle w:val="Date"/>
      </w:pPr>
      <w:r>
        <w:t xml:space="preserve">2026-10-02</w:t>
      </w:r>
    </w:p>
    <w:p>
      <w:pPr>
        <w:pStyle w:val="TOCHeading"/>
      </w:pPr>
      <w:r>
        <w:t xml:space="preserve">목차</w:t>
      </w:r>
    </w:p>
    <w:p>
      <w:pPr>
        <w:pStyle w:val="TOC1"/>
      </w:pPr>
      <w:r>
        <w:t xml:space="preserve">1. 요약</w:t>
      </w:r>
    </w:p>
    <w:p>
      <w:pPr>
        <w:pStyle w:val="TOC1"/>
      </w:pPr>
      <w:r>
        <w:t xml:space="preserve">2. 질의 내용과 사실관계</w:t>
      </w:r>
    </w:p>
    <w:p>
      <w:pPr>
        <w:pStyle w:val="TOC1"/>
      </w:pPr>
      <w:r>
        <w:t xml:space="preserve">3. 쟁점</w:t>
      </w:r>
    </w:p>
    <w:p>
      <w:pPr>
        <w:pStyle w:val="TOC1"/>
      </w:pPr>
      <w:r>
        <w:t xml:space="preserve">4. 판단 흐름표</w:t>
      </w:r>
    </w:p>
    <w:p>
      <w:pPr>
        <w:pStyle w:val="TOC1"/>
      </w:pPr>
      <w:r>
        <w:t xml:space="preserve">5. 검토 의견</w:t>
      </w:r>
    </w:p>
    <w:p>
      <w:pPr>
        <w:pStyle w:val="TOC2"/>
      </w:pPr>
      <w:r>
        <w:t xml:space="preserve">5-1. 결론도출근거 BC198~199는 실제로 무엇을 말하는가</w:t>
      </w:r>
    </w:p>
    <w:p>
      <w:pPr>
        <w:pStyle w:val="TOC2"/>
      </w:pPr>
      <w:r>
        <w:t xml:space="preserve">5-2. 상위리스 리스부채 이자비용(</w:t>
      </w:r>
      <w:r>
        <w:t xml:space="preserve">‘전대 리스 이자비용’</w:t>
      </w:r>
      <w:r>
        <w:t xml:space="preserve">)은 어느 범주인가</w:t>
      </w:r>
    </w:p>
    <w:p>
      <w:pPr>
        <w:pStyle w:val="TOC2"/>
      </w:pPr>
      <w:r>
        <w:t xml:space="preserve">5-3. 전대리스 순투자 이자수익(</w:t>
      </w:r>
      <w:r>
        <w:t xml:space="preserve">‘전대 리스 이자수익’</w:t>
      </w:r>
      <w:r>
        <w:t xml:space="preserve">)은 어느 범주인가</w:t>
      </w:r>
    </w:p>
    <w:p>
      <w:pPr>
        <w:pStyle w:val="TOC2"/>
      </w:pPr>
      <w:r>
        <w:t xml:space="preserve">5-4. 전대 개시일 사용권자산 처분손익은 어느 범주인가</w:t>
      </w:r>
    </w:p>
    <w:p>
      <w:pPr>
        <w:pStyle w:val="TOC2"/>
      </w:pPr>
      <w:r>
        <w:t xml:space="preserve">5-5. 전대 개시 전 기간분과 미전대 잔여분 감가상각비는 어느 범주인가</w:t>
      </w:r>
    </w:p>
    <w:p>
      <w:pPr>
        <w:pStyle w:val="TOC1"/>
      </w:pPr>
      <w:r>
        <w:t xml:space="preserve">6. 결론</w:t>
      </w:r>
    </w:p>
    <w:p>
      <w:pPr>
        <w:pStyle w:val="TOC1"/>
      </w:pPr>
      <w:r>
        <w:t xml:space="preserve">7. 회계처리와 공시</w:t>
      </w:r>
    </w:p>
    <w:p>
      <w:pPr>
        <w:pStyle w:val="TOC1"/>
      </w:pPr>
      <w:r>
        <w:t xml:space="preserve">8. 유의사항</w:t>
      </w:r>
    </w:p>
    <w:p>
      <w:pPr>
        <w:pStyle w:val="TOC1"/>
      </w:pPr>
      <w:r>
        <w:t xml:space="preserve">9. 관련 사항</w:t>
      </w:r>
    </w:p>
    <w:p>
      <w:pPr>
        <w:pStyle w:val="TOC1"/>
      </w:pPr>
      <w:r>
        <w:t xml:space="preserve">부록 A. 인용 기준서 원문</w:t>
      </w:r>
    </w:p>
    <w:bookmarkStart w:id="19" w:name="요약"/>
    <w:p>
      <w:pPr>
        <w:pStyle w:val="Heading1"/>
        <w:pageBreakBefore/>
      </w:pPr>
      <w:r>
        <w:t xml:space="preserve">1. 요약</w:t>
      </w:r>
    </w:p>
    <w:tbl>
      <w:tblPr>
        <w:tblStyle w:val="Table"/>
        <w:tblW w:type="pct" w:w="5000"/>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760"/>
        <w:gridCol w:w="3635"/>
        <w:gridCol w:w="3242"/>
      </w:tblGrid>
      <w:tr>
        <w:trPr>
          <w:tblHeader w:val="on"/>
        </w:trPr>
        <w:tc>
          <w:tcPr>
            <w:tcW w:type="dxa" w:w="2760"/>
            <w:shd w:val="clear" w:color="auto" w:fill="D9E2F3"/>
          </w:tcPr>
          <w:p>
            <w:pPr>
              <w:pStyle w:val="Compact"/>
            </w:pPr>
            <w:r>
              <w:rPr>
                <w:b/>
              </w:rPr>
              <w:t xml:space="preserve">항목</w:t>
            </w:r>
          </w:p>
        </w:tc>
        <w:tc>
          <w:tcPr>
            <w:tcW w:type="dxa" w:w="3635"/>
            <w:shd w:val="clear" w:color="auto" w:fill="D9E2F3"/>
          </w:tcPr>
          <w:p>
            <w:pPr>
              <w:pStyle w:val="Compact"/>
            </w:pPr>
            <w:r>
              <w:rPr>
                <w:b/>
              </w:rPr>
              <w:t xml:space="preserve">결론</w:t>
            </w:r>
          </w:p>
        </w:tc>
        <w:tc>
          <w:tcPr>
            <w:tcW w:type="dxa" w:w="3243"/>
            <w:shd w:val="clear" w:color="auto" w:fill="D9E2F3"/>
          </w:tcPr>
          <w:p>
            <w:pPr>
              <w:pStyle w:val="Compact"/>
            </w:pPr>
            <w:r>
              <w:rPr>
                <w:b/>
              </w:rPr>
              <w:t xml:space="preserve">확정도</w:t>
            </w:r>
          </w:p>
        </w:tc>
      </w:tr>
      <w:tr>
        <w:tc>
          <w:tcPr>
            <w:tcW w:type="dxa" w:w="2760"/>
          </w:tcPr>
          <w:p>
            <w:pPr>
              <w:pStyle w:val="Compact"/>
            </w:pPr>
            <w:r>
              <w:t xml:space="preserve">① 전대 리스 이자비용(상위리스 리스부채 이자)</w:t>
            </w:r>
          </w:p>
        </w:tc>
        <w:tc>
          <w:tcPr>
            <w:tcW w:type="dxa" w:w="3635"/>
          </w:tcPr>
          <w:p>
            <w:pPr>
              <w:pStyle w:val="Compact"/>
            </w:pPr>
            <w:r>
              <w:t xml:space="preserve">재무 범주</w:t>
            </w:r>
          </w:p>
        </w:tc>
        <w:tc>
          <w:tcPr>
            <w:tcW w:type="dxa" w:w="3243"/>
          </w:tcPr>
          <w:p>
            <w:pPr>
              <w:pStyle w:val="Compact"/>
            </w:pPr>
            <w:r>
              <w:t xml:space="preserve">확정</w:t>
            </w:r>
          </w:p>
        </w:tc>
      </w:tr>
      <w:tr>
        <w:tc>
          <w:tcPr>
            <w:tcW w:type="dxa" w:w="2760"/>
          </w:tcPr>
          <w:p>
            <w:pPr>
              <w:pStyle w:val="Compact"/>
            </w:pPr>
            <w:r>
              <w:t xml:space="preserve">② 전대 리스 이자수익(전대리스 순투자 금융수익)</w:t>
            </w:r>
          </w:p>
        </w:tc>
        <w:tc>
          <w:tcPr>
            <w:tcW w:type="dxa" w:w="3635"/>
          </w:tcPr>
          <w:p>
            <w:pPr>
              <w:pStyle w:val="Compact"/>
            </w:pPr>
            <w:r>
              <w:t xml:space="preserve">투자 범주(기본 결론). 재무 범주 분류와 리스부채 이자와의 상계는 불가</w:t>
            </w:r>
          </w:p>
        </w:tc>
        <w:tc>
          <w:tcPr>
            <w:tcW w:type="dxa" w:w="3243"/>
          </w:tcPr>
          <w:p>
            <w:pPr>
              <w:pStyle w:val="Compact"/>
            </w:pPr>
            <w:r>
              <w:t xml:space="preserve">투자 결론은 해석 견해·잠정 자료 의존. 재무 불가는 확정</w:t>
            </w:r>
          </w:p>
        </w:tc>
      </w:tr>
      <w:tr>
        <w:tc>
          <w:tcPr>
            <w:tcW w:type="dxa" w:w="2760"/>
          </w:tcPr>
          <w:p>
            <w:pPr>
              <w:pStyle w:val="Compact"/>
            </w:pPr>
            <w:r>
              <w:t xml:space="preserve">③ 전대 사용권자산처분손익(전대 개시일 제거손익)</w:t>
            </w:r>
          </w:p>
        </w:tc>
        <w:tc>
          <w:tcPr>
            <w:tcW w:type="dxa" w:w="3635"/>
          </w:tcPr>
          <w:p>
            <w:pPr>
              <w:pStyle w:val="Compact"/>
            </w:pPr>
            <w:r>
              <w:t xml:space="preserve">영업 범주</w:t>
            </w:r>
          </w:p>
        </w:tc>
        <w:tc>
          <w:tcPr>
            <w:tcW w:type="dxa" w:w="3243"/>
          </w:tcPr>
          <w:p>
            <w:pPr>
              <w:pStyle w:val="Compact"/>
            </w:pPr>
            <w:r>
              <w:t xml:space="preserve">확정(전대 직전 영업 사용 전제)</w:t>
            </w:r>
          </w:p>
        </w:tc>
      </w:tr>
      <w:tr>
        <w:tc>
          <w:tcPr>
            <w:tcW w:type="dxa" w:w="2760"/>
          </w:tcPr>
          <w:p>
            <w:pPr>
              <w:pStyle w:val="Compact"/>
            </w:pPr>
            <w:r>
              <w:t xml:space="preserve">④ 전대 감가상각비(개시 전 기간분·미전대 잔여분)</w:t>
            </w:r>
          </w:p>
        </w:tc>
        <w:tc>
          <w:tcPr>
            <w:tcW w:type="dxa" w:w="3635"/>
          </w:tcPr>
          <w:p>
            <w:pPr>
              <w:pStyle w:val="Compact"/>
            </w:pPr>
            <w:r>
              <w:t xml:space="preserve">영업 범주</w:t>
            </w:r>
          </w:p>
        </w:tc>
        <w:tc>
          <w:tcPr>
            <w:tcW w:type="dxa" w:w="3243"/>
          </w:tcPr>
          <w:p>
            <w:pPr>
              <w:pStyle w:val="Compact"/>
            </w:pPr>
            <w:r>
              <w:t xml:space="preserve">확정</w:t>
            </w:r>
          </w:p>
        </w:tc>
      </w:tr>
    </w:tbl>
    <w:p>
      <w:pPr>
        <w:pStyle w:val="BodyText"/>
      </w:pPr>
      <w:r>
        <w:t xml:space="preserve">결론 문장</w:t>
      </w:r>
    </w:p>
    <w:p>
      <w:pPr>
        <w:pStyle w:val="Compact"/>
        <w:numPr>
          <w:ilvl w:val="0"/>
          <w:numId w:val="1001"/>
        </w:numPr>
      </w:pPr>
      <w:r>
        <w:t xml:space="preserve">중간리스제공자라는 지위가 범주를 바꾸지는 않습니다. 리스부채 이자는 재무 범주이고, 사용권자산의 처분손익과 감가상각비는 영업 범주입니다. 일반 리스와 같습니다.</w:t>
      </w:r>
    </w:p>
    <w:p>
      <w:pPr>
        <w:pStyle w:val="Compact"/>
        <w:numPr>
          <w:ilvl w:val="0"/>
          <w:numId w:val="1001"/>
        </w:numPr>
      </w:pPr>
      <w:r>
        <w:t xml:space="preserve">별도 판단이 필요한 항목은 전대로 새로 생긴 전대리스 순투자의 이자수익 하나입니다. 기본 결론은 투자 범주이며, 재무 범주로는 분류할 수 없습니다.</w:t>
      </w:r>
    </w:p>
    <w:p>
      <w:pPr>
        <w:pStyle w:val="Compact"/>
        <w:numPr>
          <w:ilvl w:val="0"/>
          <w:numId w:val="1001"/>
        </w:numPr>
      </w:pPr>
      <w:r>
        <w:t xml:space="preserve">결론도출근거 BC198~199가 재무 범주로 정한 것은</w:t>
      </w:r>
      <w:r>
        <w:t xml:space="preserve"> </w:t>
      </w:r>
      <w:r>
        <w:t xml:space="preserve">“리스부채에 대한 수익 및 비용”</w:t>
      </w:r>
      <w:r>
        <w:t xml:space="preserve">뿐입니다. 전대 관련 손익 전체를 재무 범주로 보는 근거가 되지 않습니다.</w:t>
      </w:r>
    </w:p>
    <w:bookmarkEnd w:id="19"/>
    <w:bookmarkStart w:id="20" w:name="질의-내용과-사실관계"/>
    <w:p>
      <w:pPr>
        <w:pStyle w:val="Heading1"/>
      </w:pPr>
      <w:r>
        <w:t xml:space="preserve">2. 질의 내용과 사실관계</w:t>
      </w:r>
    </w:p>
    <w:p>
      <w:pPr>
        <w:pStyle w:val="FirstParagraph"/>
      </w:pPr>
      <w:r>
        <w:t xml:space="preserve">질의 요지</w:t>
      </w:r>
    </w:p>
    <w:p>
      <w:pPr>
        <w:pStyle w:val="Compact"/>
        <w:numPr>
          <w:ilvl w:val="0"/>
          <w:numId w:val="1002"/>
        </w:numPr>
      </w:pPr>
      <w:r>
        <w:t xml:space="preserve">회사는 최초 리스제공자에게서 금융리스를 받은 뒤, 중간리스제공자로서 금융리스를 제공하고 있습니다.</w:t>
      </w:r>
    </w:p>
    <w:p>
      <w:pPr>
        <w:pStyle w:val="Compact"/>
        <w:numPr>
          <w:ilvl w:val="0"/>
          <w:numId w:val="1002"/>
        </w:numPr>
      </w:pPr>
      <w:r>
        <w:t xml:space="preserve">질의 대상 네 계정은 다음과 같습니다: 전대 리스 이자비용, 전대 리스 이자수익, 전대 사용권자산처분손익, 전대 감가상각비.</w:t>
      </w:r>
    </w:p>
    <w:p>
      <w:pPr>
        <w:pStyle w:val="Compact"/>
        <w:numPr>
          <w:ilvl w:val="0"/>
          <w:numId w:val="1002"/>
        </w:numPr>
      </w:pPr>
      <w:r>
        <w:t xml:space="preserve">이 네 계정을 손익계산서의 어느 범주로 분류하는지, 그리고 결론도출근거 BC198~199에 따라 재무 범주로 보는 것이 맞는지를 문의하셨습니다.</w:t>
      </w:r>
    </w:p>
    <w:p>
      <w:pPr>
        <w:pStyle w:val="FirstParagraph"/>
      </w:pPr>
      <w:r>
        <w:t xml:space="preserve">제공된 사실</w:t>
      </w:r>
    </w:p>
    <w:p>
      <w:pPr>
        <w:pStyle w:val="Compact"/>
        <w:numPr>
          <w:ilvl w:val="0"/>
          <w:numId w:val="1003"/>
        </w:numPr>
      </w:pPr>
      <w:r>
        <w:t xml:space="preserve">전대리스는 모두 금융리스입니다(</w:t>
      </w:r>
      <w:r>
        <w:t xml:space="preserve">“금융리스만 있습니다”</w:t>
      </w:r>
      <w:r>
        <w:t xml:space="preserve">).</w:t>
      </w:r>
    </w:p>
    <w:p>
      <w:pPr>
        <w:pStyle w:val="Compact"/>
        <w:numPr>
          <w:ilvl w:val="0"/>
          <w:numId w:val="1003"/>
        </w:numPr>
      </w:pPr>
      <w:r>
        <w:t xml:space="preserve">회사는 일반 리스에 대해 사용권자산처분손익과 감가상각비를 영업 범주, 리스 이자비용을 재무 범주로 이해하고 있습니다.</w:t>
      </w:r>
    </w:p>
    <w:p>
      <w:pPr>
        <w:pStyle w:val="FirstParagraph"/>
      </w:pPr>
      <w:r>
        <w:t xml:space="preserve">인터뷰 답변(1회차)</w:t>
      </w:r>
    </w:p>
    <w:p>
      <w:pPr>
        <w:pStyle w:val="Compact"/>
        <w:numPr>
          <w:ilvl w:val="0"/>
          <w:numId w:val="1004"/>
        </w:numPr>
      </w:pPr>
      <w:r>
        <w:t xml:space="preserve">전대의 성격: 유휴 공간·자산을 처리하려는 일회성·부수적 전대이며, 주된 사업활동이 아닙니다.</w:t>
      </w:r>
    </w:p>
    <w:p>
      <w:pPr>
        <w:pStyle w:val="Compact"/>
        <w:numPr>
          <w:ilvl w:val="0"/>
          <w:numId w:val="1004"/>
        </w:numPr>
      </w:pPr>
      <w:r>
        <w:t xml:space="preserve">전대 자산: 자가사용 부동산을 일부 전대한 경우와 동산을 전대한 경우가 있습니다.</w:t>
      </w:r>
    </w:p>
    <w:p>
      <w:pPr>
        <w:pStyle w:val="Compact"/>
        <w:numPr>
          <w:ilvl w:val="0"/>
          <w:numId w:val="1004"/>
        </w:numPr>
      </w:pPr>
      <w:r>
        <w:t xml:space="preserve">’전대 감가상각비’의 내용: 전대 개시 전 기간분과 미전대 잔여분입니다.</w:t>
      </w:r>
    </w:p>
    <w:p>
      <w:pPr>
        <w:pStyle w:val="Compact"/>
        <w:numPr>
          <w:ilvl w:val="0"/>
          <w:numId w:val="1004"/>
        </w:numPr>
      </w:pPr>
      <w:r>
        <w:t xml:space="preserve">대상 재무제표와 상대방: 별도재무제표이며, 전대 상대방은 외부 제3자입니다(특수관계 없음).</w:t>
      </w:r>
    </w:p>
    <w:p>
      <w:pPr>
        <w:pStyle w:val="FirstParagraph"/>
      </w:pPr>
      <w:r>
        <w:t xml:space="preserve">가정</w:t>
      </w:r>
    </w:p>
    <w:p>
      <w:pPr>
        <w:pStyle w:val="Compact"/>
        <w:numPr>
          <w:ilvl w:val="0"/>
          <w:numId w:val="1005"/>
        </w:numPr>
      </w:pPr>
      <w:r>
        <w:t xml:space="preserve">가정 1: 동산은 전대 직전까지 영업에 쓰던 자산입니다. 인터뷰에서 답이 없어 둔 가정입니다.</w:t>
      </w:r>
    </w:p>
    <w:p>
      <w:pPr>
        <w:pStyle w:val="Compact"/>
        <w:numPr>
          <w:ilvl w:val="0"/>
          <w:numId w:val="1005"/>
        </w:numPr>
      </w:pPr>
      <w:r>
        <w:t xml:space="preserve">가정 2: 부동산 사용권자산의 전대 부분은 전대 직전까지 자가사용부동산이었습니다. 운용 전대 등으로 투자부동산으로 분류한 이력은 없습니다.</w:t>
      </w:r>
    </w:p>
    <w:p>
      <w:pPr>
        <w:pStyle w:val="Compact"/>
        <w:numPr>
          <w:ilvl w:val="0"/>
          <w:numId w:val="1005"/>
        </w:numPr>
      </w:pPr>
      <w:r>
        <w:t xml:space="preserve">가정 3: 회사는 12월 결산이며 제1118호를 조기 적용하지 않습니다. 따라서 2027 회계연도에 처음 적용하고 2026년 비교정보를 다시 작성합니다.</w:t>
      </w:r>
    </w:p>
    <w:p>
      <w:pPr>
        <w:pStyle w:val="Compact"/>
        <w:numPr>
          <w:ilvl w:val="0"/>
          <w:numId w:val="1005"/>
        </w:numPr>
      </w:pPr>
      <w:r>
        <w:t xml:space="preserve">가정 4: 회사는 자산 투자나 고객 금융제공을 주된 사업활동으로 하지 않습니다. 인터뷰 답변에서 미루어 본 가정입니다.</w:t>
      </w:r>
    </w:p>
    <w:p>
      <w:pPr>
        <w:pStyle w:val="FirstParagraph"/>
      </w:pPr>
      <w:r>
        <w:t xml:space="preserve">미제공 항목</w:t>
      </w:r>
    </w:p>
    <w:p>
      <w:pPr>
        <w:pStyle w:val="Compact"/>
        <w:numPr>
          <w:ilvl w:val="0"/>
          <w:numId w:val="1006"/>
        </w:numPr>
      </w:pPr>
      <w:r>
        <w:t xml:space="preserve">거래 일자, 금액, 할인율·내재이자율, 통화. 범주 결론에는 영향이 없어 금액 없이 검토했습니다.</w:t>
      </w:r>
    </w:p>
    <w:bookmarkEnd w:id="20"/>
    <w:bookmarkStart w:id="22" w:name="쟁점"/>
    <w:p>
      <w:pPr>
        <w:pStyle w:val="Heading1"/>
      </w:pPr>
      <w:r>
        <w:t xml:space="preserve">3. 쟁점</w:t>
      </w:r>
    </w:p>
    <w:p>
      <w:pPr>
        <w:pStyle w:val="Compact"/>
        <w:numPr>
          <w:ilvl w:val="0"/>
          <w:numId w:val="1007"/>
        </w:numPr>
      </w:pPr>
      <w:r>
        <w:t xml:space="preserve">쟁점: 기업회계기준서 제1118호 ’재무제표 표시와 공시’를 적용할 때, 중간리스제공자의 위 네 항목을 영업·투자·재무 범주 가운데 어디로 분류하는가. 아울러 결론도출근거 BC198~199가 실제로 무엇을 정하는가.</w:t>
      </w:r>
    </w:p>
    <w:p>
      <w:pPr>
        <w:pStyle w:val="Compact"/>
        <w:numPr>
          <w:ilvl w:val="0"/>
          <w:numId w:val="1007"/>
        </w:numPr>
      </w:pPr>
      <w:r>
        <w:t xml:space="preserve">적용 기준: 한국채택국제회계기준. 제1118호는 2027년 1월 1일 이후 최초로 시작하는 회계연도부터 적용합니다.</w:t>
      </w:r>
      <w:r>
        <w:rPr>
          <w:rStyle w:val="FootnoteReference"/>
        </w:rPr>
        <w:footnoteReference w:id="21"/>
      </w:r>
    </w:p>
    <w:bookmarkEnd w:id="22"/>
    <w:bookmarkStart w:id="23" w:name="판단-흐름표"/>
    <w:p>
      <w:pPr>
        <w:pStyle w:val="Heading1"/>
      </w:pPr>
      <w:r>
        <w:t xml:space="preserve">4. 판단 흐름표</w:t>
      </w:r>
    </w:p>
    <w:tbl>
      <w:tblPr>
        <w:tblStyle w:val="Table"/>
        <w:tblW w:type="pct" w:w="5000"/>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759"/>
        <w:gridCol w:w="3190"/>
        <w:gridCol w:w="1771"/>
        <w:gridCol w:w="1449"/>
        <w:gridCol w:w="2467"/>
      </w:tblGrid>
      <w:tr>
        <w:trPr>
          <w:tblHeader w:val="on"/>
        </w:trPr>
        <w:tc>
          <w:tcPr>
            <w:tcW w:type="dxa" w:w="759"/>
            <w:shd w:val="clear" w:color="auto" w:fill="D9E2F3"/>
          </w:tcPr>
          <w:p>
            <w:pPr>
              <w:pStyle w:val="Compact"/>
            </w:pPr>
            <w:r>
              <w:rPr>
                <w:b/>
              </w:rPr>
              <w:t xml:space="preserve">단계</w:t>
            </w:r>
          </w:p>
        </w:tc>
        <w:tc>
          <w:tcPr>
            <w:tcW w:type="dxa" w:w="3191"/>
            <w:shd w:val="clear" w:color="auto" w:fill="D9E2F3"/>
          </w:tcPr>
          <w:p>
            <w:pPr>
              <w:pStyle w:val="Compact"/>
            </w:pPr>
            <w:r>
              <w:rPr>
                <w:b/>
              </w:rPr>
              <w:t xml:space="preserve">판단 질문</w:t>
            </w:r>
          </w:p>
        </w:tc>
        <w:tc>
          <w:tcPr>
            <w:tcW w:type="dxa" w:w="1771"/>
            <w:shd w:val="clear" w:color="auto" w:fill="D9E2F3"/>
          </w:tcPr>
          <w:p>
            <w:pPr>
              <w:pStyle w:val="Compact"/>
            </w:pPr>
            <w:r>
              <w:rPr>
                <w:b/>
              </w:rPr>
              <w:t xml:space="preserve">예이면</w:t>
            </w:r>
          </w:p>
        </w:tc>
        <w:tc>
          <w:tcPr>
            <w:tcW w:type="dxa" w:w="1449"/>
            <w:shd w:val="clear" w:color="auto" w:fill="D9E2F3"/>
          </w:tcPr>
          <w:p>
            <w:pPr>
              <w:pStyle w:val="Compact"/>
            </w:pPr>
            <w:r>
              <w:rPr>
                <w:b/>
              </w:rPr>
              <w:t xml:space="preserve">아니면</w:t>
            </w:r>
          </w:p>
        </w:tc>
        <w:tc>
          <w:tcPr>
            <w:tcW w:type="dxa" w:w="2467"/>
            <w:shd w:val="clear" w:color="auto" w:fill="D9E2F3"/>
          </w:tcPr>
          <w:p>
            <w:pPr>
              <w:pStyle w:val="Compact"/>
            </w:pPr>
            <w:r>
              <w:rPr>
                <w:b/>
              </w:rPr>
              <w:t xml:space="preserve">본건</w:t>
            </w:r>
          </w:p>
        </w:tc>
      </w:tr>
      <w:tr>
        <w:tc>
          <w:tcPr>
            <w:tcW w:type="dxa" w:w="759"/>
          </w:tcPr>
          <w:p>
            <w:pPr>
              <w:pStyle w:val="Compact"/>
            </w:pPr>
            <w:r>
              <w:t xml:space="preserve">1</w:t>
            </w:r>
          </w:p>
        </w:tc>
        <w:tc>
          <w:tcPr>
            <w:tcW w:type="dxa" w:w="3191"/>
          </w:tcPr>
          <w:p>
            <w:pPr>
              <w:pStyle w:val="Compact"/>
            </w:pPr>
            <w:r>
              <w:t xml:space="preserve">손익이 부채에서 생겼는가 (문단 59)</w:t>
            </w:r>
          </w:p>
        </w:tc>
        <w:tc>
          <w:tcPr>
            <w:tcW w:type="dxa" w:w="1771"/>
          </w:tcPr>
          <w:p>
            <w:pPr>
              <w:pStyle w:val="Compact"/>
            </w:pPr>
            <w:r>
              <w:t xml:space="preserve">2단계로</w:t>
            </w:r>
          </w:p>
        </w:tc>
        <w:tc>
          <w:tcPr>
            <w:tcW w:type="dxa" w:w="1449"/>
          </w:tcPr>
          <w:p>
            <w:pPr>
              <w:pStyle w:val="Compact"/>
            </w:pPr>
            <w:r>
              <w:t xml:space="preserve">3단계로</w:t>
            </w:r>
          </w:p>
        </w:tc>
        <w:tc>
          <w:tcPr>
            <w:tcW w:type="dxa" w:w="2467"/>
          </w:tcPr>
          <w:p>
            <w:pPr>
              <w:pStyle w:val="Compact"/>
            </w:pPr>
            <w:r>
              <w:t xml:space="preserve">① 상위리스 리스부채 이자만</w:t>
            </w:r>
            <w:r>
              <w:t xml:space="preserve"> </w:t>
            </w:r>
            <w:r>
              <w:t xml:space="preserve">‘예’</w:t>
            </w:r>
          </w:p>
        </w:tc>
      </w:tr>
      <w:tr>
        <w:tc>
          <w:tcPr>
            <w:tcW w:type="dxa" w:w="759"/>
          </w:tcPr>
          <w:p>
            <w:pPr>
              <w:pStyle w:val="Compact"/>
            </w:pPr>
            <w:r>
              <w:t xml:space="preserve">2</w:t>
            </w:r>
          </w:p>
        </w:tc>
        <w:tc>
          <w:tcPr>
            <w:tcW w:type="dxa" w:w="3191"/>
          </w:tcPr>
          <w:p>
            <w:pPr>
              <w:pStyle w:val="Compact"/>
            </w:pPr>
            <w:r>
              <w:t xml:space="preserve">그 부채에 적용하는 기준서가 이자를 따로 식별하는가 (문단 61, B54⑶)</w:t>
            </w:r>
          </w:p>
        </w:tc>
        <w:tc>
          <w:tcPr>
            <w:tcW w:type="dxa" w:w="1771"/>
          </w:tcPr>
          <w:p>
            <w:pPr>
              <w:pStyle w:val="Compact"/>
            </w:pPr>
            <w:r>
              <w:t xml:space="preserve">재무 범주</w:t>
            </w:r>
          </w:p>
        </w:tc>
        <w:tc>
          <w:tcPr>
            <w:tcW w:type="dxa" w:w="1449"/>
          </w:tcPr>
          <w:p>
            <w:pPr>
              <w:pStyle w:val="Compact"/>
            </w:pPr>
            <w:r>
              <w:t xml:space="preserve">영업 범주(문단 52)</w:t>
            </w:r>
          </w:p>
        </w:tc>
        <w:tc>
          <w:tcPr>
            <w:tcW w:type="dxa" w:w="2467"/>
          </w:tcPr>
          <w:p>
            <w:pPr>
              <w:pStyle w:val="Compact"/>
            </w:pPr>
            <w:r>
              <w:t xml:space="preserve">예. 제1116호로 산정한 이자 → ① 재무</w:t>
            </w:r>
          </w:p>
        </w:tc>
      </w:tr>
      <w:tr>
        <w:tc>
          <w:tcPr>
            <w:tcW w:type="dxa" w:w="759"/>
          </w:tcPr>
          <w:p>
            <w:pPr>
              <w:pStyle w:val="Compact"/>
            </w:pPr>
            <w:r>
              <w:t xml:space="preserve">3</w:t>
            </w:r>
          </w:p>
        </w:tc>
        <w:tc>
          <w:tcPr>
            <w:tcW w:type="dxa" w:w="3191"/>
          </w:tcPr>
          <w:p>
            <w:pPr>
              <w:pStyle w:val="Compact"/>
            </w:pPr>
            <w:r>
              <w:t xml:space="preserve">고객 금융제공이나 자산 투자가 주된 사업활동인가 (문단 49, B32⑶, B48⑶, 58)</w:t>
            </w:r>
          </w:p>
        </w:tc>
        <w:tc>
          <w:tcPr>
            <w:tcW w:type="dxa" w:w="1771"/>
          </w:tcPr>
          <w:p>
            <w:pPr>
              <w:pStyle w:val="Compact"/>
            </w:pPr>
            <w:r>
              <w:t xml:space="preserve">해당 자산 손익은 영업 범주</w:t>
            </w:r>
          </w:p>
        </w:tc>
        <w:tc>
          <w:tcPr>
            <w:tcW w:type="dxa" w:w="1449"/>
          </w:tcPr>
          <w:p>
            <w:pPr>
              <w:pStyle w:val="Compact"/>
            </w:pPr>
            <w:r>
              <w:t xml:space="preserve">4단계로</w:t>
            </w:r>
          </w:p>
        </w:tc>
        <w:tc>
          <w:tcPr>
            <w:tcW w:type="dxa" w:w="2467"/>
          </w:tcPr>
          <w:p>
            <w:pPr>
              <w:pStyle w:val="Compact"/>
            </w:pPr>
            <w:r>
              <w:t xml:space="preserve">아니오(부수적 전대, 인터뷰 답변)</w:t>
            </w:r>
          </w:p>
        </w:tc>
      </w:tr>
      <w:tr>
        <w:tc>
          <w:tcPr>
            <w:tcW w:type="dxa" w:w="759"/>
          </w:tcPr>
          <w:p>
            <w:pPr>
              <w:pStyle w:val="Compact"/>
            </w:pPr>
            <w:r>
              <w:t xml:space="preserve">4</w:t>
            </w:r>
          </w:p>
        </w:tc>
        <w:tc>
          <w:tcPr>
            <w:tcW w:type="dxa" w:w="3191"/>
          </w:tcPr>
          <w:p>
            <w:pPr>
              <w:pStyle w:val="Compact"/>
            </w:pPr>
            <w:r>
              <w:t xml:space="preserve">자산을 제거하며 생긴 손익인가 (문단 B60)</w:t>
            </w:r>
          </w:p>
        </w:tc>
        <w:tc>
          <w:tcPr>
            <w:tcW w:type="dxa" w:w="1771"/>
          </w:tcPr>
          <w:p>
            <w:pPr>
              <w:pStyle w:val="Compact"/>
            </w:pPr>
            <w:r>
              <w:t xml:space="preserve">제거 직전 그 자산 손익의 범주를 따름</w:t>
            </w:r>
          </w:p>
        </w:tc>
        <w:tc>
          <w:tcPr>
            <w:tcW w:type="dxa" w:w="1449"/>
          </w:tcPr>
          <w:p>
            <w:pPr>
              <w:pStyle w:val="Compact"/>
            </w:pPr>
            <w:r>
              <w:t xml:space="preserve">5단계로</w:t>
            </w:r>
          </w:p>
        </w:tc>
        <w:tc>
          <w:tcPr>
            <w:tcW w:type="dxa" w:w="2467"/>
          </w:tcPr>
          <w:p>
            <w:pPr>
              <w:pStyle w:val="Compact"/>
            </w:pPr>
            <w:r>
              <w:t xml:space="preserve">③ 예. 직전 자가사용·영업용(가정 1·2) → 영업</w:t>
            </w:r>
          </w:p>
        </w:tc>
      </w:tr>
      <w:tr>
        <w:tc>
          <w:tcPr>
            <w:tcW w:type="dxa" w:w="759"/>
          </w:tcPr>
          <w:p>
            <w:pPr>
              <w:pStyle w:val="Compact"/>
            </w:pPr>
            <w:r>
              <w:t xml:space="preserve">5</w:t>
            </w:r>
          </w:p>
        </w:tc>
        <w:tc>
          <w:tcPr>
            <w:tcW w:type="dxa" w:w="3191"/>
          </w:tcPr>
          <w:p>
            <w:pPr>
              <w:pStyle w:val="Compact"/>
            </w:pPr>
            <w:r>
              <w:t xml:space="preserve">손익을 낳은 자산이 단독으로, 다른 자원과 대부분 독립적으로 수익을 내는가 (문단 53⑶, B46, B48)</w:t>
            </w:r>
          </w:p>
        </w:tc>
        <w:tc>
          <w:tcPr>
            <w:tcW w:type="dxa" w:w="1771"/>
          </w:tcPr>
          <w:p>
            <w:pPr>
              <w:pStyle w:val="Compact"/>
            </w:pPr>
            <w:r>
              <w:t xml:space="preserve">투자 범주</w:t>
            </w:r>
          </w:p>
        </w:tc>
        <w:tc>
          <w:tcPr>
            <w:tcW w:type="dxa" w:w="1449"/>
          </w:tcPr>
          <w:p>
            <w:pPr>
              <w:pStyle w:val="Compact"/>
            </w:pPr>
            <w:r>
              <w:t xml:space="preserve">영업 범주(문단 B49, 52)</w:t>
            </w:r>
          </w:p>
        </w:tc>
        <w:tc>
          <w:tcPr>
            <w:tcW w:type="dxa" w:w="2467"/>
          </w:tcPr>
          <w:p>
            <w:pPr>
              <w:pStyle w:val="Compact"/>
            </w:pPr>
            <w:r>
              <w:t xml:space="preserve">② 전대리스 순투자: 예(해석 견해) → 투자 / ④ 사용권자산: 아니오 → 영업</w:t>
            </w:r>
          </w:p>
        </w:tc>
      </w:tr>
    </w:tbl>
    <w:bookmarkEnd w:id="23"/>
    <w:bookmarkStart w:id="60" w:name="검토-의견"/>
    <w:p>
      <w:pPr>
        <w:pStyle w:val="Heading1"/>
      </w:pPr>
      <w:r>
        <w:t xml:space="preserve">5. 검토 의견</w:t>
      </w:r>
    </w:p>
    <w:bookmarkStart w:id="28" w:name="결론도출근거-bc198199는-실제로-무엇을-말하는가"/>
    <w:p>
      <w:pPr>
        <w:pStyle w:val="Heading2"/>
      </w:pPr>
      <w:r>
        <w:t xml:space="preserve">5-1. 결론도출근거 BC198~199는 실제로 무엇을 말하는가</w:t>
      </w:r>
    </w:p>
    <w:p>
      <w:pPr>
        <w:pStyle w:val="FirstParagraph"/>
      </w:pPr>
      <w:r>
        <w:rPr>
          <w:b/>
          <w:bCs/>
        </w:rPr>
        <w:t xml:space="preserve">가. 관련 기준</w:t>
      </w:r>
    </w:p>
    <w:p>
      <w:pPr>
        <w:pStyle w:val="BlockText"/>
      </w:pPr>
      <w:r>
        <w:rPr>
          <w:b/>
          <w:bCs/>
        </w:rPr>
        <w:t xml:space="preserve">기업회계기준서 제1118호 문단 BC198</w:t>
      </w:r>
      <w:r>
        <w:br/>
      </w:r>
      <w:r>
        <w:t xml:space="preserve">중간리스제공자는 다른 당사자로부터 리스한 자산을 전대한다. IASB는 중간리스제공자가 리스부채에 대한 이자비용을 재무 범주 대신 영업 범주로 분류해야 하는지를 고려하였다. 전대리스가 금융리스인 경우 전대채권에 대한 금융수익과 리스부채에 대한 이자비용의 차이가 중간리스제공자의 영업성과의 주요 측정치가 될 수 있다.</w:t>
      </w:r>
      <w:r>
        <w:rPr>
          <w:rStyle w:val="FootnoteReference"/>
        </w:rPr>
        <w:footnoteReference w:id="24"/>
      </w:r>
    </w:p>
    <w:p>
      <w:pPr>
        <w:pStyle w:val="BlockText"/>
      </w:pPr>
      <w:r>
        <w:rPr>
          <w:b/>
          <w:bCs/>
        </w:rPr>
        <w:t xml:space="preserve">기업회계기준서 제1118호 문단 BC199</w:t>
      </w:r>
      <w:r>
        <w:br/>
      </w:r>
      <w:r>
        <w:t xml:space="preserve">IASB는 중간리스제공자에 대한 특정 요구사항을 개발하지 않기로 결정하였다. 그러한 기업은 리스부채에 대한 수익 및 비용을 재무 범주로 분류해야 한다. 연구 및 이해관계자와의 토론에서는 전대리스 채권에 대한 금융수익과 리스부채에 대한 이자비용의 차이는 일반적으로 다음과 같은 이유로 많은 중간리스제공자의 주요 성과측정치가 아닌 것으로 나타났다.</w:t>
      </w:r>
      <w:r>
        <w:br/>
      </w:r>
      <w:r>
        <w:t xml:space="preserve">⑴ 전대리스는 일반적으로 금융 전대리스가 아니라 운용 전대리스이다.</w:t>
      </w:r>
      <w:r>
        <w:br/>
      </w:r>
      <w:r>
        <w:t xml:space="preserve">⑵ 전대리스는 일반적으로 금융 전대리스를 하는 중간리스제공자의 주된 사업활동이 아니다. 금융 전대리스는 대부분 미사용중인 사무실 공간과 같은 자산과 관련이 있다.</w:t>
      </w:r>
      <w:r>
        <w:rPr>
          <w:rStyle w:val="FootnoteReference"/>
        </w:rPr>
        <w:footnoteReference w:id="25"/>
      </w:r>
    </w:p>
    <w:p>
      <w:pPr>
        <w:pStyle w:val="FirstParagraph"/>
      </w:pPr>
      <w:r>
        <w:rPr>
          <w:b/>
          <w:bCs/>
        </w:rPr>
        <w:t xml:space="preserve">나. 기준의 취지</w:t>
      </w:r>
    </w:p>
    <w:p>
      <w:pPr>
        <w:pStyle w:val="Compact"/>
        <w:numPr>
          <w:ilvl w:val="0"/>
          <w:numId w:val="1008"/>
        </w:numPr>
      </w:pPr>
      <w:r>
        <w:t xml:space="preserve">IASB는 금융 전대리스의 이자 차익(전대채권 금융수익과 리스부채 이자비용의 차이)을 영업성과로 볼 수 있는지 검토했습니다.</w:t>
      </w:r>
      <w:r>
        <w:rPr>
          <w:rStyle w:val="FootnoteReference"/>
        </w:rPr>
        <w:footnoteReference w:id="26"/>
      </w:r>
    </w:p>
    <w:p>
      <w:pPr>
        <w:pStyle w:val="Compact"/>
        <w:numPr>
          <w:ilvl w:val="0"/>
          <w:numId w:val="1008"/>
        </w:numPr>
      </w:pPr>
      <w:r>
        <w:t xml:space="preserve">그러나 그 차익은 대부분의 중간리스제공자에게 주요 성과측정치가 아니라고 보았습니다. 그래서 특례를 두지 않고, 리스부채 손익에 일반 원칙(재무 범주)을 그대로 적용하기로 했습니다.</w:t>
      </w:r>
      <w:r>
        <w:rPr>
          <w:rStyle w:val="FootnoteReference"/>
        </w:rPr>
        <w:footnoteReference w:id="27"/>
      </w:r>
    </w:p>
    <w:p>
      <w:pPr>
        <w:pStyle w:val="Compact"/>
        <w:numPr>
          <w:ilvl w:val="0"/>
          <w:numId w:val="1008"/>
        </w:numPr>
      </w:pPr>
      <w:r>
        <w:t xml:space="preserve">결론도출근거는 기준서 본문이 아닙니다. 따라서 이 결론의 근거 조문은 본문 문단 61, B53⑶, B54⑶입니다(5-2 참조).</w:t>
      </w:r>
    </w:p>
    <w:p>
      <w:pPr>
        <w:pStyle w:val="FirstParagraph"/>
      </w:pPr>
      <w:r>
        <w:rPr>
          <w:b/>
          <w:bCs/>
        </w:rPr>
        <w:t xml:space="preserve">다. 본건 적용</w:t>
      </w:r>
    </w:p>
    <w:p>
      <w:pPr>
        <w:pStyle w:val="Compact"/>
        <w:numPr>
          <w:ilvl w:val="0"/>
          <w:numId w:val="1009"/>
        </w:numPr>
      </w:pPr>
      <w:r>
        <w:t xml:space="preserve">대상 범위: BC199가 재무 범주로 정한 것은</w:t>
      </w:r>
      <w:r>
        <w:t xml:space="preserve"> </w:t>
      </w:r>
      <w:r>
        <w:t xml:space="preserve">“리스부채에 대한 수익 및 비용”</w:t>
      </w:r>
      <w:r>
        <w:t xml:space="preserve">, 즉 항목 ①입니다.</w:t>
      </w:r>
    </w:p>
    <w:p>
      <w:pPr>
        <w:pStyle w:val="Compact"/>
        <w:numPr>
          <w:ilvl w:val="0"/>
          <w:numId w:val="1009"/>
        </w:numPr>
      </w:pPr>
      <w:r>
        <w:t xml:space="preserve">항목 ②: 전대채권의 금융수익은 ’차이’를 이루는 한쪽 항목으로만 언급됩니다. 그 범주를 재무로 정한 문장은 없습니다.</w:t>
      </w:r>
    </w:p>
    <w:p>
      <w:pPr>
        <w:pStyle w:val="Compact"/>
        <w:numPr>
          <w:ilvl w:val="0"/>
          <w:numId w:val="1009"/>
        </w:numPr>
      </w:pPr>
      <w:r>
        <w:t xml:space="preserve">항목 ③·④: 처분손익과 감가상각비는 BC198~199에서 다루지 않습니다.</w:t>
      </w:r>
    </w:p>
    <w:p>
      <w:pPr>
        <w:pStyle w:val="Compact"/>
        <w:numPr>
          <w:ilvl w:val="0"/>
          <w:numId w:val="1009"/>
        </w:numPr>
      </w:pPr>
      <w:r>
        <w:t xml:space="preserve">사실관계 비교: 본건 전대는 주된 사업활동이 아니고, 유휴 공간·자산을 처리하는 성격입니다(인터뷰 답변). BC199⑵가 묘사한 전형과 같습니다.</w:t>
      </w:r>
    </w:p>
    <w:p>
      <w:pPr>
        <w:pStyle w:val="FirstParagraph"/>
      </w:pPr>
      <w:r>
        <w:rPr>
          <w:b/>
          <w:bCs/>
        </w:rPr>
        <w:t xml:space="preserve">라. 소결</w:t>
      </w:r>
      <w:r>
        <w:br/>
      </w:r>
      <w:r>
        <w:t xml:space="preserve">BC198~199가 확인해 주는 것은 상위리스 리스부채 이자비용이 재무 범주라는 점뿐입니다. 나머지 세 항목은 손익을 낳은 자산의 성격으로 따로 판단해야 합니다. — 확정도: 확정</w:t>
      </w:r>
    </w:p>
    <w:bookmarkEnd w:id="28"/>
    <w:bookmarkStart w:id="35" w:name="상위리스-리스부채-이자비용전대-리스-이자비용은-어느-범주인가"/>
    <w:p>
      <w:pPr>
        <w:pStyle w:val="Heading2"/>
      </w:pPr>
      <w:r>
        <w:t xml:space="preserve">5-2. 상위리스 리스부채 이자비용(</w:t>
      </w:r>
      <w:r>
        <w:t xml:space="preserve">‘전대 리스 이자비용’</w:t>
      </w:r>
      <w:r>
        <w:t xml:space="preserve">)은 어느 범주인가</w:t>
      </w:r>
    </w:p>
    <w:p>
      <w:pPr>
        <w:pStyle w:val="FirstParagraph"/>
      </w:pPr>
      <w:r>
        <w:rPr>
          <w:b/>
          <w:bCs/>
        </w:rPr>
        <w:t xml:space="preserve">가. 관련 기준</w:t>
      </w:r>
    </w:p>
    <w:p>
      <w:pPr>
        <w:pStyle w:val="BlockText"/>
      </w:pPr>
      <w:r>
        <w:rPr>
          <w:b/>
          <w:bCs/>
        </w:rPr>
        <w:t xml:space="preserve">기업회계기준서 제1118호 문단 61</w:t>
      </w:r>
      <w:r>
        <w:br/>
      </w:r>
      <w:r>
        <w:t xml:space="preserve">문단 59⑵에 명시된 부채(즉, 자금조달에만 관련되지는 않는 거래에서 발생하는 부채)의 경우, 문단 63~64에 정한 경우를 제외하고 다음을 재무 범주로 분류한다.</w:t>
      </w:r>
      <w:r>
        <w:br/>
      </w:r>
      <w:r>
        <w:t xml:space="preserve">⑴ 이자수익과 이자비용. 단, 기업이 한국채택국제회계기준의 다른 요구사항을 적용하기 위해 이러한 수익과 비용을 식별하는 경우에 한함 (중략)</w:t>
      </w:r>
      <w:r>
        <w:rPr>
          <w:rStyle w:val="FootnoteReference"/>
        </w:rPr>
        <w:footnoteReference w:id="29"/>
      </w:r>
    </w:p>
    <w:p>
      <w:pPr>
        <w:pStyle w:val="BlockText"/>
      </w:pPr>
      <w:r>
        <w:rPr>
          <w:b/>
          <w:bCs/>
        </w:rPr>
        <w:t xml:space="preserve">기업회계기준서 제1118호 문단 B53</w:t>
      </w:r>
      <w:r>
        <w:t xml:space="preserve"> </w:t>
      </w:r>
      <w:r>
        <w:t xml:space="preserve">(발췌)</w:t>
      </w:r>
      <w:r>
        <w:br/>
      </w:r>
      <w:r>
        <w:t xml:space="preserve">(중략) ⑶ 리스 부채. 기업은 문단 B50⑴에 기술된 형태의 금융을 제공받는 것이 아니라 사용권자산을 제공받는다. (중략)</w:t>
      </w:r>
      <w:r>
        <w:rPr>
          <w:rStyle w:val="FootnoteReference"/>
        </w:rPr>
        <w:footnoteReference w:id="30"/>
      </w:r>
    </w:p>
    <w:p>
      <w:pPr>
        <w:pStyle w:val="BlockText"/>
      </w:pPr>
      <w:r>
        <w:rPr>
          <w:b/>
          <w:bCs/>
        </w:rPr>
        <w:t xml:space="preserve">기업회계기준서 제1118호 문단 B54</w:t>
      </w:r>
      <w:r>
        <w:t xml:space="preserve"> </w:t>
      </w:r>
      <w:r>
        <w:t xml:space="preserve">(발췌)</w:t>
      </w:r>
      <w:r>
        <w:br/>
      </w:r>
      <w:r>
        <w:t xml:space="preserve">(중략) ⑶ 기업회계기준서 제1116호에 따른 리스부채의 이자비용 (중략)</w:t>
      </w:r>
      <w:r>
        <w:rPr>
          <w:rStyle w:val="FootnoteReference"/>
        </w:rPr>
        <w:footnoteReference w:id="31"/>
      </w:r>
    </w:p>
    <w:p>
      <w:pPr>
        <w:pStyle w:val="BlockText"/>
      </w:pPr>
      <w:r>
        <w:rPr>
          <w:b/>
          <w:bCs/>
        </w:rPr>
        <w:t xml:space="preserve">기업회계기준서 제1116호 문단 IE8 사례 20</w:t>
      </w:r>
      <w:r>
        <w:t xml:space="preserve"> </w:t>
      </w:r>
      <w:r>
        <w:t xml:space="preserve">(발췌)</w:t>
      </w:r>
      <w:r>
        <w:br/>
      </w:r>
      <w:r>
        <w:t xml:space="preserve">상위리스제공자에게 지급하는 리스료를 나타내는 상위리스 관련 리스부채를 재무상태표에 유지한다. (중략) 전대리스 기간에 중간리스제공자는 전대리스의 금융수익과 상위리스의 이자비용을 모두 인식한다.</w:t>
      </w:r>
      <w:r>
        <w:rPr>
          <w:rStyle w:val="FootnoteReference"/>
        </w:rPr>
        <w:footnoteReference w:id="32"/>
      </w:r>
    </w:p>
    <w:p>
      <w:pPr>
        <w:pStyle w:val="FirstParagraph"/>
      </w:pPr>
      <w:r>
        <w:rPr>
          <w:b/>
          <w:bCs/>
        </w:rPr>
        <w:t xml:space="preserve">나. 기준의 취지</w:t>
      </w:r>
    </w:p>
    <w:p>
      <w:pPr>
        <w:pStyle w:val="Compact"/>
        <w:numPr>
          <w:ilvl w:val="0"/>
          <w:numId w:val="1010"/>
        </w:numPr>
      </w:pPr>
      <w:r>
        <w:t xml:space="preserve">리스부채는 자금조달에만 관련된 부채가 아닙니다. 영업·투자 활동에 쓰이면서 금융도 함께 제공하는 거래에서 생긴 부채입니다.</w:t>
      </w:r>
    </w:p>
    <w:p>
      <w:pPr>
        <w:pStyle w:val="Compact"/>
        <w:numPr>
          <w:ilvl w:val="0"/>
          <w:numId w:val="1010"/>
        </w:numPr>
      </w:pPr>
      <w:r>
        <w:t xml:space="preserve">그래서 손익 전체가 아니라 자금조달 성격을 가진 이자 부분만 재무 범주로 보냅니다.</w:t>
      </w:r>
      <w:r>
        <w:rPr>
          <w:rStyle w:val="FootnoteReference"/>
        </w:rPr>
        <w:footnoteReference w:id="33"/>
      </w:r>
    </w:p>
    <w:p>
      <w:pPr>
        <w:pStyle w:val="Compact"/>
        <w:numPr>
          <w:ilvl w:val="0"/>
          <w:numId w:val="1010"/>
        </w:numPr>
      </w:pPr>
      <w:r>
        <w:t xml:space="preserve">중간리스제공자에게 특례를 두지 않은 것도 이 원칙을 그대로 유지하려는 것입니다.</w:t>
      </w:r>
      <w:r>
        <w:rPr>
          <w:rStyle w:val="FootnoteReference"/>
        </w:rPr>
        <w:footnoteReference w:id="34"/>
      </w:r>
    </w:p>
    <w:p>
      <w:pPr>
        <w:pStyle w:val="FirstParagraph"/>
      </w:pPr>
      <w:r>
        <w:rPr>
          <w:b/>
          <w:bCs/>
        </w:rPr>
        <w:t xml:space="preserve">다. 본건 적용</w:t>
      </w:r>
    </w:p>
    <w:p>
      <w:pPr>
        <w:pStyle w:val="Compact"/>
        <w:numPr>
          <w:ilvl w:val="0"/>
          <w:numId w:val="1011"/>
        </w:numPr>
      </w:pPr>
      <w:r>
        <w:t xml:space="preserve">요건 ⑴ 59⑵ 부채인가 → 상위리스 리스부채는 B53⑶에 열거된 부채입니다(제공된 사실). 충족합니다.</w:t>
      </w:r>
    </w:p>
    <w:p>
      <w:pPr>
        <w:pStyle w:val="Compact"/>
        <w:numPr>
          <w:ilvl w:val="0"/>
          <w:numId w:val="1011"/>
        </w:numPr>
      </w:pPr>
      <w:r>
        <w:t xml:space="preserve">요건 ⑵ 다른 기준서를 적용하기 위해 이자를 식별하는가 → 제1116호에 따라 리스부채 이자를 산정합니다. 충족합니다.</w:t>
      </w:r>
    </w:p>
    <w:p>
      <w:pPr>
        <w:pStyle w:val="Compact"/>
        <w:numPr>
          <w:ilvl w:val="0"/>
          <w:numId w:val="1011"/>
        </w:numPr>
      </w:pPr>
      <w:r>
        <w:t xml:space="preserve">전대 뒤 리스부채의 처리 → 상위리스 리스부채는 전대 뒤에도 재무상태표에 그대로 남습니다. 따라서 이자를 전대한 부분과 전대하지 않은 부분으로 나눌 필요가 없습니다.</w:t>
      </w:r>
    </w:p>
    <w:p>
      <w:pPr>
        <w:pStyle w:val="Compact"/>
        <w:numPr>
          <w:ilvl w:val="0"/>
          <w:numId w:val="1011"/>
        </w:numPr>
      </w:pPr>
      <w:r>
        <w:t xml:space="preserve">특례 적용 여부 → 고객 금융제공 기업의 특례는 적용되지 않습니다(인터뷰 답변, 가정 4).</w:t>
      </w:r>
    </w:p>
    <w:p>
      <w:pPr>
        <w:pStyle w:val="FirstParagraph"/>
      </w:pPr>
      <w:r>
        <w:rPr>
          <w:b/>
          <w:bCs/>
        </w:rPr>
        <w:t xml:space="preserve">라. 소결</w:t>
      </w:r>
      <w:r>
        <w:br/>
      </w:r>
      <w:r>
        <w:t xml:space="preserve">상위리스 리스부채 이자비용은 전대 여부와 관계없이 전액 재무 범주입니다. — 확정도: 확정</w:t>
      </w:r>
    </w:p>
    <w:bookmarkEnd w:id="35"/>
    <w:bookmarkStart w:id="46" w:name="전대리스-순투자-이자수익전대-리스-이자수익은-어느-범주인가"/>
    <w:p>
      <w:pPr>
        <w:pStyle w:val="Heading2"/>
      </w:pPr>
      <w:r>
        <w:t xml:space="preserve">5-3. 전대리스 순투자 이자수익(</w:t>
      </w:r>
      <w:r>
        <w:t xml:space="preserve">‘전대 리스 이자수익’</w:t>
      </w:r>
      <w:r>
        <w:t xml:space="preserve">)은 어느 범주인가</w:t>
      </w:r>
    </w:p>
    <w:p>
      <w:pPr>
        <w:pStyle w:val="FirstParagraph"/>
      </w:pPr>
      <w:r>
        <w:rPr>
          <w:b/>
          <w:bCs/>
        </w:rPr>
        <w:t xml:space="preserve">가. 관련 기준</w:t>
      </w:r>
      <w:r>
        <w:br/>
      </w:r>
      <w:r>
        <w:t xml:space="preserve">기준서 직접 규정은 없습니다. 고객 금융제공을 주된 사업활동으로 하지 않는 리스제공자가 리스순투자에서 얻는 금융수익의 범주는 기준서에 따로 정해져 있지 않습니다. 아래 일반 원칙에 더해 다음 자료에 기댑니다.</w:t>
      </w:r>
    </w:p>
    <w:p>
      <w:pPr>
        <w:pStyle w:val="Compact"/>
        <w:numPr>
          <w:ilvl w:val="0"/>
          <w:numId w:val="1012"/>
        </w:numPr>
      </w:pPr>
      <w:r>
        <w:t xml:space="preserve">회계위키 실무해설이 소개하는 대형 회계법인 제안 견해입니다(비공식이며, 스스로 확정 결론이 아니라고 밝힘). 이 견해는 리스순투자를 단독으로 수익을 내는 자산으로 보아 그 금융수익을 투자 범주로 분류합니다. 이 사실관계에 대한 회계기준원 정착지원 TF나 IFRS 해석위원회의 결론은 없습니다.</w:t>
      </w:r>
      <w:r>
        <w:rPr>
          <w:rStyle w:val="FootnoteReference"/>
        </w:rPr>
        <w:footnoteReference w:id="36"/>
      </w:r>
    </w:p>
    <w:p>
      <w:pPr>
        <w:pStyle w:val="BlockText"/>
      </w:pPr>
      <w:r>
        <w:rPr>
          <w:b/>
          <w:bCs/>
        </w:rPr>
        <w:t xml:space="preserve">기업회계기준서 제1116호 문단 67</w:t>
      </w:r>
      <w:r>
        <w:br/>
      </w:r>
      <w:r>
        <w:t xml:space="preserve">리스제공자는 리스개시일에 금융리스에 따라 보유하는 자산을 재무상태표에 인식하고 그 자산을 리스순투자와 동일한 금액의 수취채권으로 표시한다.</w:t>
      </w:r>
      <w:r>
        <w:rPr>
          <w:rStyle w:val="FootnoteReference"/>
        </w:rPr>
        <w:footnoteReference w:id="37"/>
      </w:r>
    </w:p>
    <w:p>
      <w:pPr>
        <w:pStyle w:val="BlockText"/>
      </w:pPr>
      <w:r>
        <w:rPr>
          <w:b/>
          <w:bCs/>
        </w:rPr>
        <w:t xml:space="preserve">기업회계기준서 제1116호 문단 75</w:t>
      </w:r>
      <w:r>
        <w:br/>
      </w:r>
      <w:r>
        <w:t xml:space="preserve">리스제공자는 자신의 리스순투자 금액에 일정한 기간수익률을 반영하는 방식으로 리스기간에 걸쳐 금융수익을 인식한다.</w:t>
      </w:r>
      <w:r>
        <w:rPr>
          <w:rStyle w:val="FootnoteReference"/>
        </w:rPr>
        <w:footnoteReference w:id="38"/>
      </w:r>
    </w:p>
    <w:p>
      <w:pPr>
        <w:pStyle w:val="BlockText"/>
      </w:pPr>
      <w:r>
        <w:rPr>
          <w:b/>
          <w:bCs/>
        </w:rPr>
        <w:t xml:space="preserve">기업회계기준서 제1118호 문단 53</w:t>
      </w:r>
      <w:r>
        <w:t xml:space="preserve"> </w:t>
      </w:r>
      <w:r>
        <w:t xml:space="preserve">(발췌)</w:t>
      </w:r>
      <w:r>
        <w:br/>
      </w:r>
      <w:r>
        <w:t xml:space="preserve">특정한 주된 사업활동을 하는 기업에 대해 문단 55~58에서 요구하는 경우를 제외하고, 문단 54에서 명시한 대로 다음 자산에서 발생하는 수익과 비용을 투자 범주로 분류한다. (중략)</w:t>
      </w:r>
      <w:r>
        <w:br/>
      </w:r>
      <w:r>
        <w:t xml:space="preserve">⑶ 개별적으로 그리고 기업의 다른 자원과 대부분 독립적으로 수익을 창출하는 기타 자산(문단 B45-B49 참조)</w:t>
      </w:r>
      <w:r>
        <w:rPr>
          <w:rStyle w:val="FootnoteReference"/>
        </w:rPr>
        <w:footnoteReference w:id="39"/>
      </w:r>
    </w:p>
    <w:p>
      <w:pPr>
        <w:pStyle w:val="BlockText"/>
      </w:pPr>
      <w:r>
        <w:rPr>
          <w:b/>
          <w:bCs/>
        </w:rPr>
        <w:t xml:space="preserve">기업회계기준서 제1118호 문단 54</w:t>
      </w:r>
      <w:r>
        <w:t xml:space="preserve"> </w:t>
      </w:r>
      <w:r>
        <w:t xml:space="preserve">(발췌)</w:t>
      </w:r>
      <w:r>
        <w:br/>
      </w:r>
      <w:r>
        <w:t xml:space="preserve">⑴ 자산에서 발생한 수익</w:t>
      </w:r>
      <w:r>
        <w:br/>
      </w:r>
      <w:r>
        <w:t xml:space="preserve">⑵ 자산의 최초 측정 및 자산 제거를 포함한 후속 측정에서 발생한 수익과 비용 (중략)</w:t>
      </w:r>
      <w:r>
        <w:rPr>
          <w:rStyle w:val="FootnoteReference"/>
        </w:rPr>
        <w:footnoteReference w:id="40"/>
      </w:r>
    </w:p>
    <w:p>
      <w:pPr>
        <w:pStyle w:val="BlockText"/>
      </w:pPr>
      <w:r>
        <w:rPr>
          <w:b/>
          <w:bCs/>
        </w:rPr>
        <w:t xml:space="preserve">기업회계기준서 제1118호 문단 B46</w:t>
      </w:r>
      <w:r>
        <w:t xml:space="preserve"> </w:t>
      </w:r>
      <w:r>
        <w:t xml:space="preserve">(발췌)</w:t>
      </w:r>
      <w:r>
        <w:br/>
      </w:r>
      <w:r>
        <w:t xml:space="preserve">문단 53⑶에서 개별적으로 그리고 기업의 다른 자원과 대부분 독립적으로 수익을 창출하는 자산은 일반적으로 다음을 포함한다.</w:t>
      </w:r>
      <w:r>
        <w:br/>
      </w:r>
      <w:r>
        <w:t xml:space="preserve">⑴ 채무상품 또는 지분상품 (중략)</w:t>
      </w:r>
      <w:r>
        <w:rPr>
          <w:rStyle w:val="FootnoteReference"/>
        </w:rPr>
        <w:footnoteReference w:id="41"/>
      </w:r>
    </w:p>
    <w:p>
      <w:pPr>
        <w:pStyle w:val="BlockText"/>
      </w:pPr>
      <w:r>
        <w:rPr>
          <w:b/>
          <w:bCs/>
        </w:rPr>
        <w:t xml:space="preserve">기업회계기준서 제1118호 문단 44</w:t>
      </w:r>
      <w:r>
        <w:br/>
      </w:r>
      <w:r>
        <w:t xml:space="preserve">한국채택국제회계기준서에서 요구하거나 허용하지 않으면 자산과 부채 또는 수익과 비용은 상계하지 아니한다 (이하 생략)</w:t>
      </w:r>
      <w:r>
        <w:rPr>
          <w:rStyle w:val="FootnoteReference"/>
        </w:rPr>
        <w:footnoteReference w:id="42"/>
      </w:r>
    </w:p>
    <w:p>
      <w:pPr>
        <w:pStyle w:val="FirstParagraph"/>
      </w:pPr>
      <w:r>
        <w:rPr>
          <w:b/>
          <w:bCs/>
        </w:rPr>
        <w:t xml:space="preserve">나. 기준의 취지</w:t>
      </w:r>
    </w:p>
    <w:p>
      <w:pPr>
        <w:pStyle w:val="Compact"/>
        <w:numPr>
          <w:ilvl w:val="0"/>
          <w:numId w:val="1013"/>
        </w:numPr>
      </w:pPr>
      <w:r>
        <w:t xml:space="preserve">결론도출근거는 단독으로 수익을 내는 자산의 전형으로 채무상품·지분상품 투자를 듭니다.</w:t>
      </w:r>
    </w:p>
    <w:p>
      <w:pPr>
        <w:pStyle w:val="Compact"/>
        <w:numPr>
          <w:ilvl w:val="0"/>
          <w:numId w:val="1013"/>
        </w:numPr>
      </w:pPr>
      <w:r>
        <w:t xml:space="preserve">이런 자산은 두 부류와 구별됩니다. 하나는 제조설비처럼 다른 자원과 결합해야 수익을 내는 자산입니다. 다른 하나는 영업 거래에서 생긴 채권처럼 따로 수익을 내더라도 다른 자원과 대부분 독립적이지는 않은 자산입니다.</w:t>
      </w:r>
      <w:r>
        <w:rPr>
          <w:rStyle w:val="FootnoteReference"/>
        </w:rPr>
        <w:footnoteReference w:id="43"/>
      </w:r>
    </w:p>
    <w:p>
      <w:pPr>
        <w:pStyle w:val="Compact"/>
        <w:numPr>
          <w:ilvl w:val="0"/>
          <w:numId w:val="1013"/>
        </w:numPr>
      </w:pPr>
      <w:r>
        <w:t xml:space="preserve">재무 범주는 문단 59~61의 구조상 부채에서 생긴 손익만 담습니다. 따라서 자산에서 생긴 이자수익이 재무 범주로 갈 여지는 없습니다.</w:t>
      </w:r>
    </w:p>
    <w:p>
      <w:pPr>
        <w:pStyle w:val="FirstParagraph"/>
      </w:pPr>
      <w:r>
        <w:rPr>
          <w:b/>
          <w:bCs/>
        </w:rPr>
        <w:t xml:space="preserve">다. 본건 적용</w:t>
      </w:r>
    </w:p>
    <w:p>
      <w:pPr>
        <w:pStyle w:val="Compact"/>
        <w:numPr>
          <w:ilvl w:val="0"/>
          <w:numId w:val="1014"/>
        </w:numPr>
      </w:pPr>
      <w:r>
        <w:t xml:space="preserve">재무 범주 해당 여부 → 전대리스 순투자는 수취채권, 즉 자산입니다.</w:t>
      </w:r>
      <w:r>
        <w:rPr>
          <w:rStyle w:val="FootnoteReference"/>
        </w:rPr>
        <w:footnoteReference w:id="44"/>
      </w:r>
      <w:r>
        <w:t xml:space="preserve"> </w:t>
      </w:r>
      <w:r>
        <w:t xml:space="preserve">재무 범주는 부채 손익에 한정되므로 해당하지 않습니다(확정). 리스부채 이자와 상계해 순액으로 표시하는 것도 문단 44에 따라 허용되지 않습니다.</w:t>
      </w:r>
    </w:p>
    <w:p>
      <w:pPr>
        <w:pStyle w:val="Compact"/>
        <w:numPr>
          <w:ilvl w:val="0"/>
          <w:numId w:val="1014"/>
        </w:numPr>
      </w:pPr>
      <w:r>
        <w:t xml:space="preserve">영업 거래 채권(B48⑵) 해당 여부 → 이 채권은 회사가 영업에서 재화·용역을 공급해 생긴 채권이 아닙니다. 유휴 자산을 처리하며 생긴 채권입니다(인터뷰 답변). 따라서 해당하지 않습니다.</w:t>
      </w:r>
    </w:p>
    <w:p>
      <w:pPr>
        <w:pStyle w:val="Compact"/>
        <w:numPr>
          <w:ilvl w:val="0"/>
          <w:numId w:val="1014"/>
        </w:numPr>
      </w:pPr>
      <w:r>
        <w:t xml:space="preserve">고객 금융제공 사업의 대출(B48⑶) 해당 여부 → 주된 사업활동으로 고객에게 금융을 제공하는 경우가 아니므로 해당하지 않습니다(인터뷰 답변, 가정 4).</w:t>
      </w:r>
    </w:p>
    <w:p>
      <w:pPr>
        <w:pStyle w:val="Compact"/>
        <w:numPr>
          <w:ilvl w:val="0"/>
          <w:numId w:val="1014"/>
        </w:numPr>
      </w:pPr>
      <w:r>
        <w:t xml:space="preserve">53⑶ 자산 해당 여부 → 개시일 뒤 이 채권은 회사의 설비나 인력과 결합하지 않습니다. 정해진 리스료와 이자율에 따라 그 자체로 이자를 냅니다. 따라서 53⑶ 자산으로 보는 해석이 문언과 취지에 부합합니다. 본건은 제안 견해가 다룬 사실관계, 즉 영업에서 빼낸 자산을 금융리스로 제공한 경우와 같습니다.</w:t>
      </w:r>
    </w:p>
    <w:p>
      <w:pPr>
        <w:pStyle w:val="Compact"/>
        <w:numPr>
          <w:ilvl w:val="0"/>
          <w:numId w:val="1014"/>
        </w:numPr>
      </w:pPr>
      <w:r>
        <w:t xml:space="preserve">반대 해석 가능성 → 정착지원 TF의 처분대금 미수금 논의에서 소수 위원은</w:t>
      </w:r>
      <w:r>
        <w:t xml:space="preserve"> </w:t>
      </w:r>
      <w:r>
        <w:t xml:space="preserve">“매각에 딸려 생긴 채권은 53⑶ 자산이 아니라 영업”</w:t>
      </w:r>
      <w:r>
        <w:t xml:space="preserve">이라는 논리를 폈습니다. 이 논리를 리스채권까지 넓히는 견해가 나올 여지는 있습니다. 다만 리스채권을 직접 다룬 공식 자료는 없습니다.</w:t>
      </w:r>
      <w:r>
        <w:rPr>
          <w:rStyle w:val="FootnoteReference"/>
        </w:rPr>
        <w:footnoteReference w:id="45"/>
      </w:r>
    </w:p>
    <w:p>
      <w:pPr>
        <w:pStyle w:val="FirstParagraph"/>
      </w:pPr>
      <w:r>
        <w:rPr>
          <w:b/>
          <w:bCs/>
        </w:rPr>
        <w:t xml:space="preserve">라. 소결</w:t>
      </w:r>
      <w:r>
        <w:br/>
      </w:r>
      <w:r>
        <w:t xml:space="preserve">기본 결론은 투자 범주이며, 재무 범주는 불가합니다. 투자 결론은 기준서 직접 규정이 아닌 해석 견해입니다. 따라서 금액을 별도로 관리하고 공식 논의가 나오면 다시 판단합니다. — 확정도: 해석 견해 / 잠정 자료 의존</w:t>
      </w:r>
    </w:p>
    <w:bookmarkEnd w:id="46"/>
    <w:bookmarkStart w:id="51" w:name="전대-개시일-사용권자산-처분손익은-어느-범주인가"/>
    <w:p>
      <w:pPr>
        <w:pStyle w:val="Heading2"/>
      </w:pPr>
      <w:r>
        <w:t xml:space="preserve">5-4. 전대 개시일 사용권자산 처분손익은 어느 범주인가</w:t>
      </w:r>
    </w:p>
    <w:p>
      <w:pPr>
        <w:pStyle w:val="FirstParagraph"/>
      </w:pPr>
      <w:r>
        <w:rPr>
          <w:b/>
          <w:bCs/>
        </w:rPr>
        <w:t xml:space="preserve">가. 관련 기준</w:t>
      </w:r>
    </w:p>
    <w:p>
      <w:pPr>
        <w:pStyle w:val="BlockText"/>
      </w:pPr>
      <w:r>
        <w:rPr>
          <w:b/>
          <w:bCs/>
        </w:rPr>
        <w:t xml:space="preserve">기업회계기준서 제1118호 문단 B60</w:t>
      </w:r>
      <w:r>
        <w:t xml:space="preserve"> </w:t>
      </w:r>
      <w:r>
        <w:t xml:space="preserve">(발췌)</w:t>
      </w:r>
      <w:r>
        <w:br/>
      </w:r>
      <w:r>
        <w:t xml:space="preserve">(중략) 자산을 제거하거나 매각예정으로 분류할 때 그리고 매각예정으로 분류하는 동안 후속 측정할 때 발생하는 수익과 비용은 자산을 제거하기 직전에 그 자산에서 발생한 수익 및 비용과 동일한 범주로 분류해야 한다. 예를 들면, 손익을 다음과 같이 분류한다.</w:t>
      </w:r>
      <w:r>
        <w:br/>
      </w:r>
      <w:r>
        <w:t xml:space="preserve">⑴ 유형자산 처분에 따른 손익은 영업 범주로 분류한다. (중략)</w:t>
      </w:r>
      <w:r>
        <w:rPr>
          <w:rStyle w:val="FootnoteReference"/>
        </w:rPr>
        <w:footnoteReference w:id="47"/>
      </w:r>
    </w:p>
    <w:p>
      <w:pPr>
        <w:pStyle w:val="BlockText"/>
      </w:pPr>
      <w:r>
        <w:rPr>
          <w:b/>
          <w:bCs/>
        </w:rPr>
        <w:t xml:space="preserve">기업회계기준서 제1116호 문단 IE8 사례 20</w:t>
      </w:r>
      <w:r>
        <w:t xml:space="preserve"> </w:t>
      </w:r>
      <w:r>
        <w:t xml:space="preserve">(발췌)</w:t>
      </w:r>
      <w:r>
        <w:br/>
      </w:r>
      <w:r>
        <w:t xml:space="preserve">전대리스이용자에게 이전하는 상위리스에 관련되는 사용권자산을 제거하고 전대리스 순투자를 인식한다. (중략) 사용권자산과 전대리스 순투자의 모든 차이를 당기손익으로 인식한다.</w:t>
      </w:r>
      <w:r>
        <w:rPr>
          <w:rStyle w:val="FootnoteReference"/>
        </w:rPr>
        <w:footnoteReference w:id="48"/>
      </w:r>
    </w:p>
    <w:p>
      <w:pPr>
        <w:pStyle w:val="BlockText"/>
      </w:pPr>
      <w:r>
        <w:rPr>
          <w:b/>
          <w:bCs/>
        </w:rPr>
        <w:t xml:space="preserve">기업회계기준서 제1040호 문단 5</w:t>
      </w:r>
      <w:r>
        <w:t xml:space="preserve"> </w:t>
      </w:r>
      <w:r>
        <w:t xml:space="preserve">(발췌)</w:t>
      </w:r>
      <w:r>
        <w:br/>
      </w:r>
      <w:r>
        <w:t xml:space="preserve">자가사용부동산: 재화나 용역의 생산 또는 제공이나 관리목적에 사용하기 위하여 소유자가 보유하거나 리스이용자가 사용권자산으로 보유하고 있는 부동산</w:t>
      </w:r>
      <w:r>
        <w:rPr>
          <w:rStyle w:val="FootnoteReference"/>
        </w:rPr>
        <w:footnoteReference w:id="49"/>
      </w:r>
    </w:p>
    <w:p>
      <w:pPr>
        <w:pStyle w:val="FirstParagraph"/>
      </w:pPr>
      <w:r>
        <w:rPr>
          <w:b/>
          <w:bCs/>
        </w:rPr>
        <w:t xml:space="preserve">나. 기준의 취지</w:t>
      </w:r>
      <w:r>
        <w:br/>
      </w:r>
      <w:r>
        <w:t xml:space="preserve">IASB는 자산이나 부채를 제거해 생긴 손익을 그 자산이나 부채에서 생긴 다른 손익과 같은 방식으로 분류한다고 결론 내렸습니다.</w:t>
      </w:r>
      <w:r>
        <w:rPr>
          <w:rStyle w:val="FootnoteReference"/>
        </w:rPr>
        <w:footnoteReference w:id="50"/>
      </w:r>
      <w:r>
        <w:t xml:space="preserve"> </w:t>
      </w:r>
      <w:r>
        <w:t xml:space="preserve">처분손익이 가끔 생긴다는 사정은 범주에 영향을 주지 않습니다.</w:t>
      </w:r>
    </w:p>
    <w:p>
      <w:pPr>
        <w:pStyle w:val="BodyText"/>
      </w:pPr>
      <w:r>
        <w:rPr>
          <w:b/>
          <w:bCs/>
        </w:rPr>
        <w:t xml:space="preserve">다. 본건 적용</w:t>
      </w:r>
    </w:p>
    <w:p>
      <w:pPr>
        <w:pStyle w:val="Compact"/>
        <w:numPr>
          <w:ilvl w:val="0"/>
          <w:numId w:val="1015"/>
        </w:numPr>
      </w:pPr>
      <w:r>
        <w:t xml:space="preserve">손익의 성격 → 금융 전대리스 개시일에 전대 부분의 사용권자산을 제거합니다. 그 장부금액과 전대리스 순투자의 차이를 당기손익으로 인식하므로, 이 손익은 B60의 ’자산 제거 손익’입니다.</w:t>
      </w:r>
    </w:p>
    <w:p>
      <w:pPr>
        <w:pStyle w:val="Compact"/>
        <w:numPr>
          <w:ilvl w:val="0"/>
          <w:numId w:val="1015"/>
        </w:numPr>
      </w:pPr>
      <w:r>
        <w:t xml:space="preserve">부동산 → 전대 직전까지 자가사용부동산이었습니다(제공된 사실, 가정 2). 제거 직전 범주가 영업이므로 처분손익은 영업 범주입니다.</w:t>
      </w:r>
    </w:p>
    <w:p>
      <w:pPr>
        <w:pStyle w:val="Compact"/>
        <w:numPr>
          <w:ilvl w:val="0"/>
          <w:numId w:val="1015"/>
        </w:numPr>
      </w:pPr>
      <w:r>
        <w:t xml:space="preserve">동산 → 전대 직전까지 영업에 썼습니다(가정 1). 영업 범주입니다.</w:t>
      </w:r>
    </w:p>
    <w:p>
      <w:pPr>
        <w:pStyle w:val="Compact"/>
        <w:numPr>
          <w:ilvl w:val="0"/>
          <w:numId w:val="1015"/>
        </w:numPr>
      </w:pPr>
      <w:r>
        <w:t xml:space="preserve">회사 이해와의 비교 → 일반 리스의 사용권자산처분손익을 영업으로 보는 회사의 이해와 일치합니다.</w:t>
      </w:r>
    </w:p>
    <w:p>
      <w:pPr>
        <w:pStyle w:val="FirstParagraph"/>
      </w:pPr>
      <w:r>
        <w:rPr>
          <w:b/>
          <w:bCs/>
        </w:rPr>
        <w:t xml:space="preserve">라. 소결</w:t>
      </w:r>
      <w:r>
        <w:br/>
      </w:r>
      <w:r>
        <w:t xml:space="preserve">전대 개시일 사용권자산 처분손익은 영업 범주입니다. 다만 전대 직전에 그 부분을 운용 전대해 투자부동산으로 분류하고 있었다면, 직전 범주인 투자를 따릅니다. — 확정도: 확정(가정 1·2 전제)</w:t>
      </w:r>
    </w:p>
    <w:bookmarkEnd w:id="51"/>
    <w:bookmarkStart w:id="59" w:name="전대-개시-전-기간분과-미전대-잔여분-감가상각비는-어느-범주인가"/>
    <w:p>
      <w:pPr>
        <w:pStyle w:val="Heading2"/>
      </w:pPr>
      <w:r>
        <w:t xml:space="preserve">5-5. 전대 개시 전 기간분과 미전대 잔여분 감가상각비는 어느 범주인가</w:t>
      </w:r>
    </w:p>
    <w:p>
      <w:pPr>
        <w:pStyle w:val="FirstParagraph"/>
      </w:pPr>
      <w:r>
        <w:rPr>
          <w:b/>
          <w:bCs/>
        </w:rPr>
        <w:t xml:space="preserve">가. 관련 기준</w:t>
      </w:r>
    </w:p>
    <w:p>
      <w:pPr>
        <w:pStyle w:val="BlockText"/>
      </w:pPr>
      <w:r>
        <w:rPr>
          <w:b/>
          <w:bCs/>
        </w:rPr>
        <w:t xml:space="preserve">기업회계기준서 제1118호 문단 B48</w:t>
      </w:r>
      <w:r>
        <w:t xml:space="preserve"> </w:t>
      </w:r>
      <w:r>
        <w:t xml:space="preserve">(발췌)</w:t>
      </w:r>
      <w:r>
        <w:br/>
      </w:r>
      <w:r>
        <w:t xml:space="preserve">재화나 용역을 생산하거나 공급하기 위해 결합하여 사용하는 자산은 개별적으로 그리고 기업의 다른 자원과 대부분 독립적으로 수익을 창출하지 않는다. 이러한 자산은 일반적으로 다음을 포함한다.</w:t>
      </w:r>
      <w:r>
        <w:br/>
      </w:r>
      <w:r>
        <w:t xml:space="preserve">⑴ 유형자산 (중략)</w:t>
      </w:r>
      <w:r>
        <w:rPr>
          <w:rStyle w:val="FootnoteReference"/>
        </w:rPr>
        <w:footnoteReference w:id="52"/>
      </w:r>
    </w:p>
    <w:p>
      <w:pPr>
        <w:pStyle w:val="BlockText"/>
      </w:pPr>
      <w:r>
        <w:rPr>
          <w:b/>
          <w:bCs/>
        </w:rPr>
        <w:t xml:space="preserve">기업회계기준서 제1118호 문단 B49</w:t>
      </w:r>
      <w:r>
        <w:t xml:space="preserve"> </w:t>
      </w:r>
      <w:r>
        <w:t xml:space="preserve">(발췌)</w:t>
      </w:r>
      <w:r>
        <w:br/>
      </w:r>
      <w:r>
        <w:t xml:space="preserve">문단 B48에서 기술한 자산의 수익과 비용은 영업 범주로 분류한다. 예를 들면, 다음과 같다. (중략) ⑶ 감가상각비와 상각비 (중략)</w:t>
      </w:r>
      <w:r>
        <w:rPr>
          <w:rStyle w:val="FootnoteReference"/>
        </w:rPr>
        <w:footnoteReference w:id="53"/>
      </w:r>
    </w:p>
    <w:p>
      <w:pPr>
        <w:pStyle w:val="BlockText"/>
      </w:pPr>
      <w:r>
        <w:rPr>
          <w:b/>
          <w:bCs/>
        </w:rPr>
        <w:t xml:space="preserve">기업회계기준서 제1116호 문단 31</w:t>
      </w:r>
      <w:r>
        <w:br/>
      </w:r>
      <w:r>
        <w:t xml:space="preserve">리스이용자는 사용권자산을 감가상각할 때 문단 32의 요구사항을 전제로 기업회계기준서 제1016호 ’유형자산’의 감가상각에 대한 요구사항을 적용한다.</w:t>
      </w:r>
      <w:r>
        <w:rPr>
          <w:rStyle w:val="FootnoteReference"/>
        </w:rPr>
        <w:footnoteReference w:id="54"/>
      </w:r>
    </w:p>
    <w:p>
      <w:pPr>
        <w:pStyle w:val="BlockText"/>
      </w:pPr>
      <w:r>
        <w:rPr>
          <w:b/>
          <w:bCs/>
        </w:rPr>
        <w:t xml:space="preserve">기업회계기준서 제1118호 문단 52</w:t>
      </w:r>
      <w:r>
        <w:t xml:space="preserve"> </w:t>
      </w:r>
      <w:r>
        <w:t xml:space="preserve">(발췌)</w:t>
      </w:r>
      <w:r>
        <w:br/>
      </w:r>
      <w:r>
        <w:t xml:space="preserve">다음 범주 중 어느 하나로 분류되지 않은, 손익계산서에 포함된 모든 수익과 비용을 영업 범주로 분류한다 (중략)</w:t>
      </w:r>
      <w:r>
        <w:rPr>
          <w:rStyle w:val="FootnoteReference"/>
        </w:rPr>
        <w:footnoteReference w:id="55"/>
      </w:r>
    </w:p>
    <w:p>
      <w:pPr>
        <w:pStyle w:val="FirstParagraph"/>
      </w:pPr>
      <w:r>
        <w:rPr>
          <w:b/>
          <w:bCs/>
        </w:rPr>
        <w:t xml:space="preserve">나. 기준의 취지</w:t>
      </w:r>
    </w:p>
    <w:p>
      <w:pPr>
        <w:pStyle w:val="Compact"/>
        <w:numPr>
          <w:ilvl w:val="0"/>
          <w:numId w:val="1016"/>
        </w:numPr>
      </w:pPr>
      <w:r>
        <w:t xml:space="preserve">영업에 결합해 쓰는 자산은 감가상각비까지 영업 범주에 넣어야 영업 결과가 온전히 드러납니다.</w:t>
      </w:r>
    </w:p>
    <w:p>
      <w:pPr>
        <w:pStyle w:val="Compact"/>
        <w:numPr>
          <w:ilvl w:val="0"/>
          <w:numId w:val="1016"/>
        </w:numPr>
      </w:pPr>
      <w:r>
        <w:t xml:space="preserve">B48이 사용권자산을 직접 열거하지는 않습니다. 그러나 사용권자산은 유형자산 감가상각 규정을 따르며, 영업에 결합해 쓰는 자산입니다.</w:t>
      </w:r>
    </w:p>
    <w:p>
      <w:pPr>
        <w:pStyle w:val="Compact"/>
        <w:numPr>
          <w:ilvl w:val="0"/>
          <w:numId w:val="1016"/>
        </w:numPr>
      </w:pPr>
      <w:r>
        <w:t xml:space="preserve">회계위키 실무해설도 사용권자산 감가상각비는 자산을 쓰는 목적을 따른다고 정리합니다.</w:t>
      </w:r>
      <w:r>
        <w:rPr>
          <w:rStyle w:val="FootnoteReference"/>
        </w:rPr>
        <w:footnoteReference w:id="56"/>
      </w:r>
    </w:p>
    <w:p>
      <w:pPr>
        <w:pStyle w:val="FirstParagraph"/>
      </w:pPr>
      <w:r>
        <w:rPr>
          <w:b/>
          <w:bCs/>
        </w:rPr>
        <w:t xml:space="preserve">다. 본건 적용</w:t>
      </w:r>
    </w:p>
    <w:p>
      <w:pPr>
        <w:pStyle w:val="Compact"/>
        <w:numPr>
          <w:ilvl w:val="0"/>
          <w:numId w:val="1017"/>
        </w:numPr>
      </w:pPr>
      <w:r>
        <w:t xml:space="preserve">전대 개시 전 기간분 → 그 기간에 사용권자산은 자가사용·영업용으로 쓰였습니다(제공된 사실, 가정 1·2). 영업 범주입니다.</w:t>
      </w:r>
    </w:p>
    <w:p>
      <w:pPr>
        <w:pStyle w:val="Compact"/>
        <w:numPr>
          <w:ilvl w:val="0"/>
          <w:numId w:val="1017"/>
        </w:numPr>
      </w:pPr>
      <w:r>
        <w:t xml:space="preserve">미전대 잔여분 → 계속 영업에 쓰거나 유휴 상태입니다. 유휴 상태라도 투자부동산으로 분류되지 않았다면 단독으로 수익을 내는 자산이 아니므로 영업 범주입니다. 금융리스로 제공한 부동산은 투자부동산이 아닙니다.</w:t>
      </w:r>
      <w:r>
        <w:rPr>
          <w:rStyle w:val="FootnoteReference"/>
        </w:rPr>
        <w:footnoteReference w:id="57"/>
      </w:r>
    </w:p>
    <w:p>
      <w:pPr>
        <w:pStyle w:val="Compact"/>
        <w:numPr>
          <w:ilvl w:val="0"/>
          <w:numId w:val="1017"/>
        </w:numPr>
      </w:pPr>
      <w:r>
        <w:t xml:space="preserve">확인 사항 → 전대 개시 뒤에는 전대 부분의 사용권자산이 제거됩니다. 그 부분의 감가상각비가 계속 계상되고 있다면 측정 오류이므로 확인이 필요합니다.</w:t>
      </w:r>
    </w:p>
    <w:p>
      <w:pPr>
        <w:pStyle w:val="FirstParagraph"/>
      </w:pPr>
      <w:r>
        <w:rPr>
          <w:b/>
          <w:bCs/>
        </w:rPr>
        <w:t xml:space="preserve">라. 소결</w:t>
      </w:r>
      <w:r>
        <w:br/>
      </w:r>
      <w:r>
        <w:t xml:space="preserve">두 감가상각비 모두 영업 범주입니다. — 확정도: 확정(사용권자산이 B48에 해당한다는 점은 원칙을 적용한 판단이며 해석 여지가 작음)</w:t>
      </w:r>
    </w:p>
    <w:p>
      <w:pPr>
        <w:pStyle w:val="BodyText"/>
      </w:pPr>
      <w:r>
        <w:rPr>
          <w:b/>
          <w:bCs/>
        </w:rPr>
        <w:t xml:space="preserve">마. 참고 사례</w:t>
      </w:r>
    </w:p>
    <w:p>
      <w:pPr>
        <w:pStyle w:val="Compact"/>
        <w:numPr>
          <w:ilvl w:val="0"/>
          <w:numId w:val="1018"/>
        </w:numPr>
      </w:pPr>
      <w:r>
        <w:t xml:space="preserve">질의회신 SSI-35613(신속처리질의, 2019-09-24)</w:t>
      </w:r>
    </w:p>
    <w:p>
      <w:pPr>
        <w:pStyle w:val="Compact"/>
        <w:numPr>
          <w:ilvl w:val="1"/>
          <w:numId w:val="1019"/>
        </w:numPr>
      </w:pPr>
      <w:r>
        <w:t xml:space="preserve">질의: 중간리스제공자가 전대리스를 금융리스와 운용리스로 분류하는 기준.</w:t>
      </w:r>
    </w:p>
    <w:p>
      <w:pPr>
        <w:pStyle w:val="Compact"/>
        <w:numPr>
          <w:ilvl w:val="1"/>
          <w:numId w:val="1019"/>
        </w:numPr>
      </w:pPr>
      <w:r>
        <w:t xml:space="preserve">회신 요지: 상위리스가 단기리스가 아니면 상위리스에서 생기는 사용권자산을 기준으로 분류합니다. 상위리스기간의 대부분을 전대하면 금융리스입니다.</w:t>
      </w:r>
    </w:p>
    <w:p>
      <w:pPr>
        <w:pStyle w:val="Compact"/>
        <w:numPr>
          <w:ilvl w:val="1"/>
          <w:numId w:val="1019"/>
        </w:numPr>
      </w:pPr>
      <w:r>
        <w:t xml:space="preserve">본건과의 관계: 범주 분류가 아닌 리스 분류에 관한 회신입니다. 본건 전대가 금융리스라는 전제를 확인할 때만 씁니다(참고만).</w:t>
      </w:r>
      <w:r>
        <w:rPr>
          <w:rStyle w:val="FootnoteReference"/>
        </w:rPr>
        <w:footnoteReference w:id="58"/>
      </w:r>
    </w:p>
    <w:bookmarkEnd w:id="59"/>
    <w:bookmarkEnd w:id="60"/>
    <w:bookmarkStart w:id="63" w:name="결론"/>
    <w:p>
      <w:pPr>
        <w:pStyle w:val="Heading1"/>
      </w:pPr>
      <w:r>
        <w:t xml:space="preserve">6. 결론</w:t>
      </w:r>
    </w:p>
    <w:tbl>
      <w:tblPr>
        <w:tblStyle w:val="Table"/>
        <w:tblW w:type="pct" w:w="5000"/>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3175"/>
        <w:gridCol w:w="4269"/>
        <w:gridCol w:w="2192"/>
      </w:tblGrid>
      <w:tr>
        <w:trPr>
          <w:tblHeader w:val="on"/>
        </w:trPr>
        <w:tc>
          <w:tcPr>
            <w:tcW w:type="dxa" w:w="3176"/>
            <w:shd w:val="clear" w:color="auto" w:fill="D9E2F3"/>
          </w:tcPr>
          <w:p>
            <w:pPr>
              <w:pStyle w:val="Compact"/>
            </w:pPr>
            <w:r>
              <w:rPr>
                <w:b/>
              </w:rPr>
              <w:t xml:space="preserve">논점</w:t>
            </w:r>
          </w:p>
        </w:tc>
        <w:tc>
          <w:tcPr>
            <w:tcW w:type="dxa" w:w="4270"/>
            <w:shd w:val="clear" w:color="auto" w:fill="D9E2F3"/>
          </w:tcPr>
          <w:p>
            <w:pPr>
              <w:pStyle w:val="Compact"/>
            </w:pPr>
            <w:r>
              <w:rPr>
                <w:b/>
              </w:rPr>
              <w:t xml:space="preserve">소결</w:t>
            </w:r>
          </w:p>
        </w:tc>
        <w:tc>
          <w:tcPr>
            <w:tcW w:type="dxa" w:w="2193"/>
            <w:shd w:val="clear" w:color="auto" w:fill="D9E2F3"/>
          </w:tcPr>
          <w:p>
            <w:pPr>
              <w:pStyle w:val="Compact"/>
            </w:pPr>
            <w:r>
              <w:rPr>
                <w:b/>
              </w:rPr>
              <w:t xml:space="preserve">확정도</w:t>
            </w:r>
          </w:p>
        </w:tc>
      </w:tr>
      <w:tr>
        <w:tc>
          <w:tcPr>
            <w:tcW w:type="dxa" w:w="3176"/>
          </w:tcPr>
          <w:p>
            <w:pPr>
              <w:pStyle w:val="Compact"/>
            </w:pPr>
            <w:r>
              <w:t xml:space="preserve">5-1 BC198~199의 의미</w:t>
            </w:r>
          </w:p>
        </w:tc>
        <w:tc>
          <w:tcPr>
            <w:tcW w:type="dxa" w:w="4270"/>
          </w:tcPr>
          <w:p>
            <w:pPr>
              <w:pStyle w:val="Compact"/>
            </w:pPr>
            <w:r>
              <w:t xml:space="preserve">리스부채 손익만 재무 범주로 정함. 나머지 항목에는 근거가 되지 않음</w:t>
            </w:r>
          </w:p>
        </w:tc>
        <w:tc>
          <w:tcPr>
            <w:tcW w:type="dxa" w:w="2193"/>
          </w:tcPr>
          <w:p>
            <w:pPr>
              <w:pStyle w:val="Compact"/>
            </w:pPr>
            <w:r>
              <w:t xml:space="preserve">확정</w:t>
            </w:r>
          </w:p>
        </w:tc>
      </w:tr>
      <w:tr>
        <w:tc>
          <w:tcPr>
            <w:tcW w:type="dxa" w:w="3176"/>
          </w:tcPr>
          <w:p>
            <w:pPr>
              <w:pStyle w:val="Compact"/>
            </w:pPr>
            <w:r>
              <w:t xml:space="preserve">5-2 ① 상위리스 리스부채 이자비용</w:t>
            </w:r>
          </w:p>
        </w:tc>
        <w:tc>
          <w:tcPr>
            <w:tcW w:type="dxa" w:w="4270"/>
          </w:tcPr>
          <w:p>
            <w:pPr>
              <w:pStyle w:val="Compact"/>
            </w:pPr>
            <w:r>
              <w:t xml:space="preserve">재무</w:t>
            </w:r>
          </w:p>
        </w:tc>
        <w:tc>
          <w:tcPr>
            <w:tcW w:type="dxa" w:w="2193"/>
          </w:tcPr>
          <w:p>
            <w:pPr>
              <w:pStyle w:val="Compact"/>
            </w:pPr>
            <w:r>
              <w:t xml:space="preserve">확정</w:t>
            </w:r>
          </w:p>
        </w:tc>
      </w:tr>
      <w:tr>
        <w:tc>
          <w:tcPr>
            <w:tcW w:type="dxa" w:w="3176"/>
          </w:tcPr>
          <w:p>
            <w:pPr>
              <w:pStyle w:val="Compact"/>
            </w:pPr>
            <w:r>
              <w:t xml:space="preserve">5-3 ② 전대리스 순투자 이자수익</w:t>
            </w:r>
          </w:p>
        </w:tc>
        <w:tc>
          <w:tcPr>
            <w:tcW w:type="dxa" w:w="4270"/>
          </w:tcPr>
          <w:p>
            <w:pPr>
              <w:pStyle w:val="Compact"/>
            </w:pPr>
            <w:r>
              <w:t xml:space="preserve">투자(기본). 재무 분류와 상계는 불가</w:t>
            </w:r>
          </w:p>
        </w:tc>
        <w:tc>
          <w:tcPr>
            <w:tcW w:type="dxa" w:w="2193"/>
          </w:tcPr>
          <w:p>
            <w:pPr>
              <w:pStyle w:val="Compact"/>
            </w:pPr>
            <w:r>
              <w:t xml:space="preserve">해석 견해·잠정 자료 의존</w:t>
            </w:r>
          </w:p>
        </w:tc>
      </w:tr>
      <w:tr>
        <w:tc>
          <w:tcPr>
            <w:tcW w:type="dxa" w:w="3176"/>
          </w:tcPr>
          <w:p>
            <w:pPr>
              <w:pStyle w:val="Compact"/>
            </w:pPr>
            <w:r>
              <w:t xml:space="preserve">5-4 ③ 전대 개시일 사용권자산 처분손익</w:t>
            </w:r>
          </w:p>
        </w:tc>
        <w:tc>
          <w:tcPr>
            <w:tcW w:type="dxa" w:w="4270"/>
          </w:tcPr>
          <w:p>
            <w:pPr>
              <w:pStyle w:val="Compact"/>
            </w:pPr>
            <w:r>
              <w:t xml:space="preserve">영업</w:t>
            </w:r>
          </w:p>
        </w:tc>
        <w:tc>
          <w:tcPr>
            <w:tcW w:type="dxa" w:w="2193"/>
          </w:tcPr>
          <w:p>
            <w:pPr>
              <w:pStyle w:val="Compact"/>
            </w:pPr>
            <w:r>
              <w:t xml:space="preserve">확정(가정 1·2 전제)</w:t>
            </w:r>
          </w:p>
        </w:tc>
      </w:tr>
      <w:tr>
        <w:tc>
          <w:tcPr>
            <w:tcW w:type="dxa" w:w="3176"/>
          </w:tcPr>
          <w:p>
            <w:pPr>
              <w:pStyle w:val="Compact"/>
            </w:pPr>
            <w:r>
              <w:t xml:space="preserve">5-5 ④ 개시 전 기간분·미전대 잔여분 감가상각비</w:t>
            </w:r>
          </w:p>
        </w:tc>
        <w:tc>
          <w:tcPr>
            <w:tcW w:type="dxa" w:w="4270"/>
          </w:tcPr>
          <w:p>
            <w:pPr>
              <w:pStyle w:val="Compact"/>
            </w:pPr>
            <w:r>
              <w:t xml:space="preserve">영업</w:t>
            </w:r>
          </w:p>
        </w:tc>
        <w:tc>
          <w:tcPr>
            <w:tcW w:type="dxa" w:w="2193"/>
          </w:tcPr>
          <w:p>
            <w:pPr>
              <w:pStyle w:val="Compact"/>
            </w:pPr>
            <w:r>
              <w:t xml:space="preserve">확정</w:t>
            </w:r>
          </w:p>
        </w:tc>
      </w:tr>
    </w:tbl>
    <w:p>
      <w:pPr>
        <w:pStyle w:val="BodyText"/>
      </w:pPr>
      <w:r>
        <w:t xml:space="preserve">결론 문장</w:t>
      </w:r>
    </w:p>
    <w:p>
      <w:pPr>
        <w:pStyle w:val="Compact"/>
        <w:numPr>
          <w:ilvl w:val="0"/>
          <w:numId w:val="1020"/>
        </w:numPr>
      </w:pPr>
      <w:r>
        <w:t xml:space="preserve">기본 결론: ①은 재무, ②는 투자, ③·④는 영업입니다.</w:t>
      </w:r>
    </w:p>
    <w:p>
      <w:pPr>
        <w:pStyle w:val="Compact"/>
        <w:numPr>
          <w:ilvl w:val="0"/>
          <w:numId w:val="1020"/>
        </w:numPr>
      </w:pPr>
      <w:r>
        <w:t xml:space="preserve">다만 전대가 반복적인 금융제공 사업이 되어 고객 금융제공이 주된 사업활동으로 평가되면, ②는 영업 범주가 됩니다.</w:t>
      </w:r>
      <w:r>
        <w:rPr>
          <w:rStyle w:val="FootnoteReference"/>
        </w:rPr>
        <w:footnoteReference w:id="61"/>
      </w:r>
      <w:r>
        <w:rPr>
          <w:rStyle w:val="FootnoteReference"/>
        </w:rPr>
        <w:footnoteReference w:id="62"/>
      </w:r>
    </w:p>
    <w:p>
      <w:pPr>
        <w:pStyle w:val="Compact"/>
        <w:numPr>
          <w:ilvl w:val="0"/>
          <w:numId w:val="1020"/>
        </w:numPr>
      </w:pPr>
      <w:r>
        <w:t xml:space="preserve">또한 전대 직전에 그 자산이 투자부동산이었다면 ③은 투자 범주가 됩니다.</w:t>
      </w:r>
    </w:p>
    <w:bookmarkEnd w:id="63"/>
    <w:bookmarkStart w:id="66" w:name="회계처리와-공시"/>
    <w:p>
      <w:pPr>
        <w:pStyle w:val="Heading1"/>
      </w:pPr>
      <w:r>
        <w:t xml:space="preserve">7. 회계처리와 공시</w:t>
      </w:r>
    </w:p>
    <w:p>
      <w:pPr>
        <w:pStyle w:val="FirstParagraph"/>
      </w:pPr>
      <w:r>
        <w:t xml:space="preserve">분개</w:t>
      </w:r>
    </w:p>
    <w:p>
      <w:pPr>
        <w:pStyle w:val="Compact"/>
        <w:numPr>
          <w:ilvl w:val="0"/>
          <w:numId w:val="1021"/>
        </w:numPr>
      </w:pPr>
      <w:r>
        <w:t xml:space="preserve">인식·측정 분개는 없습니다(표시 문제).</w:t>
      </w:r>
    </w:p>
    <w:p>
      <w:pPr>
        <w:pStyle w:val="FirstParagraph"/>
      </w:pPr>
      <w:r>
        <w:t xml:space="preserve">재분류표(금액 미제공)</w:t>
      </w:r>
    </w:p>
    <w:tbl>
      <w:tblPr>
        <w:tblStyle w:val="Table"/>
        <w:tblW w:type="pct" w:w="5000"/>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264"/>
        <w:gridCol w:w="906"/>
        <w:gridCol w:w="3956"/>
        <w:gridCol w:w="2510"/>
      </w:tblGrid>
      <w:tr>
        <w:trPr>
          <w:tblHeader w:val="on"/>
        </w:trPr>
        <w:tc>
          <w:tcPr>
            <w:tcW w:type="dxa" w:w="2264"/>
            <w:shd w:val="clear" w:color="auto" w:fill="D9E2F3"/>
          </w:tcPr>
          <w:p>
            <w:pPr>
              <w:pStyle w:val="Compact"/>
            </w:pPr>
            <w:r>
              <w:rPr>
                <w:b/>
              </w:rPr>
              <w:t xml:space="preserve">항목</w:t>
            </w:r>
          </w:p>
        </w:tc>
        <w:tc>
          <w:tcPr>
            <w:tcW w:type="dxa" w:w="907"/>
            <w:shd w:val="clear" w:color="auto" w:fill="D9E2F3"/>
          </w:tcPr>
          <w:p>
            <w:pPr>
              <w:pStyle w:val="Compact"/>
            </w:pPr>
            <w:r>
              <w:rPr>
                <w:b/>
              </w:rPr>
              <w:t xml:space="preserve">금액</w:t>
            </w:r>
          </w:p>
        </w:tc>
        <w:tc>
          <w:tcPr>
            <w:tcW w:type="dxa" w:w="3956"/>
            <w:shd w:val="clear" w:color="auto" w:fill="D9E2F3"/>
          </w:tcPr>
          <w:p>
            <w:pPr>
              <w:pStyle w:val="Compact"/>
            </w:pPr>
            <w:r>
              <w:rPr>
                <w:b/>
              </w:rPr>
              <w:t xml:space="preserve">회사 원안(질의상 이해)</w:t>
            </w:r>
          </w:p>
        </w:tc>
        <w:tc>
          <w:tcPr>
            <w:tcW w:type="dxa" w:w="2511"/>
            <w:shd w:val="clear" w:color="auto" w:fill="D9E2F3"/>
          </w:tcPr>
          <w:p>
            <w:pPr>
              <w:pStyle w:val="Compact"/>
            </w:pPr>
            <w:r>
              <w:rPr>
                <w:b/>
              </w:rPr>
              <w:t xml:space="preserve">결론</w:t>
            </w:r>
          </w:p>
        </w:tc>
      </w:tr>
      <w:tr>
        <w:tc>
          <w:tcPr>
            <w:tcW w:type="dxa" w:w="2264"/>
          </w:tcPr>
          <w:p>
            <w:pPr>
              <w:pStyle w:val="Compact"/>
            </w:pPr>
            <w:r>
              <w:t xml:space="preserve">상위리스 리스부채 이자비용</w:t>
            </w:r>
          </w:p>
        </w:tc>
        <w:tc>
          <w:tcPr>
            <w:tcW w:type="dxa" w:w="907"/>
          </w:tcPr>
          <w:p>
            <w:pPr>
              <w:pStyle w:val="Compact"/>
            </w:pPr>
            <w:r>
              <w:t xml:space="preserve">미제공</w:t>
            </w:r>
          </w:p>
        </w:tc>
        <w:tc>
          <w:tcPr>
            <w:tcW w:type="dxa" w:w="3956"/>
          </w:tcPr>
          <w:p>
            <w:pPr>
              <w:pStyle w:val="Compact"/>
            </w:pPr>
            <w:r>
              <w:t xml:space="preserve">재무</w:t>
            </w:r>
          </w:p>
        </w:tc>
        <w:tc>
          <w:tcPr>
            <w:tcW w:type="dxa" w:w="2511"/>
          </w:tcPr>
          <w:p>
            <w:pPr>
              <w:pStyle w:val="Compact"/>
            </w:pPr>
            <w:r>
              <w:t xml:space="preserve">재무(변동 없음)</w:t>
            </w:r>
          </w:p>
        </w:tc>
      </w:tr>
      <w:tr>
        <w:tc>
          <w:tcPr>
            <w:tcW w:type="dxa" w:w="2264"/>
          </w:tcPr>
          <w:p>
            <w:pPr>
              <w:pStyle w:val="Compact"/>
            </w:pPr>
            <w:r>
              <w:t xml:space="preserve">전대리스 순투자 이자수익</w:t>
            </w:r>
          </w:p>
        </w:tc>
        <w:tc>
          <w:tcPr>
            <w:tcW w:type="dxa" w:w="907"/>
          </w:tcPr>
          <w:p>
            <w:pPr>
              <w:pStyle w:val="Compact"/>
            </w:pPr>
            <w:r>
              <w:t xml:space="preserve">미제공</w:t>
            </w:r>
          </w:p>
        </w:tc>
        <w:tc>
          <w:tcPr>
            <w:tcW w:type="dxa" w:w="3956"/>
          </w:tcPr>
          <w:p>
            <w:pPr>
              <w:pStyle w:val="Compact"/>
            </w:pPr>
            <w:r>
              <w:t xml:space="preserve">재무(BC198~199에 근거해 검토 중)</w:t>
            </w:r>
          </w:p>
        </w:tc>
        <w:tc>
          <w:tcPr>
            <w:tcW w:type="dxa" w:w="2511"/>
          </w:tcPr>
          <w:p>
            <w:pPr>
              <w:pStyle w:val="Compact"/>
            </w:pPr>
            <w:r>
              <w:t xml:space="preserve">투자. 리스부채 이자와 상계하지 않고 총액 표시</w:t>
            </w:r>
          </w:p>
        </w:tc>
      </w:tr>
      <w:tr>
        <w:tc>
          <w:tcPr>
            <w:tcW w:type="dxa" w:w="2264"/>
          </w:tcPr>
          <w:p>
            <w:pPr>
              <w:pStyle w:val="Compact"/>
            </w:pPr>
            <w:r>
              <w:t xml:space="preserve">전대 개시일 사용권자산 처분손익</w:t>
            </w:r>
          </w:p>
        </w:tc>
        <w:tc>
          <w:tcPr>
            <w:tcW w:type="dxa" w:w="907"/>
          </w:tcPr>
          <w:p>
            <w:pPr>
              <w:pStyle w:val="Compact"/>
            </w:pPr>
            <w:r>
              <w:t xml:space="preserve">미제공</w:t>
            </w:r>
          </w:p>
        </w:tc>
        <w:tc>
          <w:tcPr>
            <w:tcW w:type="dxa" w:w="3956"/>
          </w:tcPr>
          <w:p>
            <w:pPr>
              <w:pStyle w:val="Compact"/>
            </w:pPr>
            <w:r>
              <w:t xml:space="preserve">판단 보류(일반 리스는 영업)</w:t>
            </w:r>
          </w:p>
        </w:tc>
        <w:tc>
          <w:tcPr>
            <w:tcW w:type="dxa" w:w="2511"/>
          </w:tcPr>
          <w:p>
            <w:pPr>
              <w:pStyle w:val="Compact"/>
            </w:pPr>
            <w:r>
              <w:t xml:space="preserve">영업</w:t>
            </w:r>
          </w:p>
        </w:tc>
      </w:tr>
      <w:tr>
        <w:tc>
          <w:tcPr>
            <w:tcW w:type="dxa" w:w="2264"/>
          </w:tcPr>
          <w:p>
            <w:pPr>
              <w:pStyle w:val="Compact"/>
            </w:pPr>
            <w:r>
              <w:t xml:space="preserve">개시 전 기간분·미전대 잔여분 감가상각비</w:t>
            </w:r>
          </w:p>
        </w:tc>
        <w:tc>
          <w:tcPr>
            <w:tcW w:type="dxa" w:w="907"/>
          </w:tcPr>
          <w:p>
            <w:pPr>
              <w:pStyle w:val="Compact"/>
            </w:pPr>
            <w:r>
              <w:t xml:space="preserve">미제공</w:t>
            </w:r>
          </w:p>
        </w:tc>
        <w:tc>
          <w:tcPr>
            <w:tcW w:type="dxa" w:w="3956"/>
          </w:tcPr>
          <w:p>
            <w:pPr>
              <w:pStyle w:val="Compact"/>
            </w:pPr>
            <w:r>
              <w:t xml:space="preserve">판단 보류(일반 리스는 영업)</w:t>
            </w:r>
          </w:p>
        </w:tc>
        <w:tc>
          <w:tcPr>
            <w:tcW w:type="dxa" w:w="2511"/>
          </w:tcPr>
          <w:p>
            <w:pPr>
              <w:pStyle w:val="Compact"/>
            </w:pPr>
            <w:r>
              <w:t xml:space="preserve">영업</w:t>
            </w:r>
          </w:p>
        </w:tc>
      </w:tr>
    </w:tbl>
    <w:p>
      <w:pPr>
        <w:pStyle w:val="Compact"/>
        <w:numPr>
          <w:ilvl w:val="0"/>
          <w:numId w:val="1022"/>
        </w:numPr>
      </w:pPr>
      <w:r>
        <w:t xml:space="preserve">②를 재무에서 투자로 옮겨도 영업손익은 변하지 않습니다. 재무 범주와 투자 범주 사이에서만 금액이 이동합니다.</w:t>
      </w:r>
    </w:p>
    <w:p>
      <w:pPr>
        <w:pStyle w:val="Compact"/>
        <w:numPr>
          <w:ilvl w:val="0"/>
          <w:numId w:val="1022"/>
        </w:numPr>
      </w:pPr>
      <w:r>
        <w:t xml:space="preserve">2026년 비교기간도 같은 기준으로 다시 분류합니다(가정 3).</w:t>
      </w:r>
    </w:p>
    <w:p>
      <w:pPr>
        <w:pStyle w:val="FirstParagraph"/>
      </w:pPr>
      <w:r>
        <w:t xml:space="preserve">주석 공시 사항</w:t>
      </w:r>
    </w:p>
    <w:p>
      <w:pPr>
        <w:pStyle w:val="Compact"/>
        <w:numPr>
          <w:ilvl w:val="0"/>
          <w:numId w:val="1023"/>
        </w:numPr>
      </w:pPr>
      <w:r>
        <w:t xml:space="preserve">리스이용자로서 사용권자산의 전대리스에서 생기는 수익을 공시합니다.</w:t>
      </w:r>
      <w:r>
        <w:rPr>
          <w:rStyle w:val="FootnoteReference"/>
        </w:rPr>
        <w:footnoteReference w:id="64"/>
      </w:r>
    </w:p>
    <w:p>
      <w:pPr>
        <w:pStyle w:val="Compact"/>
        <w:numPr>
          <w:ilvl w:val="0"/>
          <w:numId w:val="1023"/>
        </w:numPr>
      </w:pPr>
      <w:r>
        <w:t xml:space="preserve">리스제공자로서 금융리스의 리스순투자 금융수익을 공시합니다.</w:t>
      </w:r>
      <w:r>
        <w:rPr>
          <w:rStyle w:val="FootnoteReference"/>
        </w:rPr>
        <w:footnoteReference w:id="65"/>
      </w:r>
    </w:p>
    <w:p>
      <w:pPr>
        <w:pStyle w:val="Compact"/>
        <w:numPr>
          <w:ilvl w:val="0"/>
          <w:numId w:val="1023"/>
        </w:numPr>
      </w:pPr>
      <w:r>
        <w:t xml:space="preserve">② 항목의 범주 판단을 회계정책 또는 유의적 판단 주석에 적을 것을 권합니다. 이 주석의 근거 문단은 이번 검토에서 조회하지 않았습니다(회계위키 근거 미확인).</w:t>
      </w:r>
    </w:p>
    <w:bookmarkEnd w:id="66"/>
    <w:bookmarkStart w:id="67" w:name="유의사항"/>
    <w:p>
      <w:pPr>
        <w:pStyle w:val="Heading1"/>
      </w:pPr>
      <w:r>
        <w:t xml:space="preserve">8. 유의사항</w:t>
      </w:r>
    </w:p>
    <w:p>
      <w:pPr>
        <w:pStyle w:val="FirstParagraph"/>
      </w:pPr>
      <w:r>
        <w:t xml:space="preserve">결론을 바꿀 수 있는 사실</w:t>
      </w:r>
    </w:p>
    <w:p>
      <w:pPr>
        <w:pStyle w:val="Compact"/>
        <w:numPr>
          <w:ilvl w:val="0"/>
          <w:numId w:val="1024"/>
        </w:numPr>
      </w:pPr>
      <w:r>
        <w:t xml:space="preserve">전대 직전에 해당 사용권자산(부분)을 운용 전대해 투자부동산으로 분류했거나, 동산을 이미 영업에서 빼 둔 상태였는지. ③의 범주에 영향을 줍니다.</w:t>
      </w:r>
    </w:p>
    <w:p>
      <w:pPr>
        <w:pStyle w:val="Compact"/>
        <w:numPr>
          <w:ilvl w:val="0"/>
          <w:numId w:val="1024"/>
        </w:numPr>
      </w:pPr>
      <w:r>
        <w:t xml:space="preserve">전대가 반복·확대되어 고객 금융제공이 주된 사업활동으로 평가될 가능성. 그렇게 되면 ②가 영업 범주로 바뀝니다.</w:t>
      </w:r>
    </w:p>
    <w:p>
      <w:pPr>
        <w:pStyle w:val="Compact"/>
        <w:numPr>
          <w:ilvl w:val="0"/>
          <w:numId w:val="1024"/>
        </w:numPr>
      </w:pPr>
      <w:r>
        <w:t xml:space="preserve">전대리스 순투자 이자수익에 대한 정착지원 TF나 IFRS 해석위원회의 후속 결론. ②의 확정 여부에 영향을 줍니다.</w:t>
      </w:r>
    </w:p>
    <w:p>
      <w:pPr>
        <w:pStyle w:val="FirstParagraph"/>
      </w:pPr>
      <w:r>
        <w:t xml:space="preserve">확정되지 않은 자료에 기댄 부분</w:t>
      </w:r>
    </w:p>
    <w:p>
      <w:pPr>
        <w:pStyle w:val="Compact"/>
        <w:numPr>
          <w:ilvl w:val="0"/>
          <w:numId w:val="1025"/>
        </w:numPr>
      </w:pPr>
      <w:r>
        <w:t xml:space="preserve">②의</w:t>
      </w:r>
      <w:r>
        <w:t xml:space="preserve"> </w:t>
      </w:r>
      <w:r>
        <w:t xml:space="preserve">‘투자’</w:t>
      </w:r>
      <w:r>
        <w:t xml:space="preserve"> </w:t>
      </w:r>
      <w:r>
        <w:t xml:space="preserve">결론입니다. 기준서 직접 규정이 없고 비공식 제안 견해에 일부 의존합니다.</w:t>
      </w:r>
    </w:p>
    <w:p>
      <w:pPr>
        <w:pStyle w:val="FirstParagraph"/>
      </w:pPr>
      <w:r>
        <w:t xml:space="preserve">감독당국이 문제 삼을 수 있는 지점</w:t>
      </w:r>
    </w:p>
    <w:p>
      <w:pPr>
        <w:pStyle w:val="Compact"/>
        <w:numPr>
          <w:ilvl w:val="0"/>
          <w:numId w:val="1026"/>
        </w:numPr>
      </w:pPr>
      <w:r>
        <w:t xml:space="preserve">전대 이자수익을 재무 범주에 넣거나 리스부채 이자와 상계하는 처리.</w:t>
      </w:r>
    </w:p>
    <w:p>
      <w:pPr>
        <w:pStyle w:val="Compact"/>
        <w:numPr>
          <w:ilvl w:val="0"/>
          <w:numId w:val="1026"/>
        </w:numPr>
      </w:pPr>
      <w:r>
        <w:t xml:space="preserve">영업에 쓰던 사용권자산의 처분손실을 투자 범주로 보내 영업손익을 늘리는 처리.</w:t>
      </w:r>
    </w:p>
    <w:p>
      <w:pPr>
        <w:pStyle w:val="FirstParagraph"/>
      </w:pPr>
      <w:r>
        <w:t xml:space="preserve">회계·세무 차이</w:t>
      </w:r>
    </w:p>
    <w:p>
      <w:pPr>
        <w:pStyle w:val="Compact"/>
        <w:numPr>
          <w:ilvl w:val="0"/>
          <w:numId w:val="1027"/>
        </w:numPr>
      </w:pPr>
      <w:r>
        <w:t xml:space="preserve">범주를 다시 분류해도 당기손익 총액은 변하지 않으므로 과세소득에는 영향이 없다고 봅니다. 회계위키 근거는 확인하지 못했으며 일반 실무 판단입니다.</w:t>
      </w:r>
    </w:p>
    <w:bookmarkEnd w:id="67"/>
    <w:bookmarkStart w:id="69" w:name="관련-사항"/>
    <w:p>
      <w:pPr>
        <w:pStyle w:val="Heading1"/>
      </w:pPr>
      <w:r>
        <w:t xml:space="preserve">9. 관련 사항</w:t>
      </w:r>
    </w:p>
    <w:p>
      <w:pPr>
        <w:pStyle w:val="Compact"/>
        <w:numPr>
          <w:ilvl w:val="0"/>
          <w:numId w:val="1028"/>
        </w:numPr>
      </w:pPr>
      <w:r>
        <w:t xml:space="preserve">전대리스 분류: 전대리스를 금융리스로 분류한 것이 적정한지(상위리스에서 생기는 사용권자산 기준)는 이 검토의 전제입니다. 분류가 다르면 ②·③이 아예 생기지 않으므로 별도 확인이 필요합니다.</w:t>
      </w:r>
      <w:r>
        <w:rPr>
          <w:rStyle w:val="FootnoteReference"/>
        </w:rPr>
        <w:footnoteReference w:id="68"/>
      </w:r>
    </w:p>
    <w:p>
      <w:pPr>
        <w:pStyle w:val="Compact"/>
        <w:numPr>
          <w:ilvl w:val="0"/>
          <w:numId w:val="1028"/>
        </w:numPr>
      </w:pPr>
      <w:r>
        <w:t xml:space="preserve">연결재무제표: 주된 사업활동은 보고기업 단위로 평가하므로 연결재무제표의 결론은 다를 수 있습니다. 이 검토는 별도재무제표만 다룹니다.</w:t>
      </w:r>
    </w:p>
    <w:p>
      <w:pPr>
        <w:pStyle w:val="Compact"/>
        <w:numPr>
          <w:ilvl w:val="0"/>
          <w:numId w:val="1028"/>
        </w:numPr>
      </w:pPr>
      <w:r>
        <w:t xml:space="preserve">외화 리스: 외화 리스가 있다면 외환차이는 원천 항목의 범주를 따르므로 별도로 검토합니다.</w:t>
      </w:r>
    </w:p>
    <w:p>
      <w:pPr>
        <w:pStyle w:val="Compact"/>
        <w:numPr>
          <w:ilvl w:val="0"/>
          <w:numId w:val="1028"/>
        </w:numPr>
      </w:pPr>
      <w:r>
        <w:t xml:space="preserve">korean-law-reviewer 에 넘길 사항: 전대 금융리스의 법인세법상 처리(리스자산 감가상각 주체, 처분손익 귀속 시기)와 세무조정.</w:t>
      </w:r>
    </w:p>
    <w:bookmarkEnd w:id="69"/>
    <w:bookmarkStart w:id="94" w:name="부록-a.-인용-기준서-원문"/>
    <w:p>
      <w:pPr>
        <w:pStyle w:val="Heading1"/>
        <w:pageBreakBefore/>
      </w:pPr>
      <w:r>
        <w:t xml:space="preserve">부록 A. 인용 기준서 원문</w:t>
      </w:r>
    </w:p>
    <w:p>
      <w:pPr>
        <w:pStyle w:val="FirstParagraph"/>
      </w:pPr>
      <w:r>
        <w:rPr>
          <w:b/>
          <w:bCs/>
        </w:rPr>
        <w:t xml:space="preserve">기업회계기준서 제1040호 문단 5</w:t>
      </w:r>
      <w:r>
        <w:t xml:space="preserve"> </w:t>
      </w:r>
      <w:r>
        <w:t xml:space="preserve">(용어 정의 가운데 본건과 관련된 두 항목만 수록)</w:t>
      </w:r>
    </w:p>
    <w:p>
      <w:pPr>
        <w:pStyle w:val="Compact"/>
        <w:numPr>
          <w:ilvl w:val="0"/>
          <w:numId w:val="1029"/>
        </w:numPr>
      </w:pPr>
      <w:r>
        <w:t xml:space="preserve">자가사용부동산: 재화나 용역의 생산 또는 제공이나 관리목적에 사용하기 위하여 소유자가 보유하거나 리스이용자가 사용권자산으로 보유하고 있는 부동산</w:t>
      </w:r>
    </w:p>
    <w:p>
      <w:pPr>
        <w:pStyle w:val="Compact"/>
        <w:numPr>
          <w:ilvl w:val="0"/>
          <w:numId w:val="1029"/>
        </w:numPr>
      </w:pPr>
      <w:r>
        <w:t xml:space="preserve">투자부동산: 임대수익이나 시세차익 또는 둘 다를 얻기 위하여 소유자가 보유하거나 리스이용자가 사용권자산으로 보유하고 있는 부동산[토지, 건물(또는 건물의 일부분) 또는 둘 다]. 다만, 다음 목적으로 보유하는 부동산은 제외한다.</w:t>
      </w:r>
    </w:p>
    <w:p>
      <w:pPr>
        <w:pStyle w:val="Compact"/>
        <w:numPr>
          <w:ilvl w:val="1"/>
          <w:numId w:val="1030"/>
        </w:numPr>
      </w:pPr>
      <w:r>
        <w:t xml:space="preserve">(가) 재화나 용역의 생산 또는 제공이나 관리목적에 사용</w:t>
      </w:r>
    </w:p>
    <w:p>
      <w:pPr>
        <w:pStyle w:val="Compact"/>
        <w:numPr>
          <w:ilvl w:val="1"/>
          <w:numId w:val="1030"/>
        </w:numPr>
      </w:pPr>
      <w:r>
        <w:t xml:space="preserve">(나) 통상적인 영업과정에서의 판매</w:t>
      </w:r>
      <w:r>
        <w:rPr>
          <w:rStyle w:val="FootnoteReference"/>
        </w:rPr>
        <w:footnoteReference w:id="70"/>
      </w:r>
    </w:p>
    <w:p>
      <w:pPr>
        <w:pStyle w:val="FirstParagraph"/>
      </w:pPr>
      <w:r>
        <w:rPr>
          <w:b/>
          <w:bCs/>
        </w:rPr>
        <w:t xml:space="preserve">기업회계기준서 제1040호 문단 9</w:t>
      </w:r>
      <w:r>
        <w:br/>
      </w:r>
      <w:r>
        <w:t xml:space="preserve">다음은 투자부동산이 아닌 항목의 예이며, 따라서 이 기준서를 적용하지 아니한다.</w:t>
      </w:r>
    </w:p>
    <w:p>
      <w:pPr>
        <w:pStyle w:val="Compact"/>
        <w:numPr>
          <w:ilvl w:val="0"/>
          <w:numId w:val="1031"/>
        </w:numPr>
      </w:pPr>
    </w:p>
    <w:p>
      <w:pPr>
        <w:pStyle w:val="Compact"/>
        <w:numPr>
          <w:ilvl w:val="1"/>
          <w:numId w:val="1032"/>
        </w:numPr>
      </w:pPr>
      <w:r>
        <w:t xml:space="preserve">통상적인 영업과정에서 판매하기 위한 부동산이나 이를 위하여 건설 또는 개발 중인 부동산(기업회계기준서 제1002호 ‘재고자산’ 참조). 예를 들면 가까운 장래에 판매하거나 개발하여 판매하기 위한 목적으로만 취득한 부동산이 있다.</w:t>
      </w:r>
    </w:p>
    <w:p>
      <w:pPr>
        <w:pStyle w:val="Compact"/>
        <w:numPr>
          <w:ilvl w:val="0"/>
          <w:numId w:val="1031"/>
        </w:numPr>
      </w:pPr>
    </w:p>
    <w:p>
      <w:pPr>
        <w:pStyle w:val="Compact"/>
        <w:numPr>
          <w:ilvl w:val="1"/>
          <w:numId w:val="1033"/>
        </w:numPr>
      </w:pPr>
      <w:r>
        <w:t xml:space="preserve">[국제회계기준위원회에서 삭제함]</w:t>
      </w:r>
    </w:p>
    <w:p>
      <w:pPr>
        <w:pStyle w:val="Compact"/>
        <w:numPr>
          <w:ilvl w:val="0"/>
          <w:numId w:val="1031"/>
        </w:numPr>
      </w:pPr>
    </w:p>
    <w:p>
      <w:pPr>
        <w:pStyle w:val="Compact"/>
        <w:numPr>
          <w:ilvl w:val="1"/>
          <w:numId w:val="1034"/>
        </w:numPr>
      </w:pPr>
      <w:r>
        <w:t xml:space="preserve">자가사용부동산(기업회계기준서 제1016호, 제1116호 참조). 미래에 자가사용하기 위한 부동산, 미래에 개발 후 자가사용할 부동산, 종업원이 사용하고 있는 부동산(종업원이 시장요율로 임차료를 지급하고 있는지는 관계없음), 처분 예정인 자가사용부동산을 포함한다.</w:t>
      </w:r>
    </w:p>
    <w:p>
      <w:pPr>
        <w:pStyle w:val="Compact"/>
        <w:numPr>
          <w:ilvl w:val="0"/>
          <w:numId w:val="1031"/>
        </w:numPr>
      </w:pPr>
    </w:p>
    <w:p>
      <w:pPr>
        <w:pStyle w:val="Compact"/>
        <w:numPr>
          <w:ilvl w:val="1"/>
          <w:numId w:val="1035"/>
        </w:numPr>
      </w:pPr>
      <w:r>
        <w:t xml:space="preserve">[국제회계기준위원회에서 삭제함]</w:t>
      </w:r>
    </w:p>
    <w:p>
      <w:pPr>
        <w:pStyle w:val="Compact"/>
        <w:numPr>
          <w:ilvl w:val="0"/>
          <w:numId w:val="1031"/>
        </w:numPr>
      </w:pPr>
    </w:p>
    <w:p>
      <w:pPr>
        <w:pStyle w:val="Compact"/>
        <w:numPr>
          <w:ilvl w:val="1"/>
          <w:numId w:val="1036"/>
        </w:numPr>
      </w:pPr>
      <w:r>
        <w:t xml:space="preserve">금융리스로 제공한 부동산</w:t>
      </w:r>
      <w:r>
        <w:rPr>
          <w:rStyle w:val="FootnoteReference"/>
        </w:rPr>
        <w:footnoteReference w:id="71"/>
      </w:r>
    </w:p>
    <w:p>
      <w:pPr>
        <w:pStyle w:val="FirstParagraph"/>
      </w:pPr>
      <w:r>
        <w:rPr>
          <w:b/>
          <w:bCs/>
        </w:rPr>
        <w:t xml:space="preserve">기업회계기준서 제1116호 문단 31</w:t>
      </w:r>
      <w:r>
        <w:br/>
      </w:r>
      <w:r>
        <w:t xml:space="preserve">리스이용자는 사용권자산을 감가상각할 때 문단 32의 요구사항을 전제로 기업회계기준서 제1016호 ’유형자산’의 감가상각에 대한 요구사항을 적용한다.</w:t>
      </w:r>
      <w:r>
        <w:rPr>
          <w:rStyle w:val="FootnoteReference"/>
        </w:rPr>
        <w:footnoteReference w:id="72"/>
      </w:r>
    </w:p>
    <w:p>
      <w:pPr>
        <w:pStyle w:val="BodyText"/>
      </w:pPr>
      <w:r>
        <w:rPr>
          <w:b/>
          <w:bCs/>
        </w:rPr>
        <w:t xml:space="preserve">기업회계기준서 제1116호 문단 67</w:t>
      </w:r>
      <w:r>
        <w:br/>
      </w:r>
      <w:r>
        <w:t xml:space="preserve">리스제공자는 리스개시일에 금융리스에 따라 보유하는 자산을 재무상태표에 인식하고 그 자산을 리스순투자와 동일한 금액의 수취채권으로 표시한다.</w:t>
      </w:r>
      <w:r>
        <w:rPr>
          <w:rStyle w:val="FootnoteReference"/>
        </w:rPr>
        <w:footnoteReference w:id="73"/>
      </w:r>
    </w:p>
    <w:p>
      <w:pPr>
        <w:pStyle w:val="BodyText"/>
      </w:pPr>
      <w:r>
        <w:rPr>
          <w:b/>
          <w:bCs/>
        </w:rPr>
        <w:t xml:space="preserve">기업회계기준서 제1116호 문단 75</w:t>
      </w:r>
      <w:r>
        <w:br/>
      </w:r>
      <w:r>
        <w:t xml:space="preserve">리스제공자는 자신의 리스순투자 금액에 일정한 기간수익률을 반영하는 방식으로 리스기간에 걸쳐 금융수익을 인식한다.</w:t>
      </w:r>
      <w:r>
        <w:rPr>
          <w:rStyle w:val="FootnoteReference"/>
        </w:rPr>
        <w:footnoteReference w:id="74"/>
      </w:r>
    </w:p>
    <w:p>
      <w:pPr>
        <w:pStyle w:val="BodyText"/>
      </w:pPr>
      <w:r>
        <w:rPr>
          <w:b/>
          <w:bCs/>
        </w:rPr>
        <w:t xml:space="preserve">기업회계기준서 제1116호 문단 IE8</w:t>
      </w:r>
      <w:r>
        <w:t xml:space="preserve"> </w:t>
      </w:r>
      <w:r>
        <w:t xml:space="preserve">(사례 20만 수록, 사례 21은 운용 전대리스여서 생략)</w:t>
      </w:r>
      <w:r>
        <w:br/>
      </w:r>
      <w:r>
        <w:t xml:space="preserve">사례 20~21에서는 같은 기초자산에 상위리스와 전대리스를 체결한 중간리스제공자가 기업회계기준서 제1116호의 요구사항을 적용하는 방법을 설명한다.</w:t>
      </w:r>
    </w:p>
    <w:p>
      <w:pPr>
        <w:pStyle w:val="BodyText"/>
      </w:pPr>
      <w:r>
        <w:t xml:space="preserve">사례 20. 금융리스로 분류하는 전대리스</w:t>
      </w:r>
    </w:p>
    <w:p>
      <w:pPr>
        <w:pStyle w:val="Compact"/>
        <w:numPr>
          <w:ilvl w:val="0"/>
          <w:numId w:val="1037"/>
        </w:numPr>
      </w:pPr>
      <w:r>
        <w:t xml:space="preserve">상위리스 - 중간리스제공자는 기업 A(상위리스제공자)와 사무실 공간 5,000제곱미터를 5년간 리스하는 계약(상위리스)을 체결한다.</w:t>
      </w:r>
    </w:p>
    <w:p>
      <w:pPr>
        <w:pStyle w:val="Compact"/>
        <w:numPr>
          <w:ilvl w:val="0"/>
          <w:numId w:val="1037"/>
        </w:numPr>
      </w:pPr>
      <w:r>
        <w:t xml:space="preserve">전대리스 - 3차 연도 초에 중간리스제공자는 전대리스이용자에게 상위리스의 나머지 3년간 사무실 공간 5,000제곱미터를 전대리스한다.</w:t>
      </w:r>
    </w:p>
    <w:p>
      <w:pPr>
        <w:pStyle w:val="Compact"/>
        <w:numPr>
          <w:ilvl w:val="0"/>
          <w:numId w:val="1037"/>
        </w:numPr>
      </w:pPr>
      <w:r>
        <w:t xml:space="preserve">중간리스제공자는 상위리스에서 생기는 사용권자산에 따라 전대리스를 분류한다. 중간리스제공자는 기업회계기준서 제1116호 문단 61~66의 요구사항을 고려하여 전대리스를 금융리스로 분류한다. 중간리스제공자가 전대리스를 체결할 때, 중간리스제공자는 다음과 같이 회계처리한다.</w:t>
      </w:r>
    </w:p>
    <w:p>
      <w:pPr>
        <w:pStyle w:val="Compact"/>
        <w:numPr>
          <w:ilvl w:val="1"/>
          <w:numId w:val="1038"/>
        </w:numPr>
      </w:pPr>
    </w:p>
    <w:p>
      <w:pPr>
        <w:pStyle w:val="Compact"/>
        <w:numPr>
          <w:ilvl w:val="2"/>
          <w:numId w:val="1039"/>
        </w:numPr>
      </w:pPr>
      <w:r>
        <w:t xml:space="preserve">전대리스이용자에게 이전하는 상위리스에 관련되는 사용권자산을 제거하고 전대리스 순투자를 인식한다.</w:t>
      </w:r>
    </w:p>
    <w:p>
      <w:pPr>
        <w:pStyle w:val="Compact"/>
        <w:numPr>
          <w:ilvl w:val="1"/>
          <w:numId w:val="1038"/>
        </w:numPr>
      </w:pPr>
    </w:p>
    <w:p>
      <w:pPr>
        <w:pStyle w:val="Compact"/>
        <w:numPr>
          <w:ilvl w:val="2"/>
          <w:numId w:val="1040"/>
        </w:numPr>
      </w:pPr>
      <w:r>
        <w:t xml:space="preserve">사용권자산과 전대리스 순투자의 모든 차이를 당기손익으로 인식한다.</w:t>
      </w:r>
    </w:p>
    <w:p>
      <w:pPr>
        <w:pStyle w:val="Compact"/>
        <w:numPr>
          <w:ilvl w:val="1"/>
          <w:numId w:val="1038"/>
        </w:numPr>
      </w:pPr>
    </w:p>
    <w:p>
      <w:pPr>
        <w:pStyle w:val="Compact"/>
        <w:numPr>
          <w:ilvl w:val="2"/>
          <w:numId w:val="1041"/>
        </w:numPr>
      </w:pPr>
      <w:r>
        <w:t xml:space="preserve">상위리스제공자에게 지급하는 리스료를 나타내는 상위리스 관련 리스부채를 재무상태표에 유지한다.</w:t>
      </w:r>
    </w:p>
    <w:p>
      <w:pPr>
        <w:pStyle w:val="Compact"/>
        <w:numPr>
          <w:ilvl w:val="0"/>
          <w:numId w:val="1037"/>
        </w:numPr>
      </w:pPr>
      <w:r>
        <w:t xml:space="preserve">전대리스 기간에 중간리스제공자는 전대리스의 금융수익과 상위리스의 이자비용을 모두 인식한다.</w:t>
      </w:r>
      <w:r>
        <w:rPr>
          <w:rStyle w:val="FootnoteReference"/>
        </w:rPr>
        <w:footnoteReference w:id="75"/>
      </w:r>
    </w:p>
    <w:p>
      <w:pPr>
        <w:pStyle w:val="FirstParagraph"/>
      </w:pPr>
      <w:r>
        <w:rPr>
          <w:b/>
          <w:bCs/>
        </w:rPr>
        <w:t xml:space="preserve">기업회계기준서 제1118호 문단 44</w:t>
      </w:r>
      <w:r>
        <w:br/>
      </w:r>
      <w:r>
        <w:t xml:space="preserve">한국채택국제회계기준서에서 요구하거나 허용하지 않으면 자산과 부채 또는 수익과 비용은 상계하지 아니한다. (문단 끝의 참조 표시는 원문 대조를 마치지 못해 생략)</w:t>
      </w:r>
      <w:r>
        <w:rPr>
          <w:rStyle w:val="FootnoteReference"/>
        </w:rPr>
        <w:footnoteReference w:id="76"/>
      </w:r>
    </w:p>
    <w:p>
      <w:pPr>
        <w:pStyle w:val="BodyText"/>
      </w:pPr>
      <w:r>
        <w:rPr>
          <w:b/>
          <w:bCs/>
        </w:rPr>
        <w:t xml:space="preserve">기업회계기준서 제1118호 문단 52</w:t>
      </w:r>
      <w:r>
        <w:br/>
      </w:r>
      <w:r>
        <w:t xml:space="preserve">다음 범주 중 어느 하나로 분류되지 않은, 손익계산서에 포함된 모든 수익과 비용을 영업 범주로 분류한다(문단 B42 참조).</w:t>
      </w:r>
    </w:p>
    <w:p>
      <w:pPr>
        <w:pStyle w:val="Compact"/>
        <w:numPr>
          <w:ilvl w:val="0"/>
          <w:numId w:val="1042"/>
        </w:numPr>
      </w:pPr>
      <w:r>
        <w:t xml:space="preserve">⑴ 투자 범주</w:t>
      </w:r>
    </w:p>
    <w:p>
      <w:pPr>
        <w:pStyle w:val="Compact"/>
        <w:numPr>
          <w:ilvl w:val="0"/>
          <w:numId w:val="1042"/>
        </w:numPr>
      </w:pPr>
      <w:r>
        <w:t xml:space="preserve">⑵ 재무 범주</w:t>
      </w:r>
    </w:p>
    <w:p>
      <w:pPr>
        <w:pStyle w:val="Compact"/>
        <w:numPr>
          <w:ilvl w:val="0"/>
          <w:numId w:val="1042"/>
        </w:numPr>
      </w:pPr>
      <w:r>
        <w:t xml:space="preserve">⑶ 법인세 범주</w:t>
      </w:r>
    </w:p>
    <w:p>
      <w:pPr>
        <w:pStyle w:val="Compact"/>
        <w:numPr>
          <w:ilvl w:val="0"/>
          <w:numId w:val="1042"/>
        </w:numPr>
      </w:pPr>
      <w:r>
        <w:t xml:space="preserve">⑷ 중단영업 범주</w:t>
      </w:r>
      <w:r>
        <w:rPr>
          <w:rStyle w:val="FootnoteReference"/>
        </w:rPr>
        <w:footnoteReference w:id="77"/>
      </w:r>
    </w:p>
    <w:p>
      <w:pPr>
        <w:pStyle w:val="FirstParagraph"/>
      </w:pPr>
      <w:r>
        <w:rPr>
          <w:b/>
          <w:bCs/>
        </w:rPr>
        <w:t xml:space="preserve">기업회계기준서 제1118호 문단 53</w:t>
      </w:r>
      <w:r>
        <w:br/>
      </w:r>
      <w:r>
        <w:t xml:space="preserve">특정한 주된 사업활동을 하는 기업에 대해 문단 55~58에서 요구하는 경우를 제외하고, 문단 54에서 명시한 대로 다음 자산에서 발생하는 수익과 비용을 투자 범주로 분류한다.</w:t>
      </w:r>
    </w:p>
    <w:p>
      <w:pPr>
        <w:pStyle w:val="Compact"/>
        <w:numPr>
          <w:ilvl w:val="0"/>
          <w:numId w:val="1043"/>
        </w:numPr>
      </w:pPr>
      <w:r>
        <w:t xml:space="preserve">⑴ 관계기업, 공동기업, 비연결종속기업에 대한 투자자산(문단 B43~B44 참조)</w:t>
      </w:r>
    </w:p>
    <w:p>
      <w:pPr>
        <w:pStyle w:val="Compact"/>
        <w:numPr>
          <w:ilvl w:val="0"/>
          <w:numId w:val="1043"/>
        </w:numPr>
      </w:pPr>
      <w:r>
        <w:t xml:space="preserve">⑵ 현금및현금성자산</w:t>
      </w:r>
    </w:p>
    <w:p>
      <w:pPr>
        <w:pStyle w:val="Compact"/>
        <w:numPr>
          <w:ilvl w:val="0"/>
          <w:numId w:val="1043"/>
        </w:numPr>
      </w:pPr>
      <w:r>
        <w:t xml:space="preserve">⑶ 개별적으로 그리고 기업의 다른 자원과 대부분 독립적으로 수익을 창출하는 기타 자산(문단 B45-B49 참조)</w:t>
      </w:r>
      <w:r>
        <w:rPr>
          <w:rStyle w:val="FootnoteReference"/>
        </w:rPr>
        <w:footnoteReference w:id="78"/>
      </w:r>
    </w:p>
    <w:p>
      <w:pPr>
        <w:pStyle w:val="FirstParagraph"/>
      </w:pPr>
      <w:r>
        <w:rPr>
          <w:b/>
          <w:bCs/>
        </w:rPr>
        <w:t xml:space="preserve">기업회계기준서 제1118호 문단 54</w:t>
      </w:r>
      <w:r>
        <w:br/>
      </w:r>
      <w:r>
        <w:t xml:space="preserve">문단 53에서 식별된 자산에서 발생하는 수익과 비용으로서 투자 범주로 분류해야 하는 수익과 비용은 손익계산서에 포함된 다음의 금액으로 구성된다(문단 B47 참조).</w:t>
      </w:r>
    </w:p>
    <w:p>
      <w:pPr>
        <w:pStyle w:val="Compact"/>
        <w:numPr>
          <w:ilvl w:val="0"/>
          <w:numId w:val="1044"/>
        </w:numPr>
      </w:pPr>
      <w:r>
        <w:t xml:space="preserve">⑴ 자산에서 발생한 수익</w:t>
      </w:r>
    </w:p>
    <w:p>
      <w:pPr>
        <w:pStyle w:val="Compact"/>
        <w:numPr>
          <w:ilvl w:val="0"/>
          <w:numId w:val="1044"/>
        </w:numPr>
      </w:pPr>
      <w:r>
        <w:t xml:space="preserve">⑵ 자산의 최초 측정 및 자산 제거를 포함한 후속 측정에서 발생한 수익과 비용</w:t>
      </w:r>
    </w:p>
    <w:p>
      <w:pPr>
        <w:pStyle w:val="Compact"/>
        <w:numPr>
          <w:ilvl w:val="0"/>
          <w:numId w:val="1044"/>
        </w:numPr>
      </w:pPr>
      <w:r>
        <w:t xml:space="preserve">⑶ 자산의 취득 및 처분과 직접 관련된 증분원가 (예: 거래 원가와 자산 매각 부대원가)</w:t>
      </w:r>
      <w:r>
        <w:rPr>
          <w:rStyle w:val="FootnoteReference"/>
        </w:rPr>
        <w:footnoteReference w:id="79"/>
      </w:r>
    </w:p>
    <w:p>
      <w:pPr>
        <w:pStyle w:val="FirstParagraph"/>
      </w:pPr>
      <w:r>
        <w:rPr>
          <w:b/>
          <w:bCs/>
        </w:rPr>
        <w:t xml:space="preserve">기업회계기준서 제1118호 문단 61</w:t>
      </w:r>
      <w:r>
        <w:br/>
      </w:r>
      <w:r>
        <w:t xml:space="preserve">문단 59⑵에 명시된 부채(즉, 자금조달에만 관련되지는 않는 거래에서 발생하는 부채)의 경우, 문단 63~64에 정한 경우를 제외하고 다음을 재무 범주로 분류한다.</w:t>
      </w:r>
    </w:p>
    <w:p>
      <w:pPr>
        <w:pStyle w:val="Compact"/>
        <w:numPr>
          <w:ilvl w:val="0"/>
          <w:numId w:val="1045"/>
        </w:numPr>
      </w:pPr>
      <w:r>
        <w:t xml:space="preserve">⑴ 이자수익과 이자비용. 단, 기업이 한국채택국제회계기준의 다른 요구사항을 적용하기 위해 이러한 수익과 비용을 식별하는 경우에 한함</w:t>
      </w:r>
    </w:p>
    <w:p>
      <w:pPr>
        <w:pStyle w:val="Compact"/>
        <w:numPr>
          <w:ilvl w:val="0"/>
          <w:numId w:val="1045"/>
        </w:numPr>
      </w:pPr>
      <w:r>
        <w:t xml:space="preserve">⑵ 이자율 변동으로 인해 발생한 수익과 비용. 단, 기업이 한국채택국제회계기준의 다른 요구사항을 적용하기 위해 이러한 수익과 비용을 식별하는 경우에 한함.</w:t>
      </w:r>
      <w:r>
        <w:rPr>
          <w:rStyle w:val="FootnoteReference"/>
        </w:rPr>
        <w:footnoteReference w:id="80"/>
      </w:r>
    </w:p>
    <w:p>
      <w:pPr>
        <w:pStyle w:val="FirstParagraph"/>
      </w:pPr>
      <w:r>
        <w:rPr>
          <w:b/>
          <w:bCs/>
        </w:rPr>
        <w:t xml:space="preserve">기업회계기준서 제1118호 문단 B32</w:t>
      </w:r>
      <w:r>
        <w:br/>
      </w:r>
      <w:r>
        <w:t xml:space="preserve">고객에게 금융을 제공하는 것이 주된 사업활동일 수 있는 기업의 예는 다음을 포함한다.</w:t>
      </w:r>
    </w:p>
    <w:p>
      <w:pPr>
        <w:pStyle w:val="Compact"/>
        <w:numPr>
          <w:ilvl w:val="0"/>
          <w:numId w:val="1046"/>
        </w:numPr>
      </w:pPr>
      <w:r>
        <w:t xml:space="preserve">⑴ 은행 및 기타 대출 기관</w:t>
      </w:r>
    </w:p>
    <w:p>
      <w:pPr>
        <w:pStyle w:val="Compact"/>
        <w:numPr>
          <w:ilvl w:val="0"/>
          <w:numId w:val="1046"/>
        </w:numPr>
      </w:pPr>
      <w:r>
        <w:t xml:space="preserve">⑵ 기업의 제품을 구매할 수 있도록 고객에게 금융을 제공하는 기업</w:t>
      </w:r>
    </w:p>
    <w:p>
      <w:pPr>
        <w:pStyle w:val="Compact"/>
        <w:numPr>
          <w:ilvl w:val="0"/>
          <w:numId w:val="1046"/>
        </w:numPr>
      </w:pPr>
      <w:r>
        <w:t xml:space="preserve">⑶ 금융리스로 고객에게 금융을 제공하는 리스제공자</w:t>
      </w:r>
      <w:r>
        <w:rPr>
          <w:rStyle w:val="FootnoteReference"/>
        </w:rPr>
        <w:footnoteReference w:id="81"/>
      </w:r>
    </w:p>
    <w:p>
      <w:pPr>
        <w:pStyle w:val="FirstParagraph"/>
      </w:pPr>
      <w:r>
        <w:rPr>
          <w:b/>
          <w:bCs/>
        </w:rPr>
        <w:t xml:space="preserve">기업회계기준서 제1118호 문단 B46</w:t>
      </w:r>
      <w:r>
        <w:br/>
      </w:r>
      <w:r>
        <w:t xml:space="preserve">문단 53⑶에서 개별적으로 그리고 기업의 다른 자원과 대부분 독립적으로 수익을 창출하는 자산은 일반적으로 다음을 포함한다.</w:t>
      </w:r>
    </w:p>
    <w:p>
      <w:pPr>
        <w:pStyle w:val="Compact"/>
        <w:numPr>
          <w:ilvl w:val="0"/>
          <w:numId w:val="1047"/>
        </w:numPr>
      </w:pPr>
      <w:r>
        <w:t xml:space="preserve">⑴ 채무상품 또는 지분상품</w:t>
      </w:r>
    </w:p>
    <w:p>
      <w:pPr>
        <w:pStyle w:val="Compact"/>
        <w:numPr>
          <w:ilvl w:val="0"/>
          <w:numId w:val="1047"/>
        </w:numPr>
      </w:pPr>
      <w:r>
        <w:t xml:space="preserve">⑵ 투자부동산 그리고 투자부동산에서 발생한 임대료 수취채권</w:t>
      </w:r>
      <w:r>
        <w:rPr>
          <w:rStyle w:val="FootnoteReference"/>
        </w:rPr>
        <w:footnoteReference w:id="82"/>
      </w:r>
    </w:p>
    <w:p>
      <w:pPr>
        <w:pStyle w:val="FirstParagraph"/>
      </w:pPr>
      <w:r>
        <w:rPr>
          <w:b/>
          <w:bCs/>
        </w:rPr>
        <w:t xml:space="preserve">기업회계기준서 제1118호 문단 B48</w:t>
      </w:r>
      <w:r>
        <w:br/>
      </w:r>
      <w:r>
        <w:t xml:space="preserve">재화나 용역을 생산하거나 공급하기 위해 결합하여 사용하는 자산은 개별적으로 그리고 기업의 다른 자원과 대부분 독립적으로 수익을 창출하지 않는다. 이러한 자산은 일반적으로 다음을 포함한다.</w:t>
      </w:r>
    </w:p>
    <w:p>
      <w:pPr>
        <w:pStyle w:val="Compact"/>
        <w:numPr>
          <w:ilvl w:val="0"/>
          <w:numId w:val="1048"/>
        </w:numPr>
      </w:pPr>
      <w:r>
        <w:t xml:space="preserve">⑴ 유형자산</w:t>
      </w:r>
    </w:p>
    <w:p>
      <w:pPr>
        <w:pStyle w:val="Compact"/>
        <w:numPr>
          <w:ilvl w:val="0"/>
          <w:numId w:val="1048"/>
        </w:numPr>
      </w:pPr>
      <w:r>
        <w:t xml:space="preserve">⑵ 수익과 비용이 영업 범주로 분류되는 재화와 용역의 생산 또는 공급으로 인해 생기는 자산(예를 들면, 이러한 재화와 용역에 대한 수취채권)</w:t>
      </w:r>
    </w:p>
    <w:p>
      <w:pPr>
        <w:pStyle w:val="Compact"/>
        <w:numPr>
          <w:ilvl w:val="0"/>
          <w:numId w:val="1048"/>
        </w:numPr>
      </w:pPr>
      <w:r>
        <w:t xml:space="preserve">⑶ 주된 사업활동으로 고객에게 금융을 제공하는 경우, 고객에 대한 모든 대출</w:t>
      </w:r>
      <w:r>
        <w:rPr>
          <w:rStyle w:val="FootnoteReference"/>
        </w:rPr>
        <w:footnoteReference w:id="83"/>
      </w:r>
    </w:p>
    <w:p>
      <w:pPr>
        <w:pStyle w:val="FirstParagraph"/>
      </w:pPr>
      <w:r>
        <w:rPr>
          <w:b/>
          <w:bCs/>
        </w:rPr>
        <w:t xml:space="preserve">기업회계기준서 제1118호 문단 B49</w:t>
      </w:r>
      <w:r>
        <w:br/>
      </w:r>
      <w:r>
        <w:t xml:space="preserve">문단 B48에서 기술한 자산의 수익과 비용은 영업 범주로 분류한다. 예를 들면, 다음과 같다.</w:t>
      </w:r>
    </w:p>
    <w:p>
      <w:pPr>
        <w:pStyle w:val="Compact"/>
        <w:numPr>
          <w:ilvl w:val="0"/>
          <w:numId w:val="1049"/>
        </w:numPr>
      </w:pPr>
      <w:r>
        <w:t xml:space="preserve">⑴ 자산을 결합하여 생산하거나 공급한 재화 또는 용역에 대한 수익</w:t>
      </w:r>
    </w:p>
    <w:p>
      <w:pPr>
        <w:pStyle w:val="Compact"/>
        <w:numPr>
          <w:ilvl w:val="0"/>
          <w:numId w:val="1049"/>
        </w:numPr>
      </w:pPr>
      <w:r>
        <w:t xml:space="preserve">⑵ 이자수익</w:t>
      </w:r>
    </w:p>
    <w:p>
      <w:pPr>
        <w:pStyle w:val="Compact"/>
        <w:numPr>
          <w:ilvl w:val="0"/>
          <w:numId w:val="1049"/>
        </w:numPr>
      </w:pPr>
      <w:r>
        <w:t xml:space="preserve">⑶ 감가상각비와 상각비</w:t>
      </w:r>
    </w:p>
    <w:p>
      <w:pPr>
        <w:pStyle w:val="Compact"/>
        <w:numPr>
          <w:ilvl w:val="0"/>
          <w:numId w:val="1049"/>
        </w:numPr>
      </w:pPr>
      <w:r>
        <w:t xml:space="preserve">⑷ 손상차손과 손상차손환입</w:t>
      </w:r>
    </w:p>
    <w:p>
      <w:pPr>
        <w:pStyle w:val="Compact"/>
        <w:numPr>
          <w:ilvl w:val="0"/>
          <w:numId w:val="1049"/>
        </w:numPr>
      </w:pPr>
      <w:r>
        <w:t xml:space="preserve">⑸ 자산 제거 또는 매각예정자산으로 분류 및 재측정으로 인해 발생하는 수익과 비용(문단 B60~B64 참조)</w:t>
      </w:r>
    </w:p>
    <w:p>
      <w:pPr>
        <w:pStyle w:val="Compact"/>
        <w:numPr>
          <w:ilvl w:val="0"/>
          <w:numId w:val="1049"/>
        </w:numPr>
      </w:pPr>
      <w:r>
        <w:t xml:space="preserve">⑹ 염가매수차익, 조건부대가의 재측정 등과 같이, 영업 범주로 분류될 수익과 비용을 발생시키는 자산을 포함한 사업결합에서 발생하는 수익과 비용</w:t>
      </w:r>
      <w:r>
        <w:rPr>
          <w:rStyle w:val="FootnoteReference"/>
        </w:rPr>
        <w:footnoteReference w:id="84"/>
      </w:r>
    </w:p>
    <w:p>
      <w:pPr>
        <w:pStyle w:val="FirstParagraph"/>
      </w:pPr>
      <w:r>
        <w:rPr>
          <w:b/>
          <w:bCs/>
        </w:rPr>
        <w:t xml:space="preserve">기업회계기준서 제1118호 문단 B53</w:t>
      </w:r>
      <w:r>
        <w:br/>
      </w:r>
      <w:r>
        <w:t xml:space="preserve">문단 59⑵는 자금조달에만 관련되지는 않는 거래에서 발생하는 부채를 식별할 것을 요구한다. 이러한 부채는 다음을 포함한다.</w:t>
      </w:r>
    </w:p>
    <w:p>
      <w:pPr>
        <w:pStyle w:val="Compact"/>
        <w:numPr>
          <w:ilvl w:val="0"/>
          <w:numId w:val="1050"/>
        </w:numPr>
      </w:pPr>
      <w:r>
        <w:t xml:space="preserve">⑴ 현금으로 결제될 재화 또는 용역에 대한 채무. 기업은 문단 B50⑴에 기술된 형태의 금융을 제공받는 것이 아니라 재화 또는 용역을 제공받는다.</w:t>
      </w:r>
    </w:p>
    <w:p>
      <w:pPr>
        <w:pStyle w:val="Compact"/>
        <w:numPr>
          <w:ilvl w:val="0"/>
          <w:numId w:val="1050"/>
        </w:numPr>
      </w:pPr>
      <w:r>
        <w:t xml:space="preserve">⑵ 계약부채. 기업은 문단 B50⑵에 기술된 현금 또는 자기지분상품을 반환하는 것이 아니라 재화와 용역을 반환할 것이다.</w:t>
      </w:r>
    </w:p>
    <w:p>
      <w:pPr>
        <w:pStyle w:val="Compact"/>
        <w:numPr>
          <w:ilvl w:val="0"/>
          <w:numId w:val="1050"/>
        </w:numPr>
      </w:pPr>
      <w:r>
        <w:t xml:space="preserve">⑶ 리스 부채. 기업은 문단 B50⑴에 기술된 형태의 금융을 제공받는 것이 아니라 사용권자산을 제공받는다.</w:t>
      </w:r>
    </w:p>
    <w:p>
      <w:pPr>
        <w:pStyle w:val="Compact"/>
        <w:numPr>
          <w:ilvl w:val="0"/>
          <w:numId w:val="1050"/>
        </w:numPr>
      </w:pPr>
      <w:r>
        <w:t xml:space="preserve">⑷ 확정급여형 연금부채. 기업은 문단 B50⑴에서 기술된 형태의 금융을 제공받는 것이 아니라 종업원 용역을 제공받는다.</w:t>
      </w:r>
    </w:p>
    <w:p>
      <w:pPr>
        <w:pStyle w:val="Compact"/>
        <w:numPr>
          <w:ilvl w:val="0"/>
          <w:numId w:val="1050"/>
        </w:numPr>
      </w:pPr>
      <w:r>
        <w:t xml:space="preserve">⑸ 사후처리 또는 자산 복구관련 충당부채. 기업은 문단 B50⑴에 기술된 형태의 금융이 아닌 자산을 제공받는다.</w:t>
      </w:r>
    </w:p>
    <w:p>
      <w:pPr>
        <w:pStyle w:val="Compact"/>
        <w:numPr>
          <w:ilvl w:val="0"/>
          <w:numId w:val="1050"/>
        </w:numPr>
      </w:pPr>
      <w:r>
        <w:t xml:space="preserve">⑹ 소송 충당금. 기업은 문단 B50⑴에 기술된 금융을 제공받지 않는다.</w:t>
      </w:r>
      <w:r>
        <w:rPr>
          <w:rStyle w:val="FootnoteReference"/>
        </w:rPr>
        <w:footnoteReference w:id="85"/>
      </w:r>
    </w:p>
    <w:p>
      <w:pPr>
        <w:pStyle w:val="FirstParagraph"/>
      </w:pPr>
      <w:r>
        <w:rPr>
          <w:b/>
          <w:bCs/>
        </w:rPr>
        <w:t xml:space="preserve">기업회계기준서 제1118호 문단 B54</w:t>
      </w:r>
      <w:r>
        <w:br/>
      </w:r>
      <w:r>
        <w:t xml:space="preserve">문단 61에서 재무 범주로 분류하도록 요구하는 부채에서 발생하는 수익과 비용의 예는 다음과 같다.</w:t>
      </w:r>
    </w:p>
    <w:p>
      <w:pPr>
        <w:pStyle w:val="Compact"/>
        <w:numPr>
          <w:ilvl w:val="0"/>
          <w:numId w:val="1051"/>
        </w:numPr>
      </w:pPr>
      <w:r>
        <w:t xml:space="preserve">⑴ 기업회계기준서 제1109호에 따른 재화 또는 용역 구매에서 발생한 채무의 이자비용</w:t>
      </w:r>
    </w:p>
    <w:p>
      <w:pPr>
        <w:pStyle w:val="Compact"/>
        <w:numPr>
          <w:ilvl w:val="0"/>
          <w:numId w:val="1051"/>
        </w:numPr>
      </w:pPr>
      <w:r>
        <w:t xml:space="preserve">⑵ 기업회계기준서 제1115호에 명시된 유의적인 금융요소가 있는 계약부채의 이자비용</w:t>
      </w:r>
    </w:p>
    <w:p>
      <w:pPr>
        <w:pStyle w:val="Compact"/>
        <w:numPr>
          <w:ilvl w:val="0"/>
          <w:numId w:val="1051"/>
        </w:numPr>
      </w:pPr>
      <w:r>
        <w:t xml:space="preserve">⑶ 기업회계기준서 제1116호에 따른 리스부채의 이자비용</w:t>
      </w:r>
    </w:p>
    <w:p>
      <w:pPr>
        <w:pStyle w:val="Compact"/>
        <w:numPr>
          <w:ilvl w:val="0"/>
          <w:numId w:val="1051"/>
        </w:numPr>
      </w:pPr>
      <w:r>
        <w:t xml:space="preserve">⑷ 기업회계기준서 제1019호에 따른 순확정급여부채(자산)의 순이자비용(수익)</w:t>
      </w:r>
    </w:p>
    <w:p>
      <w:pPr>
        <w:pStyle w:val="Compact"/>
        <w:numPr>
          <w:ilvl w:val="0"/>
          <w:numId w:val="1051"/>
        </w:numPr>
      </w:pPr>
      <w:r>
        <w:t xml:space="preserve">⑸ 기업회계기준서 제1037호에 따른 시간의 경과와 충당부채에 대한 할인율 변동으로 인해 발생하는 충당부채 할인액의 증가</w:t>
      </w:r>
      <w:r>
        <w:rPr>
          <w:rStyle w:val="FootnoteReference"/>
        </w:rPr>
        <w:footnoteReference w:id="86"/>
      </w:r>
    </w:p>
    <w:p>
      <w:pPr>
        <w:pStyle w:val="FirstParagraph"/>
      </w:pPr>
      <w:r>
        <w:rPr>
          <w:b/>
          <w:bCs/>
        </w:rPr>
        <w:t xml:space="preserve">기업회계기준서 제1118호 문단 B60</w:t>
      </w:r>
      <w:r>
        <w:br/>
      </w:r>
      <w:r>
        <w:t xml:space="preserve">문단 B47⑺과 B49⑸는 자산을 제거하거나 매각예정으로 분류할 때 발생하는 수익과 비용을 언급한다. 자산을 제거하거나 매각예정으로 분류할 때 그리고 매각예정으로 분류하는 동안 후속 측정할 때 발생하는 수익과 비용은 자산을 제거하기 직전에 그 자산에서 발생한 수익 및 비용과 동일한 범주로 분류해야 한다. 예를 들면, 손익을 다음과 같이 분류한다.</w:t>
      </w:r>
    </w:p>
    <w:p>
      <w:pPr>
        <w:pStyle w:val="Compact"/>
        <w:numPr>
          <w:ilvl w:val="0"/>
          <w:numId w:val="1052"/>
        </w:numPr>
      </w:pPr>
      <w:r>
        <w:t xml:space="preserve">⑴ 유형자산 처분에 따른 손익은 영업 범주로 분류한다.</w:t>
      </w:r>
    </w:p>
    <w:p>
      <w:pPr>
        <w:pStyle w:val="Compact"/>
        <w:numPr>
          <w:ilvl w:val="0"/>
          <w:numId w:val="1052"/>
        </w:numPr>
      </w:pPr>
      <w:r>
        <w:t xml:space="preserve">⑵ 주된 사업활동으로 자산에 투자하지 않는 경우 투자부동산 처분에 따른 손익은 투자 범주로 분류한다.</w:t>
      </w:r>
    </w:p>
    <w:p>
      <w:pPr>
        <w:pStyle w:val="Compact"/>
        <w:numPr>
          <w:ilvl w:val="0"/>
          <w:numId w:val="1052"/>
        </w:numPr>
      </w:pPr>
      <w:r>
        <w:t xml:space="preserve">⑶ 종속기업의 단계적 취득 시 이전에 지분법을 적용하여 회계처리한 관계기업에 대한 투자자산의 재측정손익은 투자 범주로 분류한다.</w:t>
      </w:r>
      <w:r>
        <w:rPr>
          <w:rStyle w:val="FootnoteReference"/>
        </w:rPr>
        <w:footnoteReference w:id="87"/>
      </w:r>
    </w:p>
    <w:p>
      <w:pPr>
        <w:pStyle w:val="FirstParagraph"/>
      </w:pPr>
      <w:r>
        <w:rPr>
          <w:b/>
          <w:bCs/>
        </w:rPr>
        <w:t xml:space="preserve">기업회계기준서 제1118호 문단 BC142</w:t>
      </w:r>
      <w:r>
        <w:br/>
      </w:r>
      <w:r>
        <w:t xml:space="preserve">개별적으로 그리고 기업의 다른 자원과 대부분 독립적으로 수익을 창출하는 기타 자산(예: 채무상품, 지분상품 투자)은 다음과 같은 자산이 수익을 창출하는 방식과 다르게 수익을 창출한다.</w:t>
      </w:r>
    </w:p>
    <w:p>
      <w:pPr>
        <w:pStyle w:val="Compact"/>
        <w:numPr>
          <w:ilvl w:val="0"/>
          <w:numId w:val="1053"/>
        </w:numPr>
      </w:pPr>
      <w:r>
        <w:t xml:space="preserve">⑴ 재화를 생산하거나 용역을 제공하기 위해 사용하는 제조설비와 같이, 기업의 다른 자원과 개별적으로 그리고 대부분 독립적으로 수익을 창출하지 않는 자산</w:t>
      </w:r>
    </w:p>
    <w:p>
      <w:pPr>
        <w:pStyle w:val="Compact"/>
        <w:numPr>
          <w:ilvl w:val="0"/>
          <w:numId w:val="1053"/>
        </w:numPr>
      </w:pPr>
      <w:r>
        <w:t xml:space="preserve">⑵ 수익과 비용이 영업 범주로 분류되는 재화와 용역의 공급에서 발생하는 채권과 같이, 기업의 다른 자원과 대부분 독립적이지는 않지만 개별적으로 수익을 창출하는 자산</w:t>
      </w:r>
    </w:p>
    <w:p>
      <w:pPr>
        <w:pStyle w:val="Compact"/>
        <w:numPr>
          <w:ilvl w:val="0"/>
          <w:numId w:val="1053"/>
        </w:numPr>
      </w:pPr>
      <w:r>
        <w:t xml:space="preserve">⑶ 매각예정인 처분자산집단과 같이, 기업의 다른 자원과 대부분 독립적이지만 자산집단의 일부로서만 수익을 창출하는 자산</w:t>
      </w:r>
      <w:r>
        <w:rPr>
          <w:rStyle w:val="FootnoteReference"/>
        </w:rPr>
        <w:footnoteReference w:id="88"/>
      </w:r>
    </w:p>
    <w:p>
      <w:pPr>
        <w:pStyle w:val="FirstParagraph"/>
      </w:pPr>
      <w:r>
        <w:rPr>
          <w:b/>
          <w:bCs/>
        </w:rPr>
        <w:t xml:space="preserve">기업회계기준서 제1118호 문단 BC159</w:t>
      </w:r>
      <w:r>
        <w:br/>
      </w:r>
      <w:r>
        <w:t xml:space="preserve">그 대신 IASB는 성격 상으로 자금조달에 해당하는 수익과 비용에 보다 넓게 초점을 맞춘 실용적인 접근법을 개발하였다. 이를 위해 IASB는 다음을 구분하기로 하였다.</w:t>
      </w:r>
    </w:p>
    <w:p>
      <w:pPr>
        <w:pStyle w:val="Compact"/>
        <w:numPr>
          <w:ilvl w:val="0"/>
          <w:numId w:val="1054"/>
        </w:numPr>
      </w:pPr>
      <w:r>
        <w:t xml:space="preserve">⑴ 회사채, 은행 차입금 그리고 부동산담보대출과 같이, 자금조달에만 관련된 거래에서 발생한 부채. 영업, 투자 활동을 위한 자금조달만이 이러한 거래의 목적이므로, 이러한 부채에서 발생하는 수익과 비용은 재무 범주로 분류한다.</w:t>
      </w:r>
    </w:p>
    <w:p>
      <w:pPr>
        <w:pStyle w:val="Compact"/>
        <w:numPr>
          <w:ilvl w:val="0"/>
          <w:numId w:val="1054"/>
        </w:numPr>
      </w:pPr>
      <w:r>
        <w:t xml:space="preserve">⑵ 재화 또는 용역을 수취하고 지급기일이 연장된 채무, 리스부채 그리고 연금부채와 같이, 자금조달에만 관련되지는 않는 거래에서 발생하는 부채. 이러한 거래는 영업 (또는 투자) 활동에 기여하면서 금융을 제공한다. 성격 상으로 자금조달에 해당하여 이러한 부채에서 발생하는 일부의 수익과 비용을 재무 범주로 분류한다. (문단 BC164~BC168 참조)</w:t>
      </w:r>
      <w:r>
        <w:rPr>
          <w:rStyle w:val="FootnoteReference"/>
        </w:rPr>
        <w:footnoteReference w:id="89"/>
      </w:r>
    </w:p>
    <w:p>
      <w:pPr>
        <w:pStyle w:val="FirstParagraph"/>
      </w:pPr>
      <w:r>
        <w:rPr>
          <w:b/>
          <w:bCs/>
        </w:rPr>
        <w:t xml:space="preserve">기업회계기준서 제1118호 문단 BC198</w:t>
      </w:r>
      <w:r>
        <w:br/>
      </w:r>
      <w:r>
        <w:t xml:space="preserve">중간리스제공자는 다른 당사자로부터 리스한 자산을 전대한다. IASB는 중간리스제공자가 리스부채에 대한 이자비용을 재무 범주 대신 영업 범주로 분류해야 하는지를 고려하였다. 전대리스가 금융리스인 경우 전대채권에 대한 금융수익과 리스부채에 대한 이자비용의 차이가 중간리스제공자의 영업성과의 주요 측정치가 될 수 있다.</w:t>
      </w:r>
      <w:r>
        <w:rPr>
          <w:rStyle w:val="FootnoteReference"/>
        </w:rPr>
        <w:footnoteReference w:id="90"/>
      </w:r>
    </w:p>
    <w:p>
      <w:pPr>
        <w:pStyle w:val="BodyText"/>
      </w:pPr>
      <w:r>
        <w:rPr>
          <w:b/>
          <w:bCs/>
        </w:rPr>
        <w:t xml:space="preserve">기업회계기준서 제1118호 문단 BC199</w:t>
      </w:r>
      <w:r>
        <w:br/>
      </w:r>
      <w:r>
        <w:t xml:space="preserve">IASB는 중간리스제공자에 대한 특정 요구사항을 개발하지 않기로 결정하였다. 그러한 기업은 리스부채에 대한 수익 및 비용을 재무 범주로 분류해야 한다. 연구 및 이해관계자와의 토론에서는 전대리스 채권에 대한 금융수익과 리스부채에 대한 이자비용의 차이는 일반적으로 다음과 같은 이유로 많은 중간리스제공자의 주요 성과측정치가 아닌 것으로 나타났다.</w:t>
      </w:r>
    </w:p>
    <w:p>
      <w:pPr>
        <w:pStyle w:val="Compact"/>
        <w:numPr>
          <w:ilvl w:val="0"/>
          <w:numId w:val="1055"/>
        </w:numPr>
      </w:pPr>
      <w:r>
        <w:t xml:space="preserve">⑴ 전대리스는 일반적으로 금융 전대리스가 아니라 운용 전대리스이다.</w:t>
      </w:r>
    </w:p>
    <w:p>
      <w:pPr>
        <w:pStyle w:val="Compact"/>
        <w:numPr>
          <w:ilvl w:val="0"/>
          <w:numId w:val="1055"/>
        </w:numPr>
      </w:pPr>
      <w:r>
        <w:t xml:space="preserve">⑵ 전대리스는 일반적으로 금융 전대리스를 하는 중간리스제공자의 주된 사업활동이 아니다. 금융 전대리스는 대부분 미사용중인 사무실 공간과 같은 자산과 관련이 있다.</w:t>
      </w:r>
      <w:r>
        <w:rPr>
          <w:rStyle w:val="FootnoteReference"/>
        </w:rPr>
        <w:footnoteReference w:id="91"/>
      </w:r>
    </w:p>
    <w:p>
      <w:pPr>
        <w:pStyle w:val="FirstParagraph"/>
      </w:pPr>
      <w:r>
        <w:rPr>
          <w:b/>
          <w:bCs/>
        </w:rPr>
        <w:t xml:space="preserve">기업회계기준서 제1118호 문단 BC202</w:t>
      </w:r>
      <w:r>
        <w:br/>
      </w:r>
      <w:r>
        <w:t xml:space="preserve">이해관계자들은 IASB에 해당 손익이</w:t>
      </w:r>
      <w:r>
        <w:t xml:space="preserve"> </w:t>
      </w:r>
      <w:r>
        <w:t xml:space="preserve">‘기존’</w:t>
      </w:r>
      <w:r>
        <w:t xml:space="preserve"> </w:t>
      </w:r>
      <w:r>
        <w:t xml:space="preserve">또는</w:t>
      </w:r>
      <w:r>
        <w:t xml:space="preserve"> </w:t>
      </w:r>
      <w:r>
        <w:t xml:space="preserve">‘새로운’</w:t>
      </w:r>
      <w:r>
        <w:t xml:space="preserve"> </w:t>
      </w:r>
      <w:r>
        <w:t xml:space="preserve">수익과 비용 분류 중 무엇을 사용하여 분류되는지 명확히 해달라고 요청하였다. IASB는 자산이나 부채의 제거로 인한 손익은 해당 자산이나 부채에서 발생하는 다른 손익과 동일한 방식으로 분류된다고 결론내렸다. 예를 들어, 문단 BC200에서 논의한 사업결합에서 기업은 관계기업에 대해 이전에 보유했던 투자를 재측정함으로써 발생하는 손익을 투자 범주(즉,</w:t>
      </w:r>
      <w:r>
        <w:t xml:space="preserve"> </w:t>
      </w:r>
      <w:r>
        <w:t xml:space="preserve">‘이전’</w:t>
      </w:r>
      <w:r>
        <w:t xml:space="preserve"> </w:t>
      </w:r>
      <w:r>
        <w:t xml:space="preserve">범주)로 분류한다. 즉 이는 종전에 해당 관계기업 투자에서 발생한 기타 수익 및 비용을 투자 범주로 분류했던 것과 동일한 범주이다.</w:t>
      </w:r>
      <w:r>
        <w:rPr>
          <w:rStyle w:val="FootnoteReference"/>
        </w:rPr>
        <w:footnoteReference w:id="92"/>
      </w:r>
    </w:p>
    <w:p>
      <w:pPr>
        <w:pStyle w:val="BodyText"/>
      </w:pPr>
      <w:r>
        <w:rPr>
          <w:b/>
          <w:bCs/>
        </w:rPr>
        <w:t xml:space="preserve">기업회계기준서 제1118호 문단 C1</w:t>
      </w:r>
      <w:r>
        <w:br/>
      </w:r>
      <w:r>
        <w:t xml:space="preserve">이 기준서는 2027년 1월 1일 이후 최초로 시작하는 회계연도부터 적용하며 조기 적용을 허용한다. 이 기준서를 조기 적용한 경우에는 그 사실을 공시한다.</w:t>
      </w:r>
      <w:r>
        <w:rPr>
          <w:rStyle w:val="FootnoteReference"/>
        </w:rPr>
        <w:footnoteReference w:id="93"/>
      </w:r>
    </w:p>
    <w:bookmarkEnd w:id="94"/>
    <w:sectPr>
      <w:headerReference r:id="rId9" w:type="default"/>
      <w:footerReference r:id="rId10" w:type="default"/>
      <w:footnotePr>
        <w:numRestart w:val="eachSect"/>
      </w:footnotePr>
      <w:pgSz w:h="16838" w:w="11906"/>
      <w:pgMar w:bottom="1134" w:left="1134" w:right="113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기업회계기준서 제1118호 문단 C1. 회계위키, https://accountingwiki.co.kr/standards/1118#pC1</w:t>
      </w:r>
    </w:p>
  </w:footnote>
  <w:footnote w:id="24">
    <w:p>
      <w:pPr>
        <w:pStyle w:val="FootnoteText"/>
      </w:pPr>
      <w:r>
        <w:rPr>
          <w:rStyle w:val="FootnoteReference"/>
        </w:rPr>
        <w:footnoteRef/>
      </w:r>
      <w:r>
        <w:t xml:space="preserve"> </w:t>
      </w:r>
      <w:r>
        <w:t xml:space="preserve">기업회계기준서 제1118호 문단 BC198(결론도출근거). 회계위키, https://accountingwiki.co.kr/standards/1118/bc#pBC198</w:t>
      </w:r>
    </w:p>
  </w:footnote>
  <w:footnote w:id="25">
    <w:p>
      <w:pPr>
        <w:pStyle w:val="FootnoteText"/>
      </w:pPr>
      <w:r>
        <w:rPr>
          <w:rStyle w:val="FootnoteReference"/>
        </w:rPr>
        <w:footnoteRef/>
      </w:r>
      <w:r>
        <w:t xml:space="preserve"> </w:t>
      </w:r>
      <w:r>
        <w:t xml:space="preserve">기업회계기준서 제1118호 문단 BC199(결론도출근거). 회계위키, https://accountingwiki.co.kr/standards/1118/bc#pBC199</w:t>
      </w:r>
    </w:p>
  </w:footnote>
  <w:footnote w:id="26">
    <w:p>
      <w:pPr>
        <w:pStyle w:val="FootnoteText"/>
      </w:pPr>
      <w:r>
        <w:rPr>
          <w:rStyle w:val="FootnoteReference"/>
        </w:rPr>
        <w:footnoteRef/>
      </w:r>
      <w:r>
        <w:t xml:space="preserve"> </w:t>
      </w:r>
      <w:r>
        <w:t xml:space="preserve">기업회계기준서 제1118호 문단 BC198(결론도출근거). 회계위키, https://accountingwiki.co.kr/standards/1118/bc#pBC198</w:t>
      </w:r>
    </w:p>
  </w:footnote>
  <w:footnote w:id="27">
    <w:p>
      <w:pPr>
        <w:pStyle w:val="FootnoteText"/>
      </w:pPr>
      <w:r>
        <w:rPr>
          <w:rStyle w:val="FootnoteReference"/>
        </w:rPr>
        <w:footnoteRef/>
      </w:r>
      <w:r>
        <w:t xml:space="preserve"> </w:t>
      </w:r>
      <w:r>
        <w:t xml:space="preserve">기업회계기준서 제1118호 문단 BC199(결론도출근거). 회계위키, https://accountingwiki.co.kr/standards/1118/bc#pBC199</w:t>
      </w:r>
    </w:p>
  </w:footnote>
  <w:footnote w:id="29">
    <w:p>
      <w:pPr>
        <w:pStyle w:val="FootnoteText"/>
      </w:pPr>
      <w:r>
        <w:rPr>
          <w:rStyle w:val="FootnoteReference"/>
        </w:rPr>
        <w:footnoteRef/>
      </w:r>
      <w:r>
        <w:t xml:space="preserve"> </w:t>
      </w:r>
      <w:r>
        <w:t xml:space="preserve">기업회계기준서 제1118호 문단 61. 회계위키, https://accountingwiki.co.kr/standards/1118#p61</w:t>
      </w:r>
    </w:p>
  </w:footnote>
  <w:footnote w:id="30">
    <w:p>
      <w:pPr>
        <w:pStyle w:val="FootnoteText"/>
      </w:pPr>
      <w:r>
        <w:rPr>
          <w:rStyle w:val="FootnoteReference"/>
        </w:rPr>
        <w:footnoteRef/>
      </w:r>
      <w:r>
        <w:t xml:space="preserve"> </w:t>
      </w:r>
      <w:r>
        <w:t xml:space="preserve">기업회계기준서 제1118호 문단 B53. 회계위키, https://accountingwiki.co.kr/standards/1118/b#pB53</w:t>
      </w:r>
    </w:p>
  </w:footnote>
  <w:footnote w:id="31">
    <w:p>
      <w:pPr>
        <w:pStyle w:val="FootnoteText"/>
      </w:pPr>
      <w:r>
        <w:rPr>
          <w:rStyle w:val="FootnoteReference"/>
        </w:rPr>
        <w:footnoteRef/>
      </w:r>
      <w:r>
        <w:t xml:space="preserve"> </w:t>
      </w:r>
      <w:r>
        <w:t xml:space="preserve">기업회계기준서 제1118호 문단 B54. 회계위키, https://accountingwiki.co.kr/standards/1118/b#pB54</w:t>
      </w:r>
    </w:p>
  </w:footnote>
  <w:footnote w:id="32">
    <w:p>
      <w:pPr>
        <w:pStyle w:val="FootnoteText"/>
      </w:pPr>
      <w:r>
        <w:rPr>
          <w:rStyle w:val="FootnoteReference"/>
        </w:rPr>
        <w:footnoteRef/>
      </w:r>
      <w:r>
        <w:t xml:space="preserve"> </w:t>
      </w:r>
      <w:r>
        <w:t xml:space="preserve">기업회계기준서 제1116호 문단 IE8 사례 20. 회계위키, https://accountingwiki.co.kr/standards/1116/ig#pIE8</w:t>
      </w:r>
    </w:p>
  </w:footnote>
  <w:footnote w:id="33">
    <w:p>
      <w:pPr>
        <w:pStyle w:val="FootnoteText"/>
      </w:pPr>
      <w:r>
        <w:rPr>
          <w:rStyle w:val="FootnoteReference"/>
        </w:rPr>
        <w:footnoteRef/>
      </w:r>
      <w:r>
        <w:t xml:space="preserve"> </w:t>
      </w:r>
      <w:r>
        <w:t xml:space="preserve">기업회계기준서 제1118호 문단 BC159(결론도출근거). 회계위키, https://accountingwiki.co.kr/standards/1118/bc#pBC159</w:t>
      </w:r>
    </w:p>
  </w:footnote>
  <w:footnote w:id="34">
    <w:p>
      <w:pPr>
        <w:pStyle w:val="FootnoteText"/>
      </w:pPr>
      <w:r>
        <w:rPr>
          <w:rStyle w:val="FootnoteReference"/>
        </w:rPr>
        <w:footnoteRef/>
      </w:r>
      <w:r>
        <w:t xml:space="preserve"> </w:t>
      </w:r>
      <w:r>
        <w:t xml:space="preserve">기업회계기준서 제1118호 문단 BC199(결론도출근거). 회계위키, https://accountingwiki.co.kr/standards/1118/bc#pBC199</w:t>
      </w:r>
    </w:p>
  </w:footnote>
  <w:footnote w:id="36">
    <w:p>
      <w:pPr>
        <w:pStyle w:val="FootnoteText"/>
      </w:pPr>
      <w:r>
        <w:rPr>
          <w:rStyle w:val="FootnoteReference"/>
        </w:rPr>
        <w:footnoteRef/>
      </w:r>
      <w:r>
        <w:t xml:space="preserve"> </w:t>
      </w:r>
      <w:r>
        <w:t xml:space="preserve">회계위키 실무해설 「[영업/투자 경계] (3) 자산 임대수익과 처분손익」 개념 1.4(비공식 해설. 대형 회계법인 제안 견해 소개, 공식 결론 없음). 회계위키, https://accountingwiki.co.kr/articles/ifrs18-rental-income-disposals</w:t>
      </w:r>
    </w:p>
  </w:footnote>
  <w:footnote w:id="37">
    <w:p>
      <w:pPr>
        <w:pStyle w:val="FootnoteText"/>
      </w:pPr>
      <w:r>
        <w:rPr>
          <w:rStyle w:val="FootnoteReference"/>
        </w:rPr>
        <w:footnoteRef/>
      </w:r>
      <w:r>
        <w:t xml:space="preserve"> </w:t>
      </w:r>
      <w:r>
        <w:t xml:space="preserve">기업회계기준서 제1116호 문단 67. 회계위키, https://accountingwiki.co.kr/standards/1116#p67</w:t>
      </w:r>
    </w:p>
  </w:footnote>
  <w:footnote w:id="38">
    <w:p>
      <w:pPr>
        <w:pStyle w:val="FootnoteText"/>
      </w:pPr>
      <w:r>
        <w:rPr>
          <w:rStyle w:val="FootnoteReference"/>
        </w:rPr>
        <w:footnoteRef/>
      </w:r>
      <w:r>
        <w:t xml:space="preserve"> </w:t>
      </w:r>
      <w:r>
        <w:t xml:space="preserve">기업회계기준서 제1116호 문단 75. 회계위키, https://accountingwiki.co.kr/standards/1116#p75</w:t>
      </w:r>
    </w:p>
  </w:footnote>
  <w:footnote w:id="39">
    <w:p>
      <w:pPr>
        <w:pStyle w:val="FootnoteText"/>
      </w:pPr>
      <w:r>
        <w:rPr>
          <w:rStyle w:val="FootnoteReference"/>
        </w:rPr>
        <w:footnoteRef/>
      </w:r>
      <w:r>
        <w:t xml:space="preserve"> </w:t>
      </w:r>
      <w:r>
        <w:t xml:space="preserve">기업회계기준서 제1118호 문단 53. 회계위키, https://accountingwiki.co.kr/standards/1118#p53</w:t>
      </w:r>
    </w:p>
  </w:footnote>
  <w:footnote w:id="40">
    <w:p>
      <w:pPr>
        <w:pStyle w:val="FootnoteText"/>
      </w:pPr>
      <w:r>
        <w:rPr>
          <w:rStyle w:val="FootnoteReference"/>
        </w:rPr>
        <w:footnoteRef/>
      </w:r>
      <w:r>
        <w:t xml:space="preserve"> </w:t>
      </w:r>
      <w:r>
        <w:t xml:space="preserve">기업회계기준서 제1118호 문단 54. 회계위키, https://accountingwiki.co.kr/standards/1118#p54</w:t>
      </w:r>
    </w:p>
  </w:footnote>
  <w:footnote w:id="41">
    <w:p>
      <w:pPr>
        <w:pStyle w:val="FootnoteText"/>
      </w:pPr>
      <w:r>
        <w:rPr>
          <w:rStyle w:val="FootnoteReference"/>
        </w:rPr>
        <w:footnoteRef/>
      </w:r>
      <w:r>
        <w:t xml:space="preserve"> </w:t>
      </w:r>
      <w:r>
        <w:t xml:space="preserve">기업회계기준서 제1118호 문단 B46. 회계위키, https://accountingwiki.co.kr/standards/1118/b#pB46</w:t>
      </w:r>
    </w:p>
  </w:footnote>
  <w:footnote w:id="42">
    <w:p>
      <w:pPr>
        <w:pStyle w:val="FootnoteText"/>
      </w:pPr>
      <w:r>
        <w:rPr>
          <w:rStyle w:val="FootnoteReference"/>
        </w:rPr>
        <w:footnoteRef/>
      </w:r>
      <w:r>
        <w:t xml:space="preserve"> </w:t>
      </w:r>
      <w:r>
        <w:t xml:space="preserve">기업회계기준서 제1118호 문단 44. 회계위키, https://accountingwiki.co.kr/standards/1118#p44</w:t>
      </w:r>
    </w:p>
  </w:footnote>
  <w:footnote w:id="43">
    <w:p>
      <w:pPr>
        <w:pStyle w:val="FootnoteText"/>
      </w:pPr>
      <w:r>
        <w:rPr>
          <w:rStyle w:val="FootnoteReference"/>
        </w:rPr>
        <w:footnoteRef/>
      </w:r>
      <w:r>
        <w:t xml:space="preserve"> </w:t>
      </w:r>
      <w:r>
        <w:t xml:space="preserve">기업회계기준서 제1118호 문단 BC142(결론도출근거). 회계위키, https://accountingwiki.co.kr/standards/1118/bc#pBC142</w:t>
      </w:r>
    </w:p>
  </w:footnote>
  <w:footnote w:id="44">
    <w:p>
      <w:pPr>
        <w:pStyle w:val="FootnoteText"/>
      </w:pPr>
      <w:r>
        <w:rPr>
          <w:rStyle w:val="FootnoteReference"/>
        </w:rPr>
        <w:footnoteRef/>
      </w:r>
      <w:r>
        <w:t xml:space="preserve"> </w:t>
      </w:r>
      <w:r>
        <w:t xml:space="preserve">기업회계기준서 제1116호 문단 67. 회계위키, https://accountingwiki.co.kr/standards/1116#p67</w:t>
      </w:r>
    </w:p>
  </w:footnote>
  <w:footnote w:id="45">
    <w:p>
      <w:pPr>
        <w:pStyle w:val="FootnoteText"/>
      </w:pPr>
      <w:r>
        <w:rPr>
          <w:rStyle w:val="FootnoteReference"/>
        </w:rPr>
        <w:footnoteRef/>
      </w:r>
      <w:r>
        <w:t xml:space="preserve"> </w:t>
      </w:r>
      <w:r>
        <w:t xml:space="preserve">회계위키 실무해설 「[영업/투자 경계] (2) 매출채권·미수금」 개념 1.6(정착지원 TF 논의 소개, 비공식). 회계위키, https://accountingwiki.co.kr/articles/ifrs18-receivables</w:t>
      </w:r>
    </w:p>
  </w:footnote>
  <w:footnote w:id="47">
    <w:p>
      <w:pPr>
        <w:pStyle w:val="FootnoteText"/>
      </w:pPr>
      <w:r>
        <w:rPr>
          <w:rStyle w:val="FootnoteReference"/>
        </w:rPr>
        <w:footnoteRef/>
      </w:r>
      <w:r>
        <w:t xml:space="preserve"> </w:t>
      </w:r>
      <w:r>
        <w:t xml:space="preserve">기업회계기준서 제1118호 문단 B60. 회계위키, https://accountingwiki.co.kr/standards/1118/b#pB60</w:t>
      </w:r>
    </w:p>
  </w:footnote>
  <w:footnote w:id="48">
    <w:p>
      <w:pPr>
        <w:pStyle w:val="FootnoteText"/>
      </w:pPr>
      <w:r>
        <w:rPr>
          <w:rStyle w:val="FootnoteReference"/>
        </w:rPr>
        <w:footnoteRef/>
      </w:r>
      <w:r>
        <w:t xml:space="preserve"> </w:t>
      </w:r>
      <w:r>
        <w:t xml:space="preserve">기업회계기준서 제1116호 문단 IE8 사례 20. 회계위키, https://accountingwiki.co.kr/standards/1116/ig#pIE8</w:t>
      </w:r>
    </w:p>
  </w:footnote>
  <w:footnote w:id="49">
    <w:p>
      <w:pPr>
        <w:pStyle w:val="FootnoteText"/>
      </w:pPr>
      <w:r>
        <w:rPr>
          <w:rStyle w:val="FootnoteReference"/>
        </w:rPr>
        <w:footnoteRef/>
      </w:r>
      <w:r>
        <w:t xml:space="preserve"> </w:t>
      </w:r>
      <w:r>
        <w:t xml:space="preserve">기업회계기준서 제1040호 문단 5. 회계위키, https://accountingwiki.co.kr/standards/1040#p5</w:t>
      </w:r>
    </w:p>
  </w:footnote>
  <w:footnote w:id="50">
    <w:p>
      <w:pPr>
        <w:pStyle w:val="FootnoteText"/>
      </w:pPr>
      <w:r>
        <w:rPr>
          <w:rStyle w:val="FootnoteReference"/>
        </w:rPr>
        <w:footnoteRef/>
      </w:r>
      <w:r>
        <w:t xml:space="preserve"> </w:t>
      </w:r>
      <w:r>
        <w:t xml:space="preserve">기업회계기준서 제1118호 문단 BC202(결론도출근거). 회계위키, https://accountingwiki.co.kr/standards/1118/bc#pBC202</w:t>
      </w:r>
    </w:p>
  </w:footnote>
  <w:footnote w:id="52">
    <w:p>
      <w:pPr>
        <w:pStyle w:val="FootnoteText"/>
      </w:pPr>
      <w:r>
        <w:rPr>
          <w:rStyle w:val="FootnoteReference"/>
        </w:rPr>
        <w:footnoteRef/>
      </w:r>
      <w:r>
        <w:t xml:space="preserve"> </w:t>
      </w:r>
      <w:r>
        <w:t xml:space="preserve">기업회계기준서 제1118호 문단 B48. 회계위키, https://accountingwiki.co.kr/standards/1118/b#pB48</w:t>
      </w:r>
    </w:p>
  </w:footnote>
  <w:footnote w:id="53">
    <w:p>
      <w:pPr>
        <w:pStyle w:val="FootnoteText"/>
      </w:pPr>
      <w:r>
        <w:rPr>
          <w:rStyle w:val="FootnoteReference"/>
        </w:rPr>
        <w:footnoteRef/>
      </w:r>
      <w:r>
        <w:t xml:space="preserve"> </w:t>
      </w:r>
      <w:r>
        <w:t xml:space="preserve">기업회계기준서 제1118호 문단 B49. 회계위키, https://accountingwiki.co.kr/standards/1118/b#pB49</w:t>
      </w:r>
    </w:p>
  </w:footnote>
  <w:footnote w:id="54">
    <w:p>
      <w:pPr>
        <w:pStyle w:val="FootnoteText"/>
      </w:pPr>
      <w:r>
        <w:rPr>
          <w:rStyle w:val="FootnoteReference"/>
        </w:rPr>
        <w:footnoteRef/>
      </w:r>
      <w:r>
        <w:t xml:space="preserve"> </w:t>
      </w:r>
      <w:r>
        <w:t xml:space="preserve">기업회계기준서 제1116호 문단 31. 회계위키, https://accountingwiki.co.kr/standards/1116#p31</w:t>
      </w:r>
    </w:p>
  </w:footnote>
  <w:footnote w:id="55">
    <w:p>
      <w:pPr>
        <w:pStyle w:val="FootnoteText"/>
      </w:pPr>
      <w:r>
        <w:rPr>
          <w:rStyle w:val="FootnoteReference"/>
        </w:rPr>
        <w:footnoteRef/>
      </w:r>
      <w:r>
        <w:t xml:space="preserve"> </w:t>
      </w:r>
      <w:r>
        <w:t xml:space="preserve">기업회계기준서 제1118호 문단 52. 회계위키, https://accountingwiki.co.kr/standards/1118#p52</w:t>
      </w:r>
    </w:p>
  </w:footnote>
  <w:footnote w:id="56">
    <w:p>
      <w:pPr>
        <w:pStyle w:val="FootnoteText"/>
      </w:pPr>
      <w:r>
        <w:rPr>
          <w:rStyle w:val="FootnoteReference"/>
        </w:rPr>
        <w:footnoteRef/>
      </w:r>
      <w:r>
        <w:t xml:space="preserve"> </w:t>
      </w:r>
      <w:r>
        <w:t xml:space="preserve">회계위키 실무해설 「[재무 범주] (2) 그 밖의 부채에서 생기는 이자」 개념 1.3(비공식 해설). 회계위키, https://accountingwiki.co.kr/articles/ifrs18-other-liabilities-interest</w:t>
      </w:r>
    </w:p>
  </w:footnote>
  <w:footnote w:id="57">
    <w:p>
      <w:pPr>
        <w:pStyle w:val="FootnoteText"/>
      </w:pPr>
      <w:r>
        <w:rPr>
          <w:rStyle w:val="FootnoteReference"/>
        </w:rPr>
        <w:footnoteRef/>
      </w:r>
      <w:r>
        <w:t xml:space="preserve"> </w:t>
      </w:r>
      <w:r>
        <w:t xml:space="preserve">기업회계기준서 제1040호 문단 9. 회계위키, https://accountingwiki.co.kr/standards/1040#p9</w:t>
      </w:r>
    </w:p>
  </w:footnote>
  <w:footnote w:id="58">
    <w:p>
      <w:pPr>
        <w:pStyle w:val="FootnoteText"/>
      </w:pPr>
      <w:r>
        <w:rPr>
          <w:rStyle w:val="FootnoteReference"/>
        </w:rPr>
        <w:footnoteRef/>
      </w:r>
      <w:r>
        <w:t xml:space="preserve"> </w:t>
      </w:r>
      <w:r>
        <w:t xml:space="preserve">신속처리질의 SSI-35613</w:t>
      </w:r>
      <w:r>
        <w:t xml:space="preserve"> </w:t>
      </w:r>
      <w:r>
        <w:t xml:space="preserve">‘중간리스제공자의 리스 분류’</w:t>
      </w:r>
      <w:r>
        <w:t xml:space="preserve">(2019-09-24). 회계위키, https://accountingwiki.co.kr/qnas/SSI-35613</w:t>
      </w:r>
    </w:p>
  </w:footnote>
  <w:footnote w:id="61">
    <w:p>
      <w:pPr>
        <w:pStyle w:val="FootnoteText"/>
      </w:pPr>
      <w:r>
        <w:rPr>
          <w:rStyle w:val="FootnoteReference"/>
        </w:rPr>
        <w:footnoteRef/>
      </w:r>
      <w:r>
        <w:t xml:space="preserve"> </w:t>
      </w:r>
      <w:r>
        <w:t xml:space="preserve">기업회계기준서 제1118호 문단 B32. 회계위키, https://accountingwiki.co.kr/standards/1118/b#pB32</w:t>
      </w:r>
    </w:p>
  </w:footnote>
  <w:footnote w:id="62">
    <w:p>
      <w:pPr>
        <w:pStyle w:val="FootnoteText"/>
      </w:pPr>
      <w:r>
        <w:rPr>
          <w:rStyle w:val="FootnoteReference"/>
        </w:rPr>
        <w:footnoteRef/>
      </w:r>
      <w:r>
        <w:t xml:space="preserve"> </w:t>
      </w:r>
      <w:r>
        <w:t xml:space="preserve">기업회계기준서 제1118호 문단 B48. 회계위키, https://accountingwiki.co.kr/standards/1118/b#pB48</w:t>
      </w:r>
    </w:p>
  </w:footnote>
  <w:footnote w:id="64">
    <w:p>
      <w:pPr>
        <w:pStyle w:val="FootnoteText"/>
      </w:pPr>
      <w:r>
        <w:rPr>
          <w:rStyle w:val="FootnoteReference"/>
        </w:rPr>
        <w:footnoteRef/>
      </w:r>
      <w:r>
        <w:t xml:space="preserve"> </w:t>
      </w:r>
      <w:r>
        <w:t xml:space="preserve">기업회계기준서 제1116호 문단 53(6)</w:t>
      </w:r>
      <w:r>
        <w:t xml:space="preserve"> </w:t>
      </w:r>
      <w:r>
        <w:t xml:space="preserve">“사용권자산의 전대리스에서 생기는 수익”</w:t>
      </w:r>
      <w:r>
        <w:t xml:space="preserve">. 회계위키, https://accountingwiki.co.kr/standards/1116#p53</w:t>
      </w:r>
    </w:p>
  </w:footnote>
  <w:footnote w:id="65">
    <w:p>
      <w:pPr>
        <w:pStyle w:val="FootnoteText"/>
      </w:pPr>
      <w:r>
        <w:rPr>
          <w:rStyle w:val="FootnoteReference"/>
        </w:rPr>
        <w:footnoteRef/>
      </w:r>
      <w:r>
        <w:t xml:space="preserve"> </w:t>
      </w:r>
      <w:r>
        <w:t xml:space="preserve">기업회계기준서 제1116호 문단 90⑴㈏</w:t>
      </w:r>
      <w:r>
        <w:t xml:space="preserve"> </w:t>
      </w:r>
      <w:r>
        <w:t xml:space="preserve">“리스순투자의 금융수익”</w:t>
      </w:r>
      <w:r>
        <w:t xml:space="preserve">. 회계위키, https://accountingwiki.co.kr/standards/1116#p90</w:t>
      </w:r>
    </w:p>
  </w:footnote>
  <w:footnote w:id="68">
    <w:p>
      <w:pPr>
        <w:pStyle w:val="FootnoteText"/>
      </w:pPr>
      <w:r>
        <w:rPr>
          <w:rStyle w:val="FootnoteReference"/>
        </w:rPr>
        <w:footnoteRef/>
      </w:r>
      <w:r>
        <w:t xml:space="preserve"> </w:t>
      </w:r>
      <w:r>
        <w:t xml:space="preserve">신속처리질의 SSI-35613</w:t>
      </w:r>
      <w:r>
        <w:t xml:space="preserve"> </w:t>
      </w:r>
      <w:r>
        <w:t xml:space="preserve">‘중간리스제공자의 리스 분류’</w:t>
      </w:r>
      <w:r>
        <w:t xml:space="preserve">(2019-09-24). 회계위키, https://accountingwiki.co.kr/qnas/SSI-35613</w:t>
      </w:r>
    </w:p>
  </w:footnote>
  <w:footnote w:id="70">
    <w:p>
      <w:pPr>
        <w:pStyle w:val="FootnoteText"/>
      </w:pPr>
      <w:r>
        <w:rPr>
          <w:rStyle w:val="FootnoteReference"/>
        </w:rPr>
        <w:footnoteRef/>
      </w:r>
      <w:r>
        <w:t xml:space="preserve"> </w:t>
      </w:r>
      <w:r>
        <w:t xml:space="preserve">기업회계기준서 제1040호 문단 5. 회계위키, https://accountingwiki.co.kr/standards/1040#p5</w:t>
      </w:r>
    </w:p>
  </w:footnote>
  <w:footnote w:id="71">
    <w:p>
      <w:pPr>
        <w:pStyle w:val="FootnoteText"/>
      </w:pPr>
      <w:r>
        <w:rPr>
          <w:rStyle w:val="FootnoteReference"/>
        </w:rPr>
        <w:footnoteRef/>
      </w:r>
      <w:r>
        <w:t xml:space="preserve"> </w:t>
      </w:r>
      <w:r>
        <w:t xml:space="preserve">기업회계기준서 제1040호 문단 9. 회계위키, https://accountingwiki.co.kr/standards/1040#p9</w:t>
      </w:r>
    </w:p>
  </w:footnote>
  <w:footnote w:id="72">
    <w:p>
      <w:pPr>
        <w:pStyle w:val="FootnoteText"/>
      </w:pPr>
      <w:r>
        <w:rPr>
          <w:rStyle w:val="FootnoteReference"/>
        </w:rPr>
        <w:footnoteRef/>
      </w:r>
      <w:r>
        <w:t xml:space="preserve"> </w:t>
      </w:r>
      <w:r>
        <w:t xml:space="preserve">기업회계기준서 제1116호 문단 31. 회계위키, https://accountingwiki.co.kr/standards/1116#p31</w:t>
      </w:r>
    </w:p>
  </w:footnote>
  <w:footnote w:id="73">
    <w:p>
      <w:pPr>
        <w:pStyle w:val="FootnoteText"/>
      </w:pPr>
      <w:r>
        <w:rPr>
          <w:rStyle w:val="FootnoteReference"/>
        </w:rPr>
        <w:footnoteRef/>
      </w:r>
      <w:r>
        <w:t xml:space="preserve"> </w:t>
      </w:r>
      <w:r>
        <w:t xml:space="preserve">기업회계기준서 제1116호 문단 67. 회계위키, https://accountingwiki.co.kr/standards/1116#p67</w:t>
      </w:r>
    </w:p>
  </w:footnote>
  <w:footnote w:id="74">
    <w:p>
      <w:pPr>
        <w:pStyle w:val="FootnoteText"/>
      </w:pPr>
      <w:r>
        <w:rPr>
          <w:rStyle w:val="FootnoteReference"/>
        </w:rPr>
        <w:footnoteRef/>
      </w:r>
      <w:r>
        <w:t xml:space="preserve"> </w:t>
      </w:r>
      <w:r>
        <w:t xml:space="preserve">기업회계기준서 제1116호 문단 75. 회계위키, https://accountingwiki.co.kr/standards/1116#p75</w:t>
      </w:r>
    </w:p>
  </w:footnote>
  <w:footnote w:id="75">
    <w:p>
      <w:pPr>
        <w:pStyle w:val="FootnoteText"/>
      </w:pPr>
      <w:r>
        <w:rPr>
          <w:rStyle w:val="FootnoteReference"/>
        </w:rPr>
        <w:footnoteRef/>
      </w:r>
      <w:r>
        <w:t xml:space="preserve"> </w:t>
      </w:r>
      <w:r>
        <w:t xml:space="preserve">기업회계기준서 제1116호 문단 IE8 사례 20. 회계위키, https://accountingwiki.co.kr/standards/1116/ig#pIE8</w:t>
      </w:r>
    </w:p>
  </w:footnote>
  <w:footnote w:id="76">
    <w:p>
      <w:pPr>
        <w:pStyle w:val="FootnoteText"/>
      </w:pPr>
      <w:r>
        <w:rPr>
          <w:rStyle w:val="FootnoteReference"/>
        </w:rPr>
        <w:footnoteRef/>
      </w:r>
      <w:r>
        <w:t xml:space="preserve"> </w:t>
      </w:r>
      <w:r>
        <w:t xml:space="preserve">기업회계기준서 제1118호 문단 44. 회계위키, https://accountingwiki.co.kr/standards/1118#p44</w:t>
      </w:r>
    </w:p>
  </w:footnote>
  <w:footnote w:id="77">
    <w:p>
      <w:pPr>
        <w:pStyle w:val="FootnoteText"/>
      </w:pPr>
      <w:r>
        <w:rPr>
          <w:rStyle w:val="FootnoteReference"/>
        </w:rPr>
        <w:footnoteRef/>
      </w:r>
      <w:r>
        <w:t xml:space="preserve"> </w:t>
      </w:r>
      <w:r>
        <w:t xml:space="preserve">기업회계기준서 제1118호 문단 52. 회계위키, https://accountingwiki.co.kr/standards/1118#p52</w:t>
      </w:r>
    </w:p>
  </w:footnote>
  <w:footnote w:id="78">
    <w:p>
      <w:pPr>
        <w:pStyle w:val="FootnoteText"/>
      </w:pPr>
      <w:r>
        <w:rPr>
          <w:rStyle w:val="FootnoteReference"/>
        </w:rPr>
        <w:footnoteRef/>
      </w:r>
      <w:r>
        <w:t xml:space="preserve"> </w:t>
      </w:r>
      <w:r>
        <w:t xml:space="preserve">기업회계기준서 제1118호 문단 53. 회계위키, https://accountingwiki.co.kr/standards/1118#p53</w:t>
      </w:r>
    </w:p>
  </w:footnote>
  <w:footnote w:id="79">
    <w:p>
      <w:pPr>
        <w:pStyle w:val="FootnoteText"/>
      </w:pPr>
      <w:r>
        <w:rPr>
          <w:rStyle w:val="FootnoteReference"/>
        </w:rPr>
        <w:footnoteRef/>
      </w:r>
      <w:r>
        <w:t xml:space="preserve"> </w:t>
      </w:r>
      <w:r>
        <w:t xml:space="preserve">기업회계기준서 제1118호 문단 54. 회계위키, https://accountingwiki.co.kr/standards/1118#p54</w:t>
      </w:r>
    </w:p>
  </w:footnote>
  <w:footnote w:id="80">
    <w:p>
      <w:pPr>
        <w:pStyle w:val="FootnoteText"/>
      </w:pPr>
      <w:r>
        <w:rPr>
          <w:rStyle w:val="FootnoteReference"/>
        </w:rPr>
        <w:footnoteRef/>
      </w:r>
      <w:r>
        <w:t xml:space="preserve"> </w:t>
      </w:r>
      <w:r>
        <w:t xml:space="preserve">기업회계기준서 제1118호 문단 61. 회계위키, https://accountingwiki.co.kr/standards/1118#p61</w:t>
      </w:r>
    </w:p>
  </w:footnote>
  <w:footnote w:id="81">
    <w:p>
      <w:pPr>
        <w:pStyle w:val="FootnoteText"/>
      </w:pPr>
      <w:r>
        <w:rPr>
          <w:rStyle w:val="FootnoteReference"/>
        </w:rPr>
        <w:footnoteRef/>
      </w:r>
      <w:r>
        <w:t xml:space="preserve"> </w:t>
      </w:r>
      <w:r>
        <w:t xml:space="preserve">기업회계기준서 제1118호 문단 B32. 회계위키, https://accountingwiki.co.kr/standards/1118/b#pB32</w:t>
      </w:r>
    </w:p>
  </w:footnote>
  <w:footnote w:id="82">
    <w:p>
      <w:pPr>
        <w:pStyle w:val="FootnoteText"/>
      </w:pPr>
      <w:r>
        <w:rPr>
          <w:rStyle w:val="FootnoteReference"/>
        </w:rPr>
        <w:footnoteRef/>
      </w:r>
      <w:r>
        <w:t xml:space="preserve"> </w:t>
      </w:r>
      <w:r>
        <w:t xml:space="preserve">기업회계기준서 제1118호 문단 B46. 회계위키, https://accountingwiki.co.kr/standards/1118/b#pB46</w:t>
      </w:r>
    </w:p>
  </w:footnote>
  <w:footnote w:id="83">
    <w:p>
      <w:pPr>
        <w:pStyle w:val="FootnoteText"/>
      </w:pPr>
      <w:r>
        <w:rPr>
          <w:rStyle w:val="FootnoteReference"/>
        </w:rPr>
        <w:footnoteRef/>
      </w:r>
      <w:r>
        <w:t xml:space="preserve"> </w:t>
      </w:r>
      <w:r>
        <w:t xml:space="preserve">기업회계기준서 제1118호 문단 B48. 회계위키, https://accountingwiki.co.kr/standards/1118/b#pB48</w:t>
      </w:r>
    </w:p>
  </w:footnote>
  <w:footnote w:id="84">
    <w:p>
      <w:pPr>
        <w:pStyle w:val="FootnoteText"/>
      </w:pPr>
      <w:r>
        <w:rPr>
          <w:rStyle w:val="FootnoteReference"/>
        </w:rPr>
        <w:footnoteRef/>
      </w:r>
      <w:r>
        <w:t xml:space="preserve"> </w:t>
      </w:r>
      <w:r>
        <w:t xml:space="preserve">기업회계기준서 제1118호 문단 B49. 회계위키, https://accountingwiki.co.kr/standards/1118/b#pB49</w:t>
      </w:r>
    </w:p>
  </w:footnote>
  <w:footnote w:id="85">
    <w:p>
      <w:pPr>
        <w:pStyle w:val="FootnoteText"/>
      </w:pPr>
      <w:r>
        <w:rPr>
          <w:rStyle w:val="FootnoteReference"/>
        </w:rPr>
        <w:footnoteRef/>
      </w:r>
      <w:r>
        <w:t xml:space="preserve"> </w:t>
      </w:r>
      <w:r>
        <w:t xml:space="preserve">기업회계기준서 제1118호 문단 B53. 회계위키, https://accountingwiki.co.kr/standards/1118/b#pB53</w:t>
      </w:r>
    </w:p>
  </w:footnote>
  <w:footnote w:id="86">
    <w:p>
      <w:pPr>
        <w:pStyle w:val="FootnoteText"/>
      </w:pPr>
      <w:r>
        <w:rPr>
          <w:rStyle w:val="FootnoteReference"/>
        </w:rPr>
        <w:footnoteRef/>
      </w:r>
      <w:r>
        <w:t xml:space="preserve"> </w:t>
      </w:r>
      <w:r>
        <w:t xml:space="preserve">기업회계기준서 제1118호 문단 B54. 회계위키, https://accountingwiki.co.kr/standards/1118/b#pB54</w:t>
      </w:r>
    </w:p>
  </w:footnote>
  <w:footnote w:id="87">
    <w:p>
      <w:pPr>
        <w:pStyle w:val="FootnoteText"/>
      </w:pPr>
      <w:r>
        <w:rPr>
          <w:rStyle w:val="FootnoteReference"/>
        </w:rPr>
        <w:footnoteRef/>
      </w:r>
      <w:r>
        <w:t xml:space="preserve"> </w:t>
      </w:r>
      <w:r>
        <w:t xml:space="preserve">기업회계기준서 제1118호 문단 B60. 회계위키, https://accountingwiki.co.kr/standards/1118/b#pB60</w:t>
      </w:r>
    </w:p>
  </w:footnote>
  <w:footnote w:id="88">
    <w:p>
      <w:pPr>
        <w:pStyle w:val="FootnoteText"/>
      </w:pPr>
      <w:r>
        <w:rPr>
          <w:rStyle w:val="FootnoteReference"/>
        </w:rPr>
        <w:footnoteRef/>
      </w:r>
      <w:r>
        <w:t xml:space="preserve"> </w:t>
      </w:r>
      <w:r>
        <w:t xml:space="preserve">기업회계기준서 제1118호 문단 BC142(결론도출근거). 회계위키, https://accountingwiki.co.kr/standards/1118/bc#pBC142</w:t>
      </w:r>
    </w:p>
  </w:footnote>
  <w:footnote w:id="89">
    <w:p>
      <w:pPr>
        <w:pStyle w:val="FootnoteText"/>
      </w:pPr>
      <w:r>
        <w:rPr>
          <w:rStyle w:val="FootnoteReference"/>
        </w:rPr>
        <w:footnoteRef/>
      </w:r>
      <w:r>
        <w:t xml:space="preserve"> </w:t>
      </w:r>
      <w:r>
        <w:t xml:space="preserve">기업회계기준서 제1118호 문단 BC159(결론도출근거). 회계위키, https://accountingwiki.co.kr/standards/1118/bc#pBC159</w:t>
      </w:r>
    </w:p>
  </w:footnote>
  <w:footnote w:id="90">
    <w:p>
      <w:pPr>
        <w:pStyle w:val="FootnoteText"/>
      </w:pPr>
      <w:r>
        <w:rPr>
          <w:rStyle w:val="FootnoteReference"/>
        </w:rPr>
        <w:footnoteRef/>
      </w:r>
      <w:r>
        <w:t xml:space="preserve"> </w:t>
      </w:r>
      <w:r>
        <w:t xml:space="preserve">기업회계기준서 제1118호 문단 BC198(결론도출근거). 회계위키, https://accountingwiki.co.kr/standards/1118/bc#pBC198</w:t>
      </w:r>
    </w:p>
  </w:footnote>
  <w:footnote w:id="91">
    <w:p>
      <w:pPr>
        <w:pStyle w:val="FootnoteText"/>
      </w:pPr>
      <w:r>
        <w:rPr>
          <w:rStyle w:val="FootnoteReference"/>
        </w:rPr>
        <w:footnoteRef/>
      </w:r>
      <w:r>
        <w:t xml:space="preserve"> </w:t>
      </w:r>
      <w:r>
        <w:t xml:space="preserve">기업회계기준서 제1118호 문단 BC199(결론도출근거). 회계위키, https://accountingwiki.co.kr/standards/1118/bc#pBC199</w:t>
      </w:r>
    </w:p>
  </w:footnote>
  <w:footnote w:id="92">
    <w:p>
      <w:pPr>
        <w:pStyle w:val="FootnoteText"/>
      </w:pPr>
      <w:r>
        <w:rPr>
          <w:rStyle w:val="FootnoteReference"/>
        </w:rPr>
        <w:footnoteRef/>
      </w:r>
      <w:r>
        <w:t xml:space="preserve"> </w:t>
      </w:r>
      <w:r>
        <w:t xml:space="preserve">기업회계기준서 제1118호 문단 BC202(결론도출근거). 회계위키, https://accountingwiki.co.kr/standards/1118/bc#pBC202</w:t>
      </w:r>
    </w:p>
  </w:footnote>
  <w:footnote w:id="93">
    <w:p>
      <w:pPr>
        <w:pStyle w:val="FootnoteText"/>
      </w:pPr>
      <w:r>
        <w:rPr>
          <w:rStyle w:val="FootnoteReference"/>
        </w:rPr>
        <w:footnoteRef/>
      </w:r>
      <w:r>
        <w:t xml:space="preserve"> </w:t>
      </w:r>
      <w:r>
        <w:t xml:space="preserve">기업회계기준서 제1118호 문단 C1. 회계위키, https://accountingwiki.co.kr/standards/1118#pC1</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sz w:val="17"/>
      </w:rPr>
      <w:t>대외비 | 회계위키·법령 근거 검토</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1"/>
  </w:num>
  <w:num w:numId="1038">
    <w:abstractNumId w:val="991"/>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KR"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cs="맑은 고딕" w:eastAsia="맑은 고딕" w:hAnsi="맑은 고딕"/>
      <w:sz w:val="21"/>
    </w:rPr>
  </w:style>
  <w:style w:styleId="BodyText" w:type="paragraph">
    <w:name w:val="Body Text"/>
    <w:basedOn w:val="Normal"/>
    <w:link w:val="BodyTextChar"/>
    <w:qFormat/>
    <w:pPr>
      <w:spacing w:after="180" w:before="180"/>
    </w:pPr>
    <w:rPr>
      <w:rFonts w:ascii="맑은 고딕" w:cs="맑은 고딕" w:eastAsia="맑은 고딕" w:hAnsi="맑은 고딕"/>
      <w:sz w:val="21"/>
    </w:rPr>
  </w:style>
  <w:style w:customStyle="1" w:styleId="FirstParagraph" w:type="paragraph">
    <w:name w:val="First Paragraph"/>
    <w:basedOn w:val="BodyText"/>
    <w:next w:val="BodyText"/>
    <w:qFormat/>
    <w:rPr>
      <w:rFonts w:ascii="맑은 고딕" w:cs="맑은 고딕" w:eastAsia="맑은 고딕" w:hAnsi="맑은 고딕"/>
      <w:sz w:val="21"/>
    </w:rPr>
  </w:style>
  <w:style w:customStyle="1" w:styleId="Compact" w:type="paragraph">
    <w:name w:val="Compact"/>
    <w:basedOn w:val="BodyText"/>
    <w:qFormat/>
    <w:pPr>
      <w:spacing w:after="36" w:before="36"/>
    </w:pPr>
    <w:rPr>
      <w:rFonts w:ascii="맑은 고딕" w:cs="맑은 고딕" w:eastAsia="맑은 고딕" w:hAnsi="맑은 고딕"/>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맑은 고딕" w:cs="맑은 고딕" w:eastAsia="맑은 고딕" w:hAnsi="맑은 고딕"/>
      <w:b/>
      <w:color w:val="1F3864"/>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맑은 고딕" w:cs="맑은 고딕" w:eastAsia="맑은 고딕" w:hAnsi="맑은 고딕"/>
      <w:b w:val="0"/>
      <w:color w:val="1F3864"/>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rFonts w:ascii="맑은 고딕" w:cs="맑은 고딕" w:eastAsia="맑은 고딕" w:hAnsi="맑은 고딕"/>
      <w:b w:val="0"/>
      <w:color w:val="1F3864"/>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맑은 고딕" w:cs="맑은 고딕" w:eastAsia="맑은 고딕" w:hAnsi="맑은 고딕"/>
      <w:b/>
      <w:color w:val="1F3864"/>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맑은 고딕" w:cs="맑은 고딕" w:eastAsia="맑은 고딕" w:hAnsi="맑은 고딕"/>
      <w:b/>
      <w:color w:val="1F3864"/>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맑은 고딕" w:cs="맑은 고딕" w:eastAsia="맑은 고딕" w:hAnsi="맑은 고딕"/>
      <w:b/>
      <w:color w:val="1F3864"/>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hd w:color="auto" w:fill="F2F2F2" w:val="clear"/>
      <w:spacing w:after="100" w:before="100"/>
      <w:ind w:firstLine="0" w:left="280" w:right="120"/>
    </w:pPr>
    <w:rPr>
      <w:rFonts w:ascii="맑은 고딕" w:cs="맑은 고딕" w:eastAsia="맑은 고딕" w:hAnsi="맑은 고딕"/>
      <w:sz w:val="20"/>
    </w:rPr>
  </w:style>
  <w:style w:styleId="FootnoteText" w:type="paragraph">
    <w:name w:val="Footnote Text"/>
    <w:basedOn w:val="Normal"/>
    <w:next w:val="FootnoteText"/>
    <w:uiPriority w:val="9"/>
    <w:unhideWhenUsed/>
    <w:qFormat/>
    <w:rPr>
      <w:rFonts w:ascii="맑은 고딕" w:cs="맑은 고딕" w:eastAsia="맑은 고딕" w:hAnsi="맑은 고딕"/>
      <w:sz w:val="1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TOC1">
    <w:name w:val="TOC 1"/>
    <w:basedOn w:val="BodyText"/>
    <w:qFormat/>
  </w:style>
  <w:style w:type="paragraph" w:customStyle="1" w:styleId="TOC2">
    <w:name w:val="TOC 2"/>
    <w:basedOn w:val="BodyText"/>
    <w:qFormat/>
    <w:pPr>
      <w:ind w:left="28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검토 의견서: 중간리스제공자(금융 전대리스) 관련 손익의 기업회계기준서 제1118호 범주 분류</dc:title>
  <dc:creator/>
  <dc:language>ko-KR</dc:language>
  <cp:keywords/>
  <dcterms:created xsi:type="dcterms:W3CDTF">2026-10-02T02:32:08Z</dcterms:created>
  <dcterms:modified xsi:type="dcterms:W3CDTF">2026-10-02T02:32:08Z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2026-10-02</vt:lpwstr>
  </property>
  <property fmtid="{D5CDD505-2E9C-101B-9397-08002B2CF9AE}" pid="3" name="subtitle">
    <vt:lpwstr>회계위키 근거 검토</vt:lpwstr>
  </property>
</Properties>
</file>