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감사 조서 메모: 중간리스제공자(금융 전대리스) 관련 손익의 기업회계기준서 제1118호 범주 분류</w:t>
      </w:r>
    </w:p>
    <w:p>
      <w:pPr>
        <w:pStyle w:val="Subtitle"/>
      </w:pPr>
      <w:r>
        <w:t xml:space="preserve">감사팀 내부용</w:t>
      </w:r>
    </w:p>
    <w:p>
      <w:pPr>
        <w:pStyle w:val="Date"/>
      </w:pPr>
      <w:r>
        <w:t xml:space="preserve">2026-10-02</w:t>
      </w:r>
    </w:p>
    <w:p>
      <w:pPr>
        <w:pStyle w:val="TOCHeading"/>
      </w:pPr>
      <w:r>
        <w:t xml:space="preserve">목차</w:t>
      </w:r>
    </w:p>
    <w:p>
      <w:pPr>
        <w:pStyle w:val="TOC1"/>
      </w:pPr>
      <w:r>
        <w:t xml:space="preserve">1. 쟁점과 결론 요약</w:t>
      </w:r>
    </w:p>
    <w:p>
      <w:pPr>
        <w:pStyle w:val="TOC1"/>
      </w:pPr>
      <w:r>
        <w:t xml:space="preserve">2. 위험평가</w:t>
      </w:r>
    </w:p>
    <w:p>
      <w:pPr>
        <w:pStyle w:val="TOC1"/>
      </w:pPr>
      <w:r>
        <w:t xml:space="preserve">3. 통제테스트</w:t>
      </w:r>
    </w:p>
    <w:p>
      <w:pPr>
        <w:pStyle w:val="TOC1"/>
      </w:pPr>
      <w:r>
        <w:t xml:space="preserve">4. 실증절차</w:t>
      </w:r>
    </w:p>
    <w:p>
      <w:pPr>
        <w:pStyle w:val="TOC1"/>
      </w:pPr>
      <w:r>
        <w:t xml:space="preserve">5. 회계추정 감사</w:t>
      </w:r>
    </w:p>
    <w:p>
      <w:pPr>
        <w:pStyle w:val="TOC1"/>
      </w:pPr>
      <w:r>
        <w:t xml:space="preserve">6. 공시 검토와 경영진 확인서 반영 사항</w:t>
      </w:r>
    </w:p>
    <w:p>
      <w:pPr>
        <w:pStyle w:val="TOC1"/>
      </w:pPr>
      <w:r>
        <w:t xml:space="preserve">7. 감사의견·핵심감사사항 영향</w:t>
      </w:r>
    </w:p>
    <w:p>
      <w:pPr>
        <w:pStyle w:val="TOC1"/>
      </w:pPr>
      <w:r>
        <w:t xml:space="preserve">8. 감리 리스크와 대응 포인트</w:t>
      </w:r>
    </w:p>
    <w:p>
      <w:pPr>
        <w:pStyle w:val="TOC1"/>
      </w:pPr>
      <w:r>
        <w:t xml:space="preserve">9. 근거 회계감사기준</w:t>
      </w:r>
    </w:p>
    <w:p>
      <w:pPr>
        <w:pStyle w:val="TOC1"/>
      </w:pPr>
      <w:r>
        <w:t xml:space="preserve">10. 인용 검증 결과</w:t>
      </w:r>
    </w:p>
    <w:bookmarkStart w:id="19" w:name="쟁점과-결론-요약"/>
    <w:p>
      <w:pPr>
        <w:pStyle w:val="Heading1"/>
        <w:pageBreakBefore/>
      </w:pPr>
      <w:r>
        <w:t xml:space="preserve">1. 쟁점과 결론 요약</w:t>
      </w:r>
    </w:p>
    <w:p>
      <w:pPr>
        <w:pStyle w:val="Compact"/>
        <w:numPr>
          <w:ilvl w:val="0"/>
          <w:numId w:val="1001"/>
        </w:numPr>
      </w:pPr>
      <w:r>
        <w:t xml:space="preserve">쟁점: 별도재무제표에서 부수적 금융 전대리스의 네 항목을 제1118호 범주로 분류하는 문제. 2027 회계연도 최초 적용이며 2026 비교기간을 다시 작성합니다.</w:t>
      </w:r>
    </w:p>
    <w:p>
      <w:pPr>
        <w:pStyle w:val="Compact"/>
        <w:numPr>
          <w:ilvl w:val="0"/>
          <w:numId w:val="1001"/>
        </w:numPr>
      </w:pPr>
      <w:r>
        <w:t xml:space="preserve">결론: 상위리스 리스부채 이자는 재무 범주입니다. 전대리스 순투자 이자수익은 투자 범주(해석 견해)이며 재무 분류와 상계는 불가합니다. 개시일 사용권자산 처분손익과 감가상각비는 영업 범주입니다.</w:t>
      </w:r>
    </w:p>
    <w:p>
      <w:pPr>
        <w:pStyle w:val="Compact"/>
        <w:numPr>
          <w:ilvl w:val="0"/>
          <w:numId w:val="1001"/>
        </w:numPr>
      </w:pPr>
      <w:r>
        <w:t xml:space="preserve">상세는 검토 의견서 5번을 참조합니다.</w:t>
      </w:r>
    </w:p>
    <w:bookmarkEnd w:id="19"/>
    <w:bookmarkStart w:id="21" w:name="위험평가"/>
    <w:p>
      <w:pPr>
        <w:pStyle w:val="Heading1"/>
      </w:pPr>
      <w:r>
        <w:t xml:space="preserve">2. 위험평가</w:t>
      </w:r>
    </w:p>
    <w:p>
      <w:pPr>
        <w:pStyle w:val="Compact"/>
        <w:numPr>
          <w:ilvl w:val="0"/>
          <w:numId w:val="1002"/>
        </w:numPr>
      </w:pPr>
      <w:r>
        <w:t xml:space="preserve">분류(거래 및 사건): 범주 오분류 위험이 있으며 위험 수준은 중간 이상입니다. 특히 다음 두 가지를 봅니다.</w:t>
      </w:r>
    </w:p>
    <w:p>
      <w:pPr>
        <w:pStyle w:val="Compact"/>
        <w:numPr>
          <w:ilvl w:val="1"/>
          <w:numId w:val="1003"/>
        </w:numPr>
      </w:pPr>
      <w:r>
        <w:t xml:space="preserve">전대 이자수익을 재무 범주에 넣는 경우</w:t>
      </w:r>
    </w:p>
    <w:p>
      <w:pPr>
        <w:pStyle w:val="Compact"/>
        <w:numPr>
          <w:ilvl w:val="1"/>
          <w:numId w:val="1003"/>
        </w:numPr>
      </w:pPr>
      <w:r>
        <w:t xml:space="preserve">영업용 사용권자산의 처분손실을 투자 범주로 보내는 경우</w:t>
      </w:r>
    </w:p>
    <w:p>
      <w:pPr>
        <w:pStyle w:val="Compact"/>
        <w:numPr>
          <w:ilvl w:val="0"/>
          <w:numId w:val="1002"/>
        </w:numPr>
      </w:pPr>
      <w:r>
        <w:t xml:space="preserve">표시: 전대 이자수익과 리스부채 이자비용을 상계해 순액으로 표시하는 위험이 있습니다.</w:t>
      </w:r>
      <w:r>
        <w:rPr>
          <w:rStyle w:val="FootnoteReference"/>
        </w:rPr>
        <w:footnoteReference w:id="20"/>
      </w:r>
    </w:p>
    <w:p>
      <w:pPr>
        <w:pStyle w:val="Compact"/>
        <w:numPr>
          <w:ilvl w:val="0"/>
          <w:numId w:val="1002"/>
        </w:numPr>
      </w:pPr>
      <w:r>
        <w:t xml:space="preserve">정확성:</w:t>
      </w:r>
    </w:p>
    <w:p>
      <w:pPr>
        <w:pStyle w:val="Compact"/>
        <w:numPr>
          <w:ilvl w:val="1"/>
          <w:numId w:val="1004"/>
        </w:numPr>
      </w:pPr>
      <w:r>
        <w:t xml:space="preserve">개시일 처분손익과 리스순투자 금융수익의 계산</w:t>
      </w:r>
    </w:p>
    <w:p>
      <w:pPr>
        <w:pStyle w:val="Compact"/>
        <w:numPr>
          <w:ilvl w:val="1"/>
          <w:numId w:val="1004"/>
        </w:numPr>
      </w:pPr>
      <w:r>
        <w:t xml:space="preserve">전대한 부분의 감가상각 중단 여부</w:t>
      </w:r>
    </w:p>
    <w:p>
      <w:pPr>
        <w:pStyle w:val="Compact"/>
        <w:numPr>
          <w:ilvl w:val="0"/>
          <w:numId w:val="1002"/>
        </w:numPr>
      </w:pPr>
      <w:r>
        <w:t xml:space="preserve">유의적 위험 여부: 기본적으로 해당하지 않습니다. 인식·측정이 아닌 표시 문제이고 회계추정이 개입되지 않기 때문입니다. 다만 다음 경우에는 유의적 위험 지정을 다시 검토합니다.</w:t>
      </w:r>
    </w:p>
    <w:p>
      <w:pPr>
        <w:pStyle w:val="Compact"/>
        <w:numPr>
          <w:ilvl w:val="1"/>
          <w:numId w:val="1005"/>
        </w:numPr>
      </w:pPr>
      <w:r>
        <w:t xml:space="preserve">영업손익이 재무약정이나 성과보상 지표로 쓰이는 경우</w:t>
      </w:r>
    </w:p>
    <w:p>
      <w:pPr>
        <w:pStyle w:val="Compact"/>
        <w:numPr>
          <w:ilvl w:val="1"/>
          <w:numId w:val="1005"/>
        </w:numPr>
      </w:pPr>
      <w:r>
        <w:t xml:space="preserve">전대 이자수익이 영업손익에 비해 중요한 경우</w:t>
      </w:r>
    </w:p>
    <w:bookmarkEnd w:id="21"/>
    <w:bookmarkStart w:id="22" w:name="통제테스트"/>
    <w:p>
      <w:pPr>
        <w:pStyle w:val="Heading1"/>
      </w:pPr>
      <w:r>
        <w:t xml:space="preserve">3. 통제테스트</w:t>
      </w:r>
    </w:p>
    <w:p>
      <w:pPr>
        <w:pStyle w:val="Compact"/>
        <w:numPr>
          <w:ilvl w:val="0"/>
          <w:numId w:val="1006"/>
        </w:numPr>
      </w:pPr>
      <w:r>
        <w:t xml:space="preserve">제1118호 계정과목 매핑 통제:</w:t>
      </w:r>
    </w:p>
    <w:p>
      <w:pPr>
        <w:pStyle w:val="Compact"/>
        <w:numPr>
          <w:ilvl w:val="1"/>
          <w:numId w:val="1007"/>
        </w:numPr>
      </w:pPr>
      <w:r>
        <w:t xml:space="preserve">신규·변경 계정을 범주에 매핑할 때의 승인과 검토 기록을 확인합니다.</w:t>
      </w:r>
    </w:p>
    <w:p>
      <w:pPr>
        <w:pStyle w:val="Compact"/>
        <w:numPr>
          <w:ilvl w:val="1"/>
          <w:numId w:val="1007"/>
        </w:numPr>
      </w:pPr>
      <w:r>
        <w:t xml:space="preserve">설계 평가는 질문과 문서 검사로, 운영 평가는 변경 건 전수 검사로 수행합니다.</w:t>
      </w:r>
    </w:p>
    <w:p>
      <w:pPr>
        <w:pStyle w:val="Compact"/>
        <w:numPr>
          <w:ilvl w:val="0"/>
          <w:numId w:val="1006"/>
        </w:numPr>
      </w:pPr>
      <w:r>
        <w:t xml:space="preserve">리스 계약 등록 통제:</w:t>
      </w:r>
    </w:p>
    <w:p>
      <w:pPr>
        <w:pStyle w:val="Compact"/>
        <w:numPr>
          <w:ilvl w:val="1"/>
          <w:numId w:val="1008"/>
        </w:numPr>
      </w:pPr>
      <w:r>
        <w:t xml:space="preserve">신규 전대 계약에 대해 리스 분류 검토와</w:t>
      </w:r>
      <w:r>
        <w:t xml:space="preserve"> </w:t>
      </w:r>
      <w:r>
        <w:t xml:space="preserve">‘전대 직전 용도’</w:t>
      </w:r>
      <w:r>
        <w:t xml:space="preserve"> </w:t>
      </w:r>
      <w:r>
        <w:t xml:space="preserve">확인 기록이 있는지 봅니다.</w:t>
      </w:r>
    </w:p>
    <w:p>
      <w:pPr>
        <w:pStyle w:val="Compact"/>
        <w:numPr>
          <w:ilvl w:val="1"/>
          <w:numId w:val="1008"/>
        </w:numPr>
      </w:pPr>
      <w:r>
        <w:t xml:space="preserve">해당 연도의 신규 전대 계약을 표본으로 검사합니다.</w:t>
      </w:r>
    </w:p>
    <w:bookmarkEnd w:id="22"/>
    <w:bookmarkStart w:id="23" w:name="실증절차"/>
    <w:p>
      <w:pPr>
        <w:pStyle w:val="Heading1"/>
      </w:pPr>
      <w:r>
        <w:t xml:space="preserve">4. 실증절차</w:t>
      </w:r>
    </w:p>
    <w:tbl>
      <w:tblPr>
        <w:tblStyle w:val="Table"/>
        <w:tblW w:type="pct" w:w="5000"/>
        <w:tblBorders>
          <w:top w:val="single" w:sz="4" w:color="808080"/>
          <w:left w:val="single" w:sz="4" w:color="808080"/>
          <w:bottom w:val="single" w:sz="4" w:color="808080"/>
          <w:right w:val="single" w:sz="4" w:color="808080"/>
          <w:insideH w:val="single" w:sz="4" w:color="808080"/>
          <w:insideV w:val="single" w:sz="4" w:color="808080"/>
        </w:tblBorders>
        <w:tblLayout w:type="fixed"/>
        <w:tblLook w:firstRow="1" w:lastRow="0" w:firstColumn="0" w:lastColumn="0" w:noHBand="0" w:noVBand="0" w:val="0020"/>
      </w:tblPr>
      <w:tblGrid>
        <w:gridCol w:w="2764"/>
        <w:gridCol w:w="2400"/>
        <w:gridCol w:w="2236"/>
        <w:gridCol w:w="2236"/>
      </w:tblGrid>
      <w:tr>
        <w:trPr>
          <w:tblHeader w:val="on"/>
        </w:trPr>
        <w:tc>
          <w:tcPr>
            <w:tcW w:type="dxa" w:w="2765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절차</w:t>
            </w:r>
          </w:p>
        </w:tc>
        <w:tc>
          <w:tcPr>
            <w:tcW w:type="dxa" w:w="2401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목적 경영진 주장</w:t>
            </w:r>
          </w:p>
        </w:tc>
        <w:tc>
          <w:tcPr>
            <w:tcW w:type="dxa" w:w="2236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확보 증거</w:t>
            </w:r>
          </w:p>
        </w:tc>
        <w:tc>
          <w:tcPr>
            <w:tcW w:type="dxa" w:w="2236"/>
            <w:shd w:val="clear" w:color="auto" w:fill="D9E2F3"/>
          </w:tcPr>
          <w:p>
            <w:pPr>
              <w:pStyle w:val="Compact"/>
            </w:pPr>
            <w:r>
              <w:rPr>
                <w:b/>
              </w:rPr>
              <w:t xml:space="preserve">표본 기준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전대 계약 명세를 입수해 전대 계약서·상위리스 계약서와 대사하고 금융리스 분류 근거를 검토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발생사실·분류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계약서 사본, 분류 검토표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전대 계약 전수(건수가 적을 것으로 예상)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전대 개시일 처분손익 재계산(제거한 사용권자산 장부금액과 전대리스 순투자의 차이) 및 전대 직전 용도 확인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정확성·분류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재계산표, 자산 사용 현황·유휴 자산 자료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당기 개시 전대 전수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전대리스 순투자 이자수익과 상위리스 리스부채 이자 재계산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정확성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상각표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금액 상위 계약과 무작위 추가 표본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전대한 부분의 감가상각 중단 여부와 미전대 잔여분 감가상각비 재계산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정확성·발생사실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고정자산·사용권자산 대장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전대 관련 사용권자산 전수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이자수익·이자비용·처분손익 원장을 범주 매핑표까지 추적하고 상계 여부 확인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분류·표시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매핑표, 손익계산서 초안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관련 계정 전수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결산 재분류 조정분과 2026 비교기간 재분류 금액 대사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표시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전환 조정표, 결산 조정 분개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재분류 조정분 전수</w:t>
            </w:r>
          </w:p>
        </w:tc>
      </w:tr>
      <w:tr>
        <w:tc>
          <w:tcPr>
            <w:tcW w:type="dxa" w:w="2765"/>
          </w:tcPr>
          <w:p>
            <w:pPr>
              <w:pStyle w:val="Compact"/>
            </w:pPr>
            <w:r>
              <w:t xml:space="preserve">경영진 질의: 전대가 주된 사업활동이 아니라는 판단 근거와 향후 전대 계획</w:t>
            </w:r>
          </w:p>
        </w:tc>
        <w:tc>
          <w:tcPr>
            <w:tcW w:type="dxa" w:w="2401"/>
          </w:tcPr>
          <w:p>
            <w:pPr>
              <w:pStyle w:val="Compact"/>
            </w:pPr>
            <w:r>
              <w:t xml:space="preserve">분류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질의 기록, 이사회 자료</w:t>
            </w:r>
          </w:p>
        </w:tc>
        <w:tc>
          <w:tcPr>
            <w:tcW w:type="dxa" w:w="2236"/>
          </w:tcPr>
          <w:p>
            <w:pPr>
              <w:pStyle w:val="Compact"/>
            </w:pPr>
            <w:r>
              <w:t xml:space="preserve">해당 없음</w:t>
            </w:r>
          </w:p>
        </w:tc>
      </w:tr>
    </w:tbl>
    <w:bookmarkEnd w:id="23"/>
    <w:bookmarkStart w:id="24" w:name="회계추정-감사"/>
    <w:p>
      <w:pPr>
        <w:pStyle w:val="Heading1"/>
      </w:pPr>
      <w:r>
        <w:t xml:space="preserve">5. 회계추정 감사</w:t>
      </w:r>
    </w:p>
    <w:p>
      <w:pPr>
        <w:pStyle w:val="FirstParagraph"/>
      </w:pPr>
      <w:r>
        <w:t xml:space="preserve">해당 없음(표시 문제).</w:t>
      </w:r>
    </w:p>
    <w:bookmarkEnd w:id="24"/>
    <w:bookmarkStart w:id="28" w:name="공시-검토와-경영진-확인서-반영-사항"/>
    <w:p>
      <w:pPr>
        <w:pStyle w:val="Heading1"/>
      </w:pPr>
      <w:r>
        <w:t xml:space="preserve">6. 공시 검토와 경영진 확인서 반영 사항</w:t>
      </w:r>
    </w:p>
    <w:p>
      <w:pPr>
        <w:pStyle w:val="Compact"/>
        <w:numPr>
          <w:ilvl w:val="0"/>
          <w:numId w:val="1009"/>
        </w:numPr>
      </w:pPr>
      <w:r>
        <w:t xml:space="preserve">공시 검토:</w:t>
      </w:r>
    </w:p>
    <w:p>
      <w:pPr>
        <w:pStyle w:val="Compact"/>
        <w:numPr>
          <w:ilvl w:val="1"/>
          <w:numId w:val="1010"/>
        </w:numPr>
      </w:pPr>
      <w:r>
        <w:t xml:space="preserve">리스이용자로서 사용권자산의 전대리스에서 생기는 수익을 공시했는지 확인합니다.</w:t>
      </w:r>
      <w:r>
        <w:rPr>
          <w:rStyle w:val="FootnoteReference"/>
        </w:rPr>
        <w:footnoteReference w:id="25"/>
      </w:r>
    </w:p>
    <w:p>
      <w:pPr>
        <w:pStyle w:val="Compact"/>
        <w:numPr>
          <w:ilvl w:val="1"/>
          <w:numId w:val="1010"/>
        </w:numPr>
      </w:pPr>
      <w:r>
        <w:t xml:space="preserve">리스제공자로서 리스순투자의 금융수익을 공시했는지 확인합니다.</w:t>
      </w:r>
      <w:r>
        <w:rPr>
          <w:rStyle w:val="FootnoteReference"/>
        </w:rPr>
        <w:footnoteReference w:id="26"/>
      </w:r>
    </w:p>
    <w:p>
      <w:pPr>
        <w:pStyle w:val="Compact"/>
        <w:numPr>
          <w:ilvl w:val="1"/>
          <w:numId w:val="1010"/>
        </w:numPr>
      </w:pPr>
      <w:r>
        <w:t xml:space="preserve">전대 이자수익의 범주 판단을 회계정책 또는 판단 주석에 기재했는지 확인합니다. 이 주석의 근거 문단은 조회하지 않았습니다(회계위키 근거 미확인).</w:t>
      </w:r>
    </w:p>
    <w:p>
      <w:pPr>
        <w:pStyle w:val="Compact"/>
        <w:numPr>
          <w:ilvl w:val="0"/>
          <w:numId w:val="1009"/>
        </w:numPr>
      </w:pPr>
      <w:r>
        <w:t xml:space="preserve">경영진 확인서: 추가 서면진술을 받습니다.</w:t>
      </w:r>
      <w:r>
        <w:rPr>
          <w:rStyle w:val="FootnoteReference"/>
        </w:rPr>
        <w:footnoteReference w:id="27"/>
      </w:r>
    </w:p>
    <w:p>
      <w:pPr>
        <w:pStyle w:val="Compact"/>
        <w:numPr>
          <w:ilvl w:val="1"/>
          <w:numId w:val="1011"/>
        </w:numPr>
      </w:pPr>
      <w:r>
        <w:t xml:space="preserve">전대가 주된 사업활동이 아니라는 점</w:t>
      </w:r>
    </w:p>
    <w:p>
      <w:pPr>
        <w:pStyle w:val="Compact"/>
        <w:numPr>
          <w:ilvl w:val="1"/>
          <w:numId w:val="1011"/>
        </w:numPr>
      </w:pPr>
      <w:r>
        <w:t xml:space="preserve">전대 직전 자산의 용도</w:t>
      </w:r>
    </w:p>
    <w:p>
      <w:pPr>
        <w:pStyle w:val="Compact"/>
        <w:numPr>
          <w:ilvl w:val="1"/>
          <w:numId w:val="1011"/>
        </w:numPr>
      </w:pPr>
      <w:r>
        <w:t xml:space="preserve">범주 분류 회계정책의 적합성</w:t>
      </w:r>
    </w:p>
    <w:bookmarkEnd w:id="28"/>
    <w:bookmarkStart w:id="30" w:name="감사의견핵심감사사항-영향"/>
    <w:p>
      <w:pPr>
        <w:pStyle w:val="Heading1"/>
      </w:pPr>
      <w:r>
        <w:t xml:space="preserve">7. 감사의견·핵심감사사항 영향</w:t>
      </w:r>
    </w:p>
    <w:p>
      <w:pPr>
        <w:pStyle w:val="Compact"/>
        <w:numPr>
          <w:ilvl w:val="0"/>
          <w:numId w:val="1012"/>
        </w:numPr>
      </w:pPr>
      <w:r>
        <w:t xml:space="preserve">범주 오분류가 중요하면 수정을 요구합니다. 영업손익에 영향을 주는 처분손익·감가상각비의 오분류는 금액이 작아도 질적으로 중요할 수 있습니다.</w:t>
      </w:r>
    </w:p>
    <w:p>
      <w:pPr>
        <w:pStyle w:val="Compact"/>
        <w:numPr>
          <w:ilvl w:val="0"/>
          <w:numId w:val="1012"/>
        </w:numPr>
      </w:pPr>
      <w:r>
        <w:t xml:space="preserve">수정하지 않으면 표시 적정성 평가 결과를 의견에 반영합니다.</w:t>
      </w:r>
      <w:r>
        <w:rPr>
          <w:rStyle w:val="FootnoteReference"/>
        </w:rPr>
        <w:footnoteReference w:id="29"/>
      </w:r>
    </w:p>
    <w:p>
      <w:pPr>
        <w:pStyle w:val="Compact"/>
        <w:numPr>
          <w:ilvl w:val="0"/>
          <w:numId w:val="1012"/>
        </w:numPr>
      </w:pPr>
      <w:r>
        <w:t xml:space="preserve">핵심감사사항에 해당할 가능성은 낮습니다. 다만 제1118호 최초 적용 전반이 핵심감사사항 후보가 되면 그 일부로 포함할 수 있습니다.</w:t>
      </w:r>
    </w:p>
    <w:bookmarkEnd w:id="30"/>
    <w:bookmarkStart w:id="31" w:name="감리-리스크와-대응-포인트"/>
    <w:p>
      <w:pPr>
        <w:pStyle w:val="Heading1"/>
      </w:pPr>
      <w:r>
        <w:t xml:space="preserve">8. 감리 리스크와 대응 포인트</w:t>
      </w:r>
    </w:p>
    <w:p>
      <w:pPr>
        <w:pStyle w:val="Compact"/>
        <w:numPr>
          <w:ilvl w:val="0"/>
          <w:numId w:val="1013"/>
        </w:numPr>
      </w:pPr>
      <w:r>
        <w:t xml:space="preserve">제1118호가 아직 시행 전이어서, 이 쟁점의 범주 분류에 관한 감리지적사례는 회계위키에서 찾지 못했습니다(키워드</w:t>
      </w:r>
      <w:r>
        <w:t xml:space="preserve"> </w:t>
      </w:r>
      <w:r>
        <w:t xml:space="preserve">‘리스’</w:t>
      </w:r>
      <w:r>
        <w:t xml:space="preserve">,</w:t>
      </w:r>
      <w:r>
        <w:t xml:space="preserve"> </w:t>
      </w:r>
      <w:r>
        <w:t xml:space="preserve">‘영업손익’</w:t>
      </w:r>
      <w:r>
        <w:t xml:space="preserve"> </w:t>
      </w:r>
      <w:r>
        <w:t xml:space="preserve">조회).</w:t>
      </w:r>
    </w:p>
    <w:p>
      <w:pPr>
        <w:pStyle w:val="Compact"/>
        <w:numPr>
          <w:ilvl w:val="0"/>
          <w:numId w:val="1013"/>
        </w:numPr>
      </w:pPr>
      <w:r>
        <w:t xml:space="preserve">예상 지적 포인트:</w:t>
      </w:r>
    </w:p>
    <w:p>
      <w:pPr>
        <w:pStyle w:val="Compact"/>
        <w:numPr>
          <w:ilvl w:val="1"/>
          <w:numId w:val="1014"/>
        </w:numPr>
      </w:pPr>
      <w:r>
        <w:t xml:space="preserve">전대 이자수익을 재무 범주에 넣거나 리스부채 이자와 상계하는 처리</w:t>
      </w:r>
    </w:p>
    <w:p>
      <w:pPr>
        <w:pStyle w:val="Compact"/>
        <w:numPr>
          <w:ilvl w:val="1"/>
          <w:numId w:val="1014"/>
        </w:numPr>
      </w:pPr>
      <w:r>
        <w:t xml:space="preserve">영업용 자산의 처분손실을 투자 범주로 보내는 처리</w:t>
      </w:r>
    </w:p>
    <w:p>
      <w:pPr>
        <w:pStyle w:val="Compact"/>
        <w:numPr>
          <w:ilvl w:val="0"/>
          <w:numId w:val="1013"/>
        </w:numPr>
      </w:pPr>
      <w:r>
        <w:t xml:space="preserve">대응:</w:t>
      </w:r>
    </w:p>
    <w:p>
      <w:pPr>
        <w:pStyle w:val="Compact"/>
        <w:numPr>
          <w:ilvl w:val="1"/>
          <w:numId w:val="1015"/>
        </w:numPr>
      </w:pPr>
      <w:r>
        <w:t xml:space="preserve">전대 계약별 판단 문서(전대 직전 용도, 주된 사업활동이 아니라는 근거, 이자수익 해석 근거)를 조서에 남깁니다.</w:t>
      </w:r>
    </w:p>
    <w:p>
      <w:pPr>
        <w:pStyle w:val="Compact"/>
        <w:numPr>
          <w:ilvl w:val="1"/>
          <w:numId w:val="1015"/>
        </w:numPr>
      </w:pPr>
      <w:r>
        <w:t xml:space="preserve">정착지원 TF와 IFRS 해석위원회의 후속 논의를 점검합니다.</w:t>
      </w:r>
    </w:p>
    <w:bookmarkEnd w:id="31"/>
    <w:bookmarkStart w:id="38" w:name="근거-회계감사기준"/>
    <w:p>
      <w:pPr>
        <w:pStyle w:val="Heading1"/>
      </w:pPr>
      <w:r>
        <w:t xml:space="preserve">9. 근거 회계감사기준</w:t>
      </w:r>
    </w:p>
    <w:p>
      <w:pPr>
        <w:pStyle w:val="BlockText"/>
      </w:pPr>
      <w:r>
        <w:t xml:space="preserve">감사기준서 315 문단 A190</w:t>
      </w:r>
      <w:r>
        <w:br/>
      </w:r>
      <w:r>
        <w:t xml:space="preserve">분류 – 거래와 사건은 적절한 계정으로 기록되었음</w:t>
      </w:r>
      <w:r>
        <w:rPr>
          <w:rStyle w:val="FootnoteReference"/>
        </w:rPr>
        <w:footnoteReference w:id="32"/>
      </w:r>
    </w:p>
    <w:p>
      <w:pPr>
        <w:pStyle w:val="FirstParagraph"/>
      </w:pPr>
      <w:r>
        <w:t xml:space="preserve">본건 위험은</w:t>
      </w:r>
      <w:r>
        <w:t xml:space="preserve"> </w:t>
      </w:r>
      <w:r>
        <w:t xml:space="preserve">‘분류’와 ’표시’</w:t>
      </w:r>
      <w:r>
        <w:t xml:space="preserve"> </w:t>
      </w:r>
      <w:r>
        <w:t xml:space="preserve">경영진 주장에 집중됩니다. 위험평가와 절차 설계의 기준이 되는 문단입니다.</w:t>
      </w:r>
    </w:p>
    <w:p>
      <w:pPr>
        <w:pStyle w:val="BlockText"/>
      </w:pPr>
      <w:r>
        <w:t xml:space="preserve">감사기준서 330 문단 18</w:t>
      </w:r>
      <w:r>
        <w:br/>
      </w:r>
      <w:r>
        <w:t xml:space="preserve">감사인은 평가된 중요왜곡표시위험과 관계없이 중요한 각 거래유형과 계정잔액 및 공시에 대하여는 실증절차를 설계하고 수행하여야 한다.</w:t>
      </w:r>
      <w:r>
        <w:rPr>
          <w:rStyle w:val="FootnoteReference"/>
        </w:rPr>
        <w:footnoteReference w:id="33"/>
      </w:r>
    </w:p>
    <w:p>
      <w:pPr>
        <w:pStyle w:val="FirstParagraph"/>
      </w:pPr>
      <w:r>
        <w:t xml:space="preserve">매핑 통제에 의존하더라도, 범주 매핑과 재계산에 대한 실증절차는 생략할 수 없습니다.</w:t>
      </w:r>
    </w:p>
    <w:p>
      <w:pPr>
        <w:pStyle w:val="BlockText"/>
      </w:pPr>
      <w:r>
        <w:t xml:space="preserve">감사기준서 330 문단 20</w:t>
      </w:r>
      <w:r>
        <w:br/>
      </w:r>
      <w:r>
        <w:t xml:space="preserve">재무제표를 작성하는 과정에서 행한 중요한 분개 및 기타 수정사항에 대하여 조사함</w:t>
      </w:r>
      <w:r>
        <w:rPr>
          <w:rStyle w:val="FootnoteReference"/>
        </w:rPr>
        <w:footnoteReference w:id="34"/>
      </w:r>
    </w:p>
    <w:p>
      <w:pPr>
        <w:pStyle w:val="FirstParagraph"/>
      </w:pPr>
      <w:r>
        <w:t xml:space="preserve">결산 재분류 조정분과 비교기간 재작성 조정을 조사해야 합니다.</w:t>
      </w:r>
    </w:p>
    <w:p>
      <w:pPr>
        <w:pStyle w:val="BlockText"/>
      </w:pPr>
      <w:r>
        <w:t xml:space="preserve">감사기준서 330 문단 24</w:t>
      </w:r>
      <w:r>
        <w:br/>
      </w:r>
      <w:r>
        <w:t xml:space="preserve">감사인은 재무제표의 전반적인 표시가 해당 재무보고체계를 준수하였는지 여부를 평가하기 위한 감사절차를 수행하여야 한다.</w:t>
      </w:r>
      <w:r>
        <w:rPr>
          <w:rStyle w:val="FootnoteReference"/>
        </w:rPr>
        <w:footnoteReference w:id="35"/>
      </w:r>
    </w:p>
    <w:p>
      <w:pPr>
        <w:pStyle w:val="FirstParagraph"/>
      </w:pPr>
      <w:r>
        <w:t xml:space="preserve">범주 구조와 상계 여부를 평가하는 근거입니다.</w:t>
      </w:r>
    </w:p>
    <w:p>
      <w:pPr>
        <w:pStyle w:val="BlockText"/>
      </w:pPr>
      <w:r>
        <w:t xml:space="preserve">감사기준서 700 문단 13(d)</w:t>
      </w:r>
      <w:r>
        <w:br/>
      </w:r>
      <w:r>
        <w:t xml:space="preserve">포함되어야 할 정보는 포함되었고 그러한 정보가 적합하게 분류되고, 합산되거나 세분화되었으며, 적절한 특징이 나타나는지 여부</w:t>
      </w:r>
      <w:r>
        <w:rPr>
          <w:rStyle w:val="FootnoteReference"/>
        </w:rPr>
        <w:footnoteReference w:id="36"/>
      </w:r>
    </w:p>
    <w:p>
      <w:pPr>
        <w:pStyle w:val="FirstParagraph"/>
      </w:pPr>
      <w:r>
        <w:t xml:space="preserve">의견 형성 단계에서 범주 분류와 세분화의 적정성을 평가하는 근거입니다.</w:t>
      </w:r>
    </w:p>
    <w:p>
      <w:pPr>
        <w:pStyle w:val="BlockText"/>
      </w:pPr>
      <w:r>
        <w:t xml:space="preserve">감사기준서 580 문단 A10</w:t>
      </w:r>
      <w:r>
        <w:br/>
      </w:r>
      <w:r>
        <w:t xml:space="preserve">회계정책의 선택과 적용이 적합한지 여부</w:t>
      </w:r>
      <w:r>
        <w:rPr>
          <w:rStyle w:val="FootnoteReference"/>
        </w:rPr>
        <w:footnoteReference w:id="37"/>
      </w:r>
    </w:p>
    <w:p>
      <w:pPr>
        <w:pStyle w:val="FirstParagraph"/>
      </w:pPr>
      <w:r>
        <w:t xml:space="preserve">범주 분류 정책과 주된 사업활동 판단에 대해 추가 서면진술을 받는 근거입니다.</w:t>
      </w:r>
    </w:p>
    <w:bookmarkEnd w:id="38"/>
    <w:bookmarkStart w:id="39" w:name="인용-검증-결과"/>
    <w:p>
      <w:pPr>
        <w:pStyle w:val="Heading1"/>
      </w:pPr>
      <w:r>
        <w:t xml:space="preserve">10. 인용 검증 결과</w:t>
      </w:r>
    </w:p>
    <w:p>
      <w:pPr>
        <w:pStyle w:val="Compact"/>
        <w:numPr>
          <w:ilvl w:val="0"/>
          <w:numId w:val="1016"/>
        </w:numPr>
      </w:pPr>
      <w:r>
        <w:t xml:space="preserve">검증 문구 수: 74건. 문서 1과 문서 2 전체 기준이며 모두 ’일치’입니다.</w:t>
      </w:r>
    </w:p>
    <w:p>
      <w:pPr>
        <w:pStyle w:val="Compact"/>
        <w:numPr>
          <w:ilvl w:val="1"/>
          <w:numId w:val="1017"/>
        </w:numPr>
      </w:pPr>
      <w:r>
        <w:t xml:space="preserve">기업회계기준서: 68건(제1118호 55건, 제1116호 11건, 제1040호 4건 중 일부 문단은 여러 조각으로 나누어 대조)</w:t>
      </w:r>
    </w:p>
    <w:p>
      <w:pPr>
        <w:pStyle w:val="Compact"/>
        <w:numPr>
          <w:ilvl w:val="1"/>
          <w:numId w:val="1017"/>
        </w:numPr>
      </w:pPr>
      <w:r>
        <w:t xml:space="preserve">회계감사기준: 6건</w:t>
      </w:r>
    </w:p>
    <w:p>
      <w:pPr>
        <w:pStyle w:val="Compact"/>
        <w:numPr>
          <w:ilvl w:val="0"/>
          <w:numId w:val="1016"/>
        </w:numPr>
      </w:pPr>
      <w:r>
        <w:t xml:space="preserve">수정 문구 수: 0건</w:t>
      </w:r>
    </w:p>
    <w:p>
      <w:pPr>
        <w:pStyle w:val="Compact"/>
        <w:numPr>
          <w:ilvl w:val="0"/>
          <w:numId w:val="1016"/>
        </w:numPr>
      </w:pPr>
      <w:r>
        <w:t xml:space="preserve">원문 대조를 마치지 못한 부분: 제1118호 문단 44 끝의 참조 표시</w:t>
      </w:r>
      <w:r>
        <w:t xml:space="preserve"> </w:t>
      </w:r>
      <w:r>
        <w:t xml:space="preserve">“(문단 B27~B28 참조)”</w:t>
      </w:r>
      <w:r>
        <w:t xml:space="preserve">. 대조 요청이 권한 문제로 거부되어 부록 A에서 생략했습니다. 본문 문장은 ’일치’로 확인했습니다.</w:t>
      </w:r>
    </w:p>
    <w:p>
      <w:pPr>
        <w:pStyle w:val="Compact"/>
        <w:numPr>
          <w:ilvl w:val="0"/>
          <w:numId w:val="1016"/>
        </w:numPr>
      </w:pPr>
      <w:r>
        <w:t xml:space="preserve">근거 미확인 항목:</w:t>
      </w:r>
    </w:p>
    <w:p>
      <w:pPr>
        <w:pStyle w:val="Compact"/>
        <w:numPr>
          <w:ilvl w:val="1"/>
          <w:numId w:val="1018"/>
        </w:numPr>
      </w:pPr>
      <w:r>
        <w:t xml:space="preserve">전대리스 순투자 이자수익 범주: 기준서 직접 규정이 없고 비공식 해석 자료에 의존합니다.</w:t>
      </w:r>
    </w:p>
    <w:p>
      <w:pPr>
        <w:pStyle w:val="Compact"/>
        <w:numPr>
          <w:ilvl w:val="1"/>
          <w:numId w:val="1018"/>
        </w:numPr>
      </w:pPr>
      <w:r>
        <w:t xml:space="preserve">범주 판단 주석의 근거 문단: 조회하지 않았습니다.</w:t>
      </w:r>
    </w:p>
    <w:p>
      <w:pPr>
        <w:pStyle w:val="Compact"/>
        <w:numPr>
          <w:ilvl w:val="1"/>
          <w:numId w:val="1018"/>
        </w:numPr>
      </w:pPr>
      <w:r>
        <w:t xml:space="preserve">회계·세무 차이: 일반 실무 판단입니다.</w:t>
      </w:r>
    </w:p>
    <w:bookmarkEnd w:id="39"/>
    <w:sectPr>
      <w:headerReference r:id="rId9" w:type="default"/>
      <w:footerReference r:id="rId10" w:type="default"/>
      <w:footnotePr>
        <w:numRestart w:val="eachSect"/>
      </w:footnotePr>
      <w:pgSz w:h="16838" w:w="11906"/>
      <w:pgMar w:bottom="1134" w:left="1134" w:right="1134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315 문단 A190. 회계위키, https://accountingwiki.co.kr/audit/standards/315/b#pA190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기업회계기준서 제1116호 문단 53(6). 회계위키, https://accountingwiki.co.kr/standards/1116#p53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기업회계기준서 제1116호 문단 90⑴㈏. 회계위키, https://accountingwiki.co.kr/standards/1116#p90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580 문단 A10. 회계위키, https://accountingwiki.co.kr/audit/standards/580/b#pA10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700 문단 13. 회계위키, https://accountingwiki.co.kr/audit/standards/700#p13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315 문단 A190. 회계위키, https://accountingwiki.co.kr/audit/standards/315/b#pA190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330 문단 18. 회계위키, https://accountingwiki.co.kr/audit/standards/330#p18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330 문단 20. 회계위키, https://accountingwiki.co.kr/audit/standards/330#p20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330 문단 24. 회계위키, https://accountingwiki.co.kr/audit/standards/330#p24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700 문단 13. 회계위키, https://accountingwiki.co.kr/audit/standards/700#p13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감사기준서 580 문단 A10. 회계위키, https://accountingwiki.co.kr/audit/standards/580/b#pA10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sz w:val="17"/>
      </w:rPr>
      <w:t>대외비 | 감사 조서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cs="맑은 고딕" w:eastAsia="맑은 고딕" w:hAnsi="맑은 고딕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cs="맑은 고딕" w:eastAsia="맑은 고딕" w:hAnsi="맑은 고딕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cs="맑은 고딕" w:eastAsia="맑은 고딕" w:hAnsi="맑은 고딕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cs="맑은 고딕" w:eastAsia="맑은 고딕" w:hAnsi="맑은 고딕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맑은 고딕" w:cs="맑은 고딕" w:eastAsia="맑은 고딕" w:hAnsi="맑은 고딕"/>
      <w:b/>
      <w:color w:val="1F3864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맑은 고딕" w:cs="맑은 고딕" w:eastAsia="맑은 고딕" w:hAnsi="맑은 고딕"/>
      <w:b w:val="0"/>
      <w:color w:val="1F3864"/>
      <w:spacing w:val="15"/>
      <w:sz w:val="26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맑은 고딕" w:cs="맑은 고딕" w:eastAsia="맑은 고딕" w:hAnsi="맑은 고딕"/>
      <w:b w:val="0"/>
      <w:color w:val="1F3864"/>
      <w:sz w:val="22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맑은 고딕" w:cs="맑은 고딕" w:eastAsia="맑은 고딕" w:hAnsi="맑은 고딕"/>
      <w:b/>
      <w:color w:val="1F3864"/>
      <w:sz w:val="3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맑은 고딕" w:cs="맑은 고딕" w:eastAsia="맑은 고딕" w:hAnsi="맑은 고딕"/>
      <w:b/>
      <w:color w:val="1F3864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맑은 고딕" w:cs="맑은 고딕" w:eastAsia="맑은 고딕" w:hAnsi="맑은 고딕"/>
      <w:b/>
      <w:color w:val="1F3864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hd w:color="auto" w:fill="F2F2F2" w:val="clear"/>
      <w:spacing w:after="100" w:before="100"/>
      <w:ind w:firstLine="0" w:left="280" w:right="120"/>
    </w:pPr>
    <w:rPr>
      <w:rFonts w:ascii="맑은 고딕" w:cs="맑은 고딕" w:eastAsia="맑은 고딕" w:hAnsi="맑은 고딕"/>
      <w:sz w:val="20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맑은 고딕" w:cs="맑은 고딕" w:eastAsia="맑은 고딕" w:hAnsi="맑은 고딕"/>
      <w:sz w:val="17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TOC1">
    <w:name w:val="TOC 1"/>
    <w:basedOn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감사 조서 메모: 중간리스제공자(금융 전대리스) 관련 손익의 기업회계기준서 제1118호 범주 분류</dc:title>
  <dc:creator/>
  <dc:language>ko-KR</dc:language>
  <cp:keywords/>
  <dcterms:created xsi:type="dcterms:W3CDTF">2026-10-02T02:32:09Z</dcterms:created>
  <dcterms:modified xsi:type="dcterms:W3CDTF">2026-10-02T02:32:09Z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2026-10-02</vt:lpwstr>
  </property>
  <property fmtid="{D5CDD505-2E9C-101B-9397-08002B2CF9AE}" pid="3" name="subtitle">
    <vt:lpwstr>감사팀 내부용</vt:lpwstr>
  </property>
</Properties>
</file>