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sz w:val="52"/>
          <w:szCs w:val="52"/>
        </w:rPr>
        <w:t xml:space="preserve">Machine-Learned Indicator Weights for a 12-Week Equity Swing System</w:t>
      </w:r>
    </w:p>
    <w:p>
      <w:pPr>
        <w:spacing w:after="400"/>
        <w:jc w:val="center"/>
      </w:pPr>
      <w:r>
        <w:rPr>
          <w:rFonts w:ascii="Calibri" w:cs="Calibri" w:eastAsia="Calibri" w:hAnsi="Calibri"/>
          <w:color w:val="444444"/>
          <w:sz w:val="28"/>
          <w:szCs w:val="28"/>
        </w:rPr>
        <w:t xml:space="preserve">A Sequence of Seven Walk-Forward Studies on 604 U.S. Equities, 2016–2026</w:t>
      </w:r>
    </w:p>
    <w:p>
      <w:pPr>
        <w:spacing w:after="120"/>
        <w:jc w:val="center"/>
      </w:pPr>
      <w:r>
        <w:rPr>
          <w:rFonts w:ascii="Calibri" w:cs="Calibri" w:eastAsia="Calibri" w:hAnsi="Calibri"/>
          <w:sz w:val="24"/>
          <w:szCs w:val="24"/>
        </w:rPr>
        <w:t xml:space="preserve">GJ Singh</w:t>
      </w:r>
    </w:p>
    <w:p>
      <w:pPr>
        <w:spacing w:after="2000"/>
        <w:jc w:val="center"/>
      </w:pPr>
      <w:r>
        <w:rPr>
          <w:rFonts w:ascii="Calibri" w:cs="Calibri" w:eastAsia="Calibri" w:hAnsi="Calibri"/>
          <w:color w:val="666666"/>
          <w:sz w:val="22"/>
          <w:szCs w:val="22"/>
        </w:rPr>
        <w:t xml:space="preserve">STS Research Program · July 2026</w:t>
      </w:r>
    </w:p>
    <w:p>
      <w:pPr>
        <w:spacing w:after="200"/>
        <w:jc w:val="center"/>
      </w:pPr>
      <w:r>
        <w:rPr>
          <w:rFonts w:ascii="Calibri" w:cs="Calibri" w:eastAsia="Calibri" w:hAnsi="Calibri"/>
          <w:i/>
          <w:iCs/>
          <w:color w:val="888888"/>
          <w:sz w:val="18"/>
          <w:szCs w:val="18"/>
        </w:rPr>
        <w:t xml:space="preserve">Research preview — for personal use. Not investment advice.</w:t>
      </w:r>
    </w:p>
    <w:p>
      <w:r>
        <w:br w:type="page"/>
      </w:r>
    </w:p>
    <w:p>
      <w:pPr>
        <w:pStyle w:val="Heading1"/>
        <w:spacing w:after="200" w:before="360"/>
      </w:pPr>
      <w:r>
        <w:rPr>
          <w:rFonts w:ascii="Calibri" w:cs="Calibri" w:eastAsia="Calibri" w:hAnsi="Calibri"/>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60" w:line="276"/>
        <w:jc w:val="both"/>
      </w:pPr>
      <w:r>
        <w:rPr>
          <w:rFonts w:ascii="Calibri" w:cs="Calibri" w:eastAsia="Calibri" w:hAnsi="Calibri"/>
          <w:i/>
          <w:iCs/>
          <w:color w:val="888888"/>
          <w:sz w:val="18"/>
          <w:szCs w:val="18"/>
        </w:rPr>
        <w:t xml:space="preserve">(In Word: right-click the table of contents and choose “Update Field” to populate it.)</w:t>
      </w:r>
    </w:p>
    <w:p>
      <w:r>
        <w:br w:type="page"/>
      </w:r>
    </w:p>
    <w:p>
      <w:pPr>
        <w:pStyle w:val="Heading1"/>
        <w:spacing w:after="200" w:before="360"/>
      </w:pPr>
      <w:r>
        <w:rPr>
          <w:rFonts w:ascii="Calibri" w:cs="Calibri" w:eastAsia="Calibri" w:hAnsi="Calibri"/>
        </w:rPr>
        <w:t xml:space="preserve">Abstract</w:t>
      </w:r>
    </w:p>
    <w:p>
      <w:pPr>
        <w:spacing w:after="160" w:line="276"/>
        <w:jc w:val="both"/>
      </w:pPr>
      <w:r>
        <w:rPr>
          <w:rFonts w:ascii="Calibri" w:cs="Calibri" w:eastAsia="Calibri" w:hAnsi="Calibri"/>
          <w:sz w:val="22"/>
          <w:szCs w:val="22"/>
        </w:rPr>
        <w:t xml:space="preserve">This paper documents seven sequential studies that asked whether the weights of a 16-indicator technical trading system (STS) could be learned from data rather than assigned by hand, for a daily-timeframe system holding positions approximately 12 weeks. Using ten years of daily bars for 604 U.S. equities and walk-forward ridge regression with purged, out-of-sample validation, we find: (1) the hand-weighted 18-point score has zero-to-negative rank correlation with 12-week outcomes; (2) predictive weight concentrates in a small set of slow, simple features — distance from the 52-week high, distance from the 200-day moving average, 6-month momentum, and relative strength versus SPY — while all 16 STS indicators, at both original and 5×-slowed parameterizations, contribute no incremental signal; (3) the learned score's edge is concentrated entirely in its top decile, which earns roughly +7% average per 12 weeks under realistic stops but with a 50% stop-out rate; (4) every stop-loss rule tested, including ATR-scaled and breakeven variants, reduces both raw and risk-adjusted expectancy relative to holding the full horizon — risk control is better achieved through position sizing; (5) momentum in selected names persists at least 24 weeks with undiminished per-week efficiency; and (6) in crash-recovery setups, technical state at entry carries no forward information, implying that selection among such candidates must rest on fundamentals. All results are subject to survivorship bias and require forward validation.</w:t>
      </w:r>
    </w:p>
    <w:p>
      <w:pPr>
        <w:pStyle w:val="Heading1"/>
        <w:spacing w:after="200" w:before="360"/>
      </w:pPr>
      <w:r>
        <w:rPr>
          <w:rFonts w:ascii="Calibri" w:cs="Calibri" w:eastAsia="Calibri" w:hAnsi="Calibri"/>
        </w:rPr>
        <w:t xml:space="preserve">1. Introduction and Motivation</w:t>
      </w:r>
    </w:p>
    <w:p>
      <w:pPr>
        <w:spacing w:after="160" w:line="276"/>
        <w:jc w:val="both"/>
      </w:pPr>
      <w:r>
        <w:rPr>
          <w:rFonts w:ascii="Calibri" w:cs="Calibri" w:eastAsia="Calibri" w:hAnsi="Calibri"/>
          <w:sz w:val="22"/>
          <w:szCs w:val="22"/>
        </w:rPr>
        <w:t xml:space="preserve">The Signal Trading System (STS) began as an intraday scanner combining 16 technical indicators, each casting a binary vote (+1 bullish, 0 neutral, −1 bearish), with hand-assigned weights: Fisher Transform ×3, VWAP ×2, and ×1 for the remaining fourteen (maximum score 18, live threshold ≥14). The system was migrated to a daily timeframe for swing trading with an intended holding period of roughly 12 weeks, tiered stop-losses (−13% for mega-caps, −15% for large-caps), and a fundamental thesis-quality overlay (SSI2).</w:t>
      </w:r>
    </w:p>
    <w:p>
      <w:pPr>
        <w:spacing w:after="160" w:line="276"/>
        <w:jc w:val="both"/>
      </w:pPr>
      <w:r>
        <w:rPr>
          <w:rFonts w:ascii="Calibri" w:cs="Calibri" w:eastAsia="Calibri" w:hAnsi="Calibri"/>
          <w:sz w:val="22"/>
          <w:szCs w:val="22"/>
        </w:rPr>
        <w:t xml:space="preserve">The motivating idea was to convert the binary filter into a continuous numerical score plotted like an indicator, with an entry threshold. That raised four questions: Is this feasible? Should indicators be weighted equally or differently? Can machine learning find the weights? And can the result drive an automated paper-trading pipeline? This research program answers the middle two questions empirically. Prior internal work had already established several relevant facts: exit timing dominated entry quality in backtests; profit factor rose monotonically with holding period out to 12 weeks; hard veto gates (volume, market regime, relative strength) destroyed edge while the same variables used as continuous rankings preserved it; and the strongest known entry profile was “strong 8-week relative strength with a soft 4-week pullback.”</w:t>
      </w:r>
    </w:p>
    <w:p>
      <w:pPr>
        <w:pStyle w:val="Heading1"/>
        <w:spacing w:after="200" w:before="360"/>
      </w:pPr>
      <w:r>
        <w:rPr>
          <w:rFonts w:ascii="Calibri" w:cs="Calibri" w:eastAsia="Calibri" w:hAnsi="Calibri"/>
        </w:rPr>
        <w:t xml:space="preserve">2. Data and Common Methodology</w:t>
      </w:r>
    </w:p>
    <w:p>
      <w:pPr>
        <w:pStyle w:val="Heading2"/>
        <w:spacing w:after="160" w:before="280"/>
      </w:pPr>
      <w:r>
        <w:rPr>
          <w:rFonts w:ascii="Calibri" w:cs="Calibri" w:eastAsia="Calibri" w:hAnsi="Calibri"/>
        </w:rPr>
        <w:t xml:space="preserve">2.1 Universe and data</w:t>
      </w:r>
    </w:p>
    <w:p>
      <w:pPr>
        <w:pStyle w:val="ListParagraph"/>
        <w:numPr>
          <w:ilvl w:val="0"/>
          <w:numId w:val="2"/>
        </w:numPr>
        <w:spacing w:after="100" w:line="276"/>
      </w:pPr>
      <w:r>
        <w:rPr>
          <w:rFonts w:ascii="Calibri" w:cs="Calibri" w:eastAsia="Calibri" w:hAnsi="Calibri"/>
          <w:sz w:val="22"/>
          <w:szCs w:val="22"/>
        </w:rPr>
        <w:t xml:space="preserve">604 U.S. equities plus SPY; 10 years of daily OHLCV bars (January 2016 – July 2026), sourced via yfinance (adjusted) with a 750-bar minimum per ticker.</w:t>
      </w:r>
    </w:p>
    <w:p>
      <w:pPr>
        <w:pStyle w:val="ListParagraph"/>
        <w:numPr>
          <w:ilvl w:val="0"/>
          <w:numId w:val="2"/>
        </w:numPr>
        <w:spacing w:after="100" w:line="276"/>
      </w:pPr>
      <w:r>
        <w:rPr>
          <w:rFonts w:ascii="Calibri" w:cs="Calibri" w:eastAsia="Calibri" w:hAnsi="Calibri"/>
          <w:sz w:val="22"/>
          <w:szCs w:val="22"/>
        </w:rPr>
        <w:t xml:space="preserve">Feature panel: every 5th trading day per ticker (weekly sampling) after a 280-bar warm-up, to limit overlap between consecutive 60-day forward-return labels. Final panel: 263,026 stock-weeks.</w:t>
      </w:r>
    </w:p>
    <w:p>
      <w:pPr>
        <w:pStyle w:val="ListParagraph"/>
        <w:numPr>
          <w:ilvl w:val="0"/>
          <w:numId w:val="2"/>
        </w:numPr>
        <w:spacing w:after="100" w:line="276"/>
      </w:pPr>
      <w:r>
        <w:rPr>
          <w:rFonts w:ascii="Calibri" w:cs="Calibri" w:eastAsia="Calibri" w:hAnsi="Calibri"/>
          <w:sz w:val="22"/>
          <w:szCs w:val="22"/>
        </w:rPr>
        <w:t xml:space="preserve">Market-capitalization tiers from a cached snapshot: MEGA ≥ $200B (59 tickers in panel, ~10% of bars), LARGE otherwise.</w:t>
      </w:r>
    </w:p>
    <w:p>
      <w:pPr>
        <w:spacing w:after="160" w:line="276"/>
        <w:jc w:val="both"/>
      </w:pPr>
      <w:r>
        <w:rPr>
          <w:rFonts w:ascii="Calibri" w:cs="Calibri" w:eastAsia="Calibri" w:hAnsi="Calibri"/>
          <w:sz w:val="22"/>
          <w:szCs w:val="22"/>
        </w:rPr>
        <w:t xml:space="preserve">Survivorship bias. The universe is today's ticker list projected backward. Stocks that were delisted, acquired at distress, or faded away are absent. All absolute win rates in this paper are therefore upper bounds, and the bias is largest precisely where results look best: deep-drawdown recovery setups, no-stop holding rules, and longer horizons. Relative comparisons (between models, deciles, or exit rules evaluated on the same trades) are more robust than absolute levels.</w:t>
      </w:r>
    </w:p>
    <w:p>
      <w:pPr>
        <w:pStyle w:val="Heading2"/>
        <w:spacing w:after="160" w:before="280"/>
      </w:pPr>
      <w:r>
        <w:rPr>
          <w:rFonts w:ascii="Calibri" w:cs="Calibri" w:eastAsia="Calibri" w:hAnsi="Calibri"/>
        </w:rPr>
        <w:t xml:space="preserve">2.2 Validation protocol</w:t>
      </w:r>
    </w:p>
    <w:p>
      <w:pPr>
        <w:pStyle w:val="ListParagraph"/>
        <w:numPr>
          <w:ilvl w:val="0"/>
          <w:numId w:val="2"/>
        </w:numPr>
        <w:spacing w:after="100" w:line="276"/>
      </w:pPr>
      <w:r>
        <w:rPr>
          <w:rFonts w:ascii="Calibri" w:cs="Calibri" w:eastAsia="Calibri" w:hAnsi="Calibri"/>
          <w:sz w:val="22"/>
          <w:szCs w:val="22"/>
        </w:rPr>
        <w:t xml:space="preserve">Walk-forward, expanding window: train on all data ending 90 calendar days before each test year (200 days for 24-week targets), test on that unseen year, slide forward, retrain. Test years: 2020–2026.</w:t>
      </w:r>
    </w:p>
    <w:p>
      <w:pPr>
        <w:pStyle w:val="ListParagraph"/>
        <w:numPr>
          <w:ilvl w:val="0"/>
          <w:numId w:val="2"/>
        </w:numPr>
        <w:spacing w:after="100" w:line="276"/>
      </w:pPr>
      <w:r>
        <w:rPr>
          <w:rFonts w:ascii="Calibri" w:cs="Calibri" w:eastAsia="Calibri" w:hAnsi="Calibri"/>
          <w:sz w:val="22"/>
          <w:szCs w:val="22"/>
        </w:rPr>
        <w:t xml:space="preserve">Model: ridge regression (α = 10) on z-scored features. Ridge was chosen deliberately over nonlinear learners: with correlated inputs and noisy labels, flexible models memorize noise; linear weights are interpretable and hard to overfit.</w:t>
      </w:r>
    </w:p>
    <w:p>
      <w:pPr>
        <w:pStyle w:val="ListParagraph"/>
        <w:numPr>
          <w:ilvl w:val="0"/>
          <w:numId w:val="2"/>
        </w:numPr>
        <w:spacing w:after="100" w:line="276"/>
      </w:pPr>
      <w:r>
        <w:rPr>
          <w:rFonts w:ascii="Calibri" w:cs="Calibri" w:eastAsia="Calibri" w:hAnsi="Calibri"/>
          <w:sz w:val="22"/>
          <w:szCs w:val="22"/>
        </w:rPr>
        <w:t xml:space="preserve">Primary metric: Spearman information coefficient (IC) — the rank correlation between model score and realized outcome on test data. 0 = no relationship; +0.05 is tradeable; +0.10 is strong. Secondary evidence: monotonicity of outcome across score deciles.</w:t>
      </w:r>
    </w:p>
    <w:p>
      <w:pPr>
        <w:pStyle w:val="ListParagraph"/>
        <w:numPr>
          <w:ilvl w:val="0"/>
          <w:numId w:val="2"/>
        </w:numPr>
        <w:spacing w:after="100" w:line="276"/>
      </w:pPr>
      <w:r>
        <w:rPr>
          <w:rFonts w:ascii="Calibri" w:cs="Calibri" w:eastAsia="Calibri" w:hAnsi="Calibri"/>
          <w:sz w:val="22"/>
          <w:szCs w:val="22"/>
        </w:rPr>
        <w:t xml:space="preserve">Sign consistency: the share of test folds in which a learned weight kept the same sign. Weights below 80% consistency were treated as noise.</w:t>
      </w:r>
    </w:p>
    <w:p>
      <w:pPr>
        <w:pStyle w:val="Heading2"/>
        <w:spacing w:after="160" w:before="280"/>
      </w:pPr>
      <w:r>
        <w:rPr>
          <w:rFonts w:ascii="Calibri" w:cs="Calibri" w:eastAsia="Calibri" w:hAnsi="Calibri"/>
        </w:rPr>
        <w:t xml:space="preserve">2.3 Trade-outcome definitions</w:t>
      </w:r>
    </w:p>
    <w:p>
      <w:pPr>
        <w:pStyle w:val="ListParagraph"/>
        <w:numPr>
          <w:ilvl w:val="0"/>
          <w:numId w:val="2"/>
        </w:numPr>
        <w:spacing w:after="100" w:line="276"/>
      </w:pPr>
      <w:r>
        <w:rPr>
          <w:rFonts w:ascii="Calibri" w:cs="Calibri" w:eastAsia="Calibri" w:hAnsi="Calibri"/>
          <w:sz w:val="22"/>
          <w:szCs w:val="22"/>
        </w:rPr>
        <w:t xml:space="preserve">fwd_12wk: close-to-close return over 60 trading days (24-week variant: 120 days).</w:t>
      </w:r>
    </w:p>
    <w:p>
      <w:pPr>
        <w:pStyle w:val="ListParagraph"/>
        <w:numPr>
          <w:ilvl w:val="0"/>
          <w:numId w:val="2"/>
        </w:numPr>
        <w:spacing w:after="100" w:line="276"/>
      </w:pPr>
      <w:r>
        <w:rPr>
          <w:rFonts w:ascii="Calibri" w:cs="Calibri" w:eastAsia="Calibri" w:hAnsi="Calibri"/>
          <w:sz w:val="22"/>
          <w:szCs w:val="22"/>
        </w:rPr>
        <w:t xml:space="preserve">R (stop-adjusted return): if the daily low breached the tiered stop (−13% MEGA / −15% other) before the horizon, the trade outcome is the stop loss; otherwise the horizon return. Stop fills are assumed at the stop level (gaps fill worse in practice). Win = R &gt; 0.</w:t>
      </w:r>
    </w:p>
    <w:p>
      <w:pPr>
        <w:pStyle w:val="ListParagraph"/>
        <w:numPr>
          <w:ilvl w:val="0"/>
          <w:numId w:val="2"/>
        </w:numPr>
        <w:spacing w:after="100" w:line="276"/>
      </w:pPr>
      <w:r>
        <w:rPr>
          <w:rFonts w:ascii="Calibri" w:cs="Calibri" w:eastAsia="Calibri" w:hAnsi="Calibri"/>
          <w:sz w:val="22"/>
          <w:szCs w:val="22"/>
        </w:rPr>
        <w:t xml:space="preserve">R-multiple: trade return divided by initial stop distance — profit per dollar risked, the correct yardstick under equal-dollar-risk position sizing.</w:t>
      </w:r>
    </w:p>
    <w:p>
      <w:pPr>
        <w:pStyle w:val="ListParagraph"/>
        <w:numPr>
          <w:ilvl w:val="0"/>
          <w:numId w:val="2"/>
        </w:numPr>
        <w:spacing w:after="100" w:line="276"/>
      </w:pPr>
      <w:r>
        <w:rPr>
          <w:rFonts w:ascii="Calibri" w:cs="Calibri" w:eastAsia="Calibri" w:hAnsi="Calibri"/>
          <w:sz w:val="22"/>
          <w:szCs w:val="22"/>
        </w:rPr>
        <w:t xml:space="preserve">MFE / MAE: maximum favorable / adverse excursion versus entry within the holding window.</w:t>
      </w:r>
    </w:p>
    <w:p>
      <w:pPr>
        <w:pStyle w:val="Heading1"/>
        <w:spacing w:after="200" w:before="360"/>
      </w:pPr>
      <w:r>
        <w:rPr>
          <w:rFonts w:ascii="Calibri" w:cs="Calibri" w:eastAsia="Calibri" w:hAnsi="Calibri"/>
        </w:rPr>
        <w:t xml:space="preserve">3. Indicator Glossary</w:t>
      </w:r>
    </w:p>
    <w:p>
      <w:pPr>
        <w:spacing w:after="160" w:line="276"/>
        <w:jc w:val="both"/>
      </w:pPr>
      <w:r>
        <w:rPr>
          <w:rFonts w:ascii="Calibri" w:cs="Calibri" w:eastAsia="Calibri" w:hAnsi="Calibri"/>
          <w:sz w:val="22"/>
          <w:szCs w:val="22"/>
        </w:rPr>
        <w:t xml:space="preserve">All indicators are computed on daily bars. “Memory” is the effective lookback of the indicator's parameters — how much history it summarizes — not the chart timeframe. Distance-type features are normalized by ATR(14) so volatile and quiet stocks are comparable. “Vote” is the binary reading used by the original scanner; the studies primarily used continuous strength values.</w:t>
      </w:r>
    </w:p>
    <w:p>
      <w:pPr>
        <w:pStyle w:val="Heading2"/>
        <w:spacing w:after="160" w:before="280"/>
      </w:pPr>
      <w:r>
        <w:rPr>
          <w:rFonts w:ascii="Calibri" w:cs="Calibri" w:eastAsia="Calibri" w:hAnsi="Calibri"/>
        </w:rPr>
        <w:t xml:space="preserve">3.1 The 16 STS indicators</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1872"/>
        <w:gridCol w:w="1217"/>
        <w:gridCol w:w="749"/>
        <w:gridCol w:w="5522"/>
      </w:tblGrid>
      <w:tr>
        <w:trPr>
          <w:tblHeader/>
        </w:trPr>
        <w:tc>
          <w:tcPr>
            <w:tcW w:type="dxa" w:w="1872"/>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Indicator (params)</w:t>
            </w:r>
          </w:p>
        </w:tc>
        <w:tc>
          <w:tcPr>
            <w:tcW w:type="dxa" w:w="1217"/>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c>
          <w:tcPr>
            <w:tcW w:type="dxa" w:w="749"/>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Memory</w:t>
            </w:r>
          </w:p>
        </w:tc>
        <w:tc>
          <w:tcPr>
            <w:tcW w:type="dxa" w:w="5522"/>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What it measures / how it acts</w:t>
            </w:r>
          </w:p>
        </w:tc>
      </w:tr>
      <w:tr>
        <w:tc>
          <w:tcPr>
            <w:tcW w:type="dxa" w:w="1872"/>
            <w:tcMar>
              <w:top w:type="dxa" w:w="50"/>
              <w:left w:type="dxa" w:w="100"/>
              <w:bottom w:type="dxa" w:w="50"/>
              <w:right w:type="dxa" w:w="100"/>
            </w:tcMar>
          </w:tcPr>
          <w:p>
            <w:r>
              <w:rPr>
                <w:rFonts w:ascii="Calibri" w:cs="Calibri" w:eastAsia="Calibri" w:hAnsi="Calibri"/>
                <w:sz w:val="18"/>
                <w:szCs w:val="18"/>
              </w:rPr>
              <w:t xml:space="preserve">Fisher Transform (10)</w:t>
            </w:r>
          </w:p>
        </w:tc>
        <w:tc>
          <w:tcPr>
            <w:tcW w:type="dxa" w:w="1217"/>
            <w:tcMar>
              <w:top w:type="dxa" w:w="50"/>
              <w:left w:type="dxa" w:w="100"/>
              <w:bottom w:type="dxa" w:w="50"/>
              <w:right w:type="dxa" w:w="100"/>
            </w:tcMar>
          </w:tcPr>
          <w:p>
            <w:r>
              <w:rPr>
                <w:rFonts w:ascii="Calibri" w:cs="Calibri" w:eastAsia="Calibri" w:hAnsi="Calibri"/>
                <w:sz w:val="18"/>
                <w:szCs w:val="18"/>
              </w:rPr>
              <w:t xml:space="preserve">Reversal timing</w:t>
            </w:r>
          </w:p>
        </w:tc>
        <w:tc>
          <w:tcPr>
            <w:tcW w:type="dxa" w:w="749"/>
            <w:tcMar>
              <w:top w:type="dxa" w:w="50"/>
              <w:left w:type="dxa" w:w="100"/>
              <w:bottom w:type="dxa" w:w="50"/>
              <w:right w:type="dxa" w:w="100"/>
            </w:tcMar>
          </w:tcPr>
          <w:p>
            <w:r>
              <w:rPr>
                <w:rFonts w:ascii="Calibri" w:cs="Calibri" w:eastAsia="Calibri" w:hAnsi="Calibri"/>
                <w:sz w:val="18"/>
                <w:szCs w:val="18"/>
              </w:rPr>
              <w:t xml:space="preserve">2 wks</w:t>
            </w:r>
          </w:p>
        </w:tc>
        <w:tc>
          <w:tcPr>
            <w:tcW w:type="dxa" w:w="5522"/>
            <w:tcMar>
              <w:top w:type="dxa" w:w="50"/>
              <w:left w:type="dxa" w:w="100"/>
              <w:bottom w:type="dxa" w:w="50"/>
              <w:right w:type="dxa" w:w="100"/>
            </w:tcMar>
          </w:tcPr>
          <w:p>
            <w:r>
              <w:rPr>
                <w:rFonts w:ascii="Calibri" w:cs="Calibri" w:eastAsia="Calibri" w:hAnsi="Calibri"/>
                <w:sz w:val="18"/>
                <w:szCs w:val="18"/>
              </w:rPr>
              <w:t xml:space="preserve">Gaussianizes the price midpoint's position in its recent range; turns sharply at extremes. Rising = bullish. Leading but fast-expiring; the system's former ×3 anchor.</w:t>
            </w:r>
          </w:p>
        </w:tc>
      </w:tr>
      <w:tr>
        <w:tc>
          <w:tcPr>
            <w:tcW w:type="dxa" w:w="1872"/>
            <w:shd w:fill="F2F2F2" w:val="clear"/>
            <w:tcMar>
              <w:top w:type="dxa" w:w="50"/>
              <w:left w:type="dxa" w:w="100"/>
              <w:bottom w:type="dxa" w:w="50"/>
              <w:right w:type="dxa" w:w="100"/>
            </w:tcMar>
          </w:tcPr>
          <w:p>
            <w:r>
              <w:rPr>
                <w:rFonts w:ascii="Calibri" w:cs="Calibri" w:eastAsia="Calibri" w:hAnsi="Calibri"/>
                <w:sz w:val="18"/>
                <w:szCs w:val="18"/>
              </w:rPr>
              <w:t xml:space="preserve">VWAP → 20-day rolling</w:t>
            </w:r>
          </w:p>
        </w:tc>
        <w:tc>
          <w:tcPr>
            <w:tcW w:type="dxa" w:w="1217"/>
            <w:shd w:fill="F2F2F2" w:val="clear"/>
            <w:tcMar>
              <w:top w:type="dxa" w:w="50"/>
              <w:left w:type="dxa" w:w="100"/>
              <w:bottom w:type="dxa" w:w="50"/>
              <w:right w:type="dxa" w:w="100"/>
            </w:tcMar>
          </w:tcPr>
          <w:p>
            <w:r>
              <w:rPr>
                <w:rFonts w:ascii="Calibri" w:cs="Calibri" w:eastAsia="Calibri" w:hAnsi="Calibri"/>
                <w:sz w:val="18"/>
                <w:szCs w:val="18"/>
              </w:rPr>
              <w:t xml:space="preserve">Institutional anchor</w:t>
            </w:r>
          </w:p>
        </w:tc>
        <w:tc>
          <w:tcPr>
            <w:tcW w:type="dxa" w:w="749"/>
            <w:shd w:fill="F2F2F2" w:val="clear"/>
            <w:tcMar>
              <w:top w:type="dxa" w:w="50"/>
              <w:left w:type="dxa" w:w="100"/>
              <w:bottom w:type="dxa" w:w="50"/>
              <w:right w:type="dxa" w:w="100"/>
            </w:tcMar>
          </w:tcPr>
          <w:p>
            <w:r>
              <w:rPr>
                <w:rFonts w:ascii="Calibri" w:cs="Calibri" w:eastAsia="Calibri" w:hAnsi="Calibri"/>
                <w:sz w:val="18"/>
                <w:szCs w:val="18"/>
              </w:rPr>
              <w:t xml:space="preserve">1 mo</w:t>
            </w:r>
          </w:p>
        </w:tc>
        <w:tc>
          <w:tcPr>
            <w:tcW w:type="dxa" w:w="5522"/>
            <w:shd w:fill="F2F2F2" w:val="clear"/>
            <w:tcMar>
              <w:top w:type="dxa" w:w="50"/>
              <w:left w:type="dxa" w:w="100"/>
              <w:bottom w:type="dxa" w:w="50"/>
              <w:right w:type="dxa" w:w="100"/>
            </w:tcMar>
          </w:tcPr>
          <w:p>
            <w:r>
              <w:rPr>
                <w:rFonts w:ascii="Calibri" w:cs="Calibri" w:eastAsia="Calibri" w:hAnsi="Calibri"/>
                <w:sz w:val="18"/>
                <w:szCs w:val="18"/>
              </w:rPr>
              <w:t xml:space="preserve">Volume-weighted average price of the last month; price above = buyers in control. (The original intraday VWAP degenerates on daily bars and was replaced.)</w:t>
            </w:r>
          </w:p>
        </w:tc>
      </w:tr>
      <w:tr>
        <w:tc>
          <w:tcPr>
            <w:tcW w:type="dxa" w:w="1872"/>
            <w:tcMar>
              <w:top w:type="dxa" w:w="50"/>
              <w:left w:type="dxa" w:w="100"/>
              <w:bottom w:type="dxa" w:w="50"/>
              <w:right w:type="dxa" w:w="100"/>
            </w:tcMar>
          </w:tcPr>
          <w:p>
            <w:r>
              <w:rPr>
                <w:rFonts w:ascii="Calibri" w:cs="Calibri" w:eastAsia="Calibri" w:hAnsi="Calibri"/>
                <w:sz w:val="18"/>
                <w:szCs w:val="18"/>
              </w:rPr>
              <w:t xml:space="preserve">Ichimoku (9/26/52)</w:t>
            </w:r>
          </w:p>
        </w:tc>
        <w:tc>
          <w:tcPr>
            <w:tcW w:type="dxa" w:w="1217"/>
            <w:tcMar>
              <w:top w:type="dxa" w:w="50"/>
              <w:left w:type="dxa" w:w="100"/>
              <w:bottom w:type="dxa" w:w="50"/>
              <w:right w:type="dxa" w:w="100"/>
            </w:tcMar>
          </w:tcPr>
          <w:p>
            <w:r>
              <w:rPr>
                <w:rFonts w:ascii="Calibri" w:cs="Calibri" w:eastAsia="Calibri" w:hAnsi="Calibri"/>
                <w:sz w:val="18"/>
                <w:szCs w:val="18"/>
              </w:rPr>
              <w:t xml:space="preserve">Trend structure</w:t>
            </w:r>
          </w:p>
        </w:tc>
        <w:tc>
          <w:tcPr>
            <w:tcW w:type="dxa" w:w="749"/>
            <w:tcMar>
              <w:top w:type="dxa" w:w="50"/>
              <w:left w:type="dxa" w:w="100"/>
              <w:bottom w:type="dxa" w:w="50"/>
              <w:right w:type="dxa" w:w="100"/>
            </w:tcMar>
          </w:tcPr>
          <w:p>
            <w:r>
              <w:rPr>
                <w:rFonts w:ascii="Calibri" w:cs="Calibri" w:eastAsia="Calibri" w:hAnsi="Calibri"/>
                <w:sz w:val="18"/>
                <w:szCs w:val="18"/>
              </w:rPr>
              <w:t xml:space="preserve">≈4 mo</w:t>
            </w:r>
          </w:p>
        </w:tc>
        <w:tc>
          <w:tcPr>
            <w:tcW w:type="dxa" w:w="5522"/>
            <w:tcMar>
              <w:top w:type="dxa" w:w="50"/>
              <w:left w:type="dxa" w:w="100"/>
              <w:bottom w:type="dxa" w:w="50"/>
              <w:right w:type="dxa" w:w="100"/>
            </w:tcMar>
          </w:tcPr>
          <w:p>
            <w:r>
              <w:rPr>
                <w:rFonts w:ascii="Calibri" w:cs="Calibri" w:eastAsia="Calibri" w:hAnsi="Calibri"/>
                <w:sz w:val="18"/>
                <w:szCs w:val="18"/>
              </w:rPr>
              <w:t xml:space="preserve">Cloud built from midpoints of 9/26/52-day ranges, projected forward; price above cloud = established uptrend. Slow, structural.</w:t>
            </w:r>
          </w:p>
        </w:tc>
      </w:tr>
      <w:tr>
        <w:tc>
          <w:tcPr>
            <w:tcW w:type="dxa" w:w="1872"/>
            <w:shd w:fill="F2F2F2" w:val="clear"/>
            <w:tcMar>
              <w:top w:type="dxa" w:w="50"/>
              <w:left w:type="dxa" w:w="100"/>
              <w:bottom w:type="dxa" w:w="50"/>
              <w:right w:type="dxa" w:w="100"/>
            </w:tcMar>
          </w:tcPr>
          <w:p>
            <w:r>
              <w:rPr>
                <w:rFonts w:ascii="Calibri" w:cs="Calibri" w:eastAsia="Calibri" w:hAnsi="Calibri"/>
                <w:sz w:val="18"/>
                <w:szCs w:val="18"/>
              </w:rPr>
              <w:t xml:space="preserve">Volatility Stop (10, ×3)</w:t>
            </w:r>
          </w:p>
        </w:tc>
        <w:tc>
          <w:tcPr>
            <w:tcW w:type="dxa" w:w="1217"/>
            <w:shd w:fill="F2F2F2" w:val="clear"/>
            <w:tcMar>
              <w:top w:type="dxa" w:w="50"/>
              <w:left w:type="dxa" w:w="100"/>
              <w:bottom w:type="dxa" w:w="50"/>
              <w:right w:type="dxa" w:w="100"/>
            </w:tcMar>
          </w:tcPr>
          <w:p>
            <w:r>
              <w:rPr>
                <w:rFonts w:ascii="Calibri" w:cs="Calibri" w:eastAsia="Calibri" w:hAnsi="Calibri"/>
                <w:sz w:val="18"/>
                <w:szCs w:val="18"/>
              </w:rPr>
              <w:t xml:space="preserve">Trend state</w:t>
            </w:r>
          </w:p>
        </w:tc>
        <w:tc>
          <w:tcPr>
            <w:tcW w:type="dxa" w:w="749"/>
            <w:shd w:fill="F2F2F2" w:val="clear"/>
            <w:tcMar>
              <w:top w:type="dxa" w:w="50"/>
              <w:left w:type="dxa" w:w="100"/>
              <w:bottom w:type="dxa" w:w="50"/>
              <w:right w:type="dxa" w:w="100"/>
            </w:tcMar>
          </w:tcPr>
          <w:p>
            <w:r>
              <w:rPr>
                <w:rFonts w:ascii="Calibri" w:cs="Calibri" w:eastAsia="Calibri" w:hAnsi="Calibri"/>
                <w:sz w:val="18"/>
                <w:szCs w:val="18"/>
              </w:rPr>
              <w:t xml:space="preserve">2 wks</w:t>
            </w:r>
          </w:p>
        </w:tc>
        <w:tc>
          <w:tcPr>
            <w:tcW w:type="dxa" w:w="5522"/>
            <w:shd w:fill="F2F2F2" w:val="clear"/>
            <w:tcMar>
              <w:top w:type="dxa" w:w="50"/>
              <w:left w:type="dxa" w:w="100"/>
              <w:bottom w:type="dxa" w:w="50"/>
              <w:right w:type="dxa" w:w="100"/>
            </w:tcMar>
          </w:tcPr>
          <w:p>
            <w:r>
              <w:rPr>
                <w:rFonts w:ascii="Calibri" w:cs="Calibri" w:eastAsia="Calibri" w:hAnsi="Calibri"/>
                <w:sz w:val="18"/>
                <w:szCs w:val="18"/>
              </w:rPr>
              <w:t xml:space="preserve">Trailing stop line from smoothed daily range; flips +1/−1 when crossed. Pure state variable.</w:t>
            </w:r>
          </w:p>
        </w:tc>
      </w:tr>
      <w:tr>
        <w:tc>
          <w:tcPr>
            <w:tcW w:type="dxa" w:w="1872"/>
            <w:tcMar>
              <w:top w:type="dxa" w:w="50"/>
              <w:left w:type="dxa" w:w="100"/>
              <w:bottom w:type="dxa" w:w="50"/>
              <w:right w:type="dxa" w:w="100"/>
            </w:tcMar>
          </w:tcPr>
          <w:p>
            <w:r>
              <w:rPr>
                <w:rFonts w:ascii="Calibri" w:cs="Calibri" w:eastAsia="Calibri" w:hAnsi="Calibri"/>
                <w:sz w:val="18"/>
                <w:szCs w:val="18"/>
              </w:rPr>
              <w:t xml:space="preserve">MACD (12/26)</w:t>
            </w:r>
          </w:p>
        </w:tc>
        <w:tc>
          <w:tcPr>
            <w:tcW w:type="dxa" w:w="1217"/>
            <w:tcMar>
              <w:top w:type="dxa" w:w="50"/>
              <w:left w:type="dxa" w:w="100"/>
              <w:bottom w:type="dxa" w:w="50"/>
              <w:right w:type="dxa" w:w="100"/>
            </w:tcMar>
          </w:tcPr>
          <w:p>
            <w:r>
              <w:rPr>
                <w:rFonts w:ascii="Calibri" w:cs="Calibri" w:eastAsia="Calibri" w:hAnsi="Calibri"/>
                <w:sz w:val="18"/>
                <w:szCs w:val="18"/>
              </w:rPr>
              <w:t xml:space="preserve">Trend/momentum</w:t>
            </w:r>
          </w:p>
        </w:tc>
        <w:tc>
          <w:tcPr>
            <w:tcW w:type="dxa" w:w="749"/>
            <w:tcMar>
              <w:top w:type="dxa" w:w="50"/>
              <w:left w:type="dxa" w:w="100"/>
              <w:bottom w:type="dxa" w:w="50"/>
              <w:right w:type="dxa" w:w="100"/>
            </w:tcMar>
          </w:tcPr>
          <w:p>
            <w:r>
              <w:rPr>
                <w:rFonts w:ascii="Calibri" w:cs="Calibri" w:eastAsia="Calibri" w:hAnsi="Calibri"/>
                <w:sz w:val="18"/>
                <w:szCs w:val="18"/>
              </w:rPr>
              <w:t xml:space="preserve">5 wks</w:t>
            </w:r>
          </w:p>
        </w:tc>
        <w:tc>
          <w:tcPr>
            <w:tcW w:type="dxa" w:w="5522"/>
            <w:tcMar>
              <w:top w:type="dxa" w:w="50"/>
              <w:left w:type="dxa" w:w="100"/>
              <w:bottom w:type="dxa" w:w="50"/>
              <w:right w:type="dxa" w:w="100"/>
            </w:tcMar>
          </w:tcPr>
          <w:p>
            <w:r>
              <w:rPr>
                <w:rFonts w:ascii="Calibri" w:cs="Calibri" w:eastAsia="Calibri" w:hAnsi="Calibri"/>
                <w:sz w:val="18"/>
                <w:szCs w:val="18"/>
              </w:rPr>
              <w:t xml:space="preserve">Fast EMA minus slow EMA; above zero = medium trend up. Near-duplicate of EMA 9/21 (dropped from later models for collinearity).</w:t>
            </w:r>
          </w:p>
        </w:tc>
      </w:tr>
      <w:tr>
        <w:tc>
          <w:tcPr>
            <w:tcW w:type="dxa" w:w="1872"/>
            <w:shd w:fill="F2F2F2" w:val="clear"/>
            <w:tcMar>
              <w:top w:type="dxa" w:w="50"/>
              <w:left w:type="dxa" w:w="100"/>
              <w:bottom w:type="dxa" w:w="50"/>
              <w:right w:type="dxa" w:w="100"/>
            </w:tcMar>
          </w:tcPr>
          <w:p>
            <w:r>
              <w:rPr>
                <w:rFonts w:ascii="Calibri" w:cs="Calibri" w:eastAsia="Calibri" w:hAnsi="Calibri"/>
                <w:sz w:val="18"/>
                <w:szCs w:val="18"/>
              </w:rPr>
              <w:t xml:space="preserve">EMA 9/21 cross</w:t>
            </w:r>
          </w:p>
        </w:tc>
        <w:tc>
          <w:tcPr>
            <w:tcW w:type="dxa" w:w="1217"/>
            <w:shd w:fill="F2F2F2" w:val="clear"/>
            <w:tcMar>
              <w:top w:type="dxa" w:w="50"/>
              <w:left w:type="dxa" w:w="100"/>
              <w:bottom w:type="dxa" w:w="50"/>
              <w:right w:type="dxa" w:w="100"/>
            </w:tcMar>
          </w:tcPr>
          <w:p>
            <w:r>
              <w:rPr>
                <w:rFonts w:ascii="Calibri" w:cs="Calibri" w:eastAsia="Calibri" w:hAnsi="Calibri"/>
                <w:sz w:val="18"/>
                <w:szCs w:val="18"/>
              </w:rPr>
              <w:t xml:space="preserve">Trend</w:t>
            </w:r>
          </w:p>
        </w:tc>
        <w:tc>
          <w:tcPr>
            <w:tcW w:type="dxa" w:w="749"/>
            <w:shd w:fill="F2F2F2" w:val="clear"/>
            <w:tcMar>
              <w:top w:type="dxa" w:w="50"/>
              <w:left w:type="dxa" w:w="100"/>
              <w:bottom w:type="dxa" w:w="50"/>
              <w:right w:type="dxa" w:w="100"/>
            </w:tcMar>
          </w:tcPr>
          <w:p>
            <w:r>
              <w:rPr>
                <w:rFonts w:ascii="Calibri" w:cs="Calibri" w:eastAsia="Calibri" w:hAnsi="Calibri"/>
                <w:sz w:val="18"/>
                <w:szCs w:val="18"/>
              </w:rPr>
              <w:t xml:space="preserve">1 mo</w:t>
            </w:r>
          </w:p>
        </w:tc>
        <w:tc>
          <w:tcPr>
            <w:tcW w:type="dxa" w:w="5522"/>
            <w:shd w:fill="F2F2F2" w:val="clear"/>
            <w:tcMar>
              <w:top w:type="dxa" w:w="50"/>
              <w:left w:type="dxa" w:w="100"/>
              <w:bottom w:type="dxa" w:w="50"/>
              <w:right w:type="dxa" w:w="100"/>
            </w:tcMar>
          </w:tcPr>
          <w:p>
            <w:r>
              <w:rPr>
                <w:rFonts w:ascii="Calibri" w:cs="Calibri" w:eastAsia="Calibri" w:hAnsi="Calibri"/>
                <w:sz w:val="18"/>
                <w:szCs w:val="18"/>
              </w:rPr>
              <w:t xml:space="preserve">Classic fast/slow EMA spread; positive = short-term uptrend.</w:t>
            </w:r>
          </w:p>
        </w:tc>
      </w:tr>
      <w:tr>
        <w:tc>
          <w:tcPr>
            <w:tcW w:type="dxa" w:w="1872"/>
            <w:tcMar>
              <w:top w:type="dxa" w:w="50"/>
              <w:left w:type="dxa" w:w="100"/>
              <w:bottom w:type="dxa" w:w="50"/>
              <w:right w:type="dxa" w:w="100"/>
            </w:tcMar>
          </w:tcPr>
          <w:p>
            <w:r>
              <w:rPr>
                <w:rFonts w:ascii="Calibri" w:cs="Calibri" w:eastAsia="Calibri" w:hAnsi="Calibri"/>
                <w:sz w:val="18"/>
                <w:szCs w:val="18"/>
              </w:rPr>
              <w:t xml:space="preserve">EA34 (EMA-34 of H/L)</w:t>
            </w:r>
          </w:p>
        </w:tc>
        <w:tc>
          <w:tcPr>
            <w:tcW w:type="dxa" w:w="1217"/>
            <w:tcMar>
              <w:top w:type="dxa" w:w="50"/>
              <w:left w:type="dxa" w:w="100"/>
              <w:bottom w:type="dxa" w:w="50"/>
              <w:right w:type="dxa" w:w="100"/>
            </w:tcMar>
          </w:tcPr>
          <w:p>
            <w:r>
              <w:rPr>
                <w:rFonts w:ascii="Calibri" w:cs="Calibri" w:eastAsia="Calibri" w:hAnsi="Calibri"/>
                <w:sz w:val="18"/>
                <w:szCs w:val="18"/>
              </w:rPr>
              <w:t xml:space="preserve">Trend channel</w:t>
            </w:r>
          </w:p>
        </w:tc>
        <w:tc>
          <w:tcPr>
            <w:tcW w:type="dxa" w:w="749"/>
            <w:tcMar>
              <w:top w:type="dxa" w:w="50"/>
              <w:left w:type="dxa" w:w="100"/>
              <w:bottom w:type="dxa" w:w="50"/>
              <w:right w:type="dxa" w:w="100"/>
            </w:tcMar>
          </w:tcPr>
          <w:p>
            <w:r>
              <w:rPr>
                <w:rFonts w:ascii="Calibri" w:cs="Calibri" w:eastAsia="Calibri" w:hAnsi="Calibri"/>
                <w:sz w:val="18"/>
                <w:szCs w:val="18"/>
              </w:rPr>
              <w:t xml:space="preserve">7 wks</w:t>
            </w:r>
          </w:p>
        </w:tc>
        <w:tc>
          <w:tcPr>
            <w:tcW w:type="dxa" w:w="5522"/>
            <w:tcMar>
              <w:top w:type="dxa" w:w="50"/>
              <w:left w:type="dxa" w:w="100"/>
              <w:bottom w:type="dxa" w:w="50"/>
              <w:right w:type="dxa" w:w="100"/>
            </w:tcMar>
          </w:tcPr>
          <w:p>
            <w:r>
              <w:rPr>
                <w:rFonts w:ascii="Calibri" w:cs="Calibri" w:eastAsia="Calibri" w:hAnsi="Calibri"/>
                <w:sz w:val="18"/>
                <w:szCs w:val="18"/>
              </w:rPr>
              <w:t xml:space="preserve">Price versus an EMA-34 channel of highs/lows; above the channel = trending.</w:t>
            </w:r>
          </w:p>
        </w:tc>
      </w:tr>
      <w:tr>
        <w:tc>
          <w:tcPr>
            <w:tcW w:type="dxa" w:w="1872"/>
            <w:shd w:fill="F2F2F2" w:val="clear"/>
            <w:tcMar>
              <w:top w:type="dxa" w:w="50"/>
              <w:left w:type="dxa" w:w="100"/>
              <w:bottom w:type="dxa" w:w="50"/>
              <w:right w:type="dxa" w:w="100"/>
            </w:tcMar>
          </w:tcPr>
          <w:p>
            <w:r>
              <w:rPr>
                <w:rFonts w:ascii="Calibri" w:cs="Calibri" w:eastAsia="Calibri" w:hAnsi="Calibri"/>
                <w:sz w:val="18"/>
                <w:szCs w:val="18"/>
              </w:rPr>
              <w:t xml:space="preserve">TMO (14/5/3)</w:t>
            </w:r>
          </w:p>
        </w:tc>
        <w:tc>
          <w:tcPr>
            <w:tcW w:type="dxa" w:w="1217"/>
            <w:shd w:fill="F2F2F2" w:val="clear"/>
            <w:tcMar>
              <w:top w:type="dxa" w:w="50"/>
              <w:left w:type="dxa" w:w="100"/>
              <w:bottom w:type="dxa" w:w="50"/>
              <w:right w:type="dxa" w:w="100"/>
            </w:tcMar>
          </w:tcPr>
          <w:p>
            <w:r>
              <w:rPr>
                <w:rFonts w:ascii="Calibri" w:cs="Calibri" w:eastAsia="Calibri" w:hAnsi="Calibri"/>
                <w:sz w:val="18"/>
                <w:szCs w:val="18"/>
              </w:rPr>
              <w:t xml:space="preserve">Momentum</w:t>
            </w:r>
          </w:p>
        </w:tc>
        <w:tc>
          <w:tcPr>
            <w:tcW w:type="dxa" w:w="749"/>
            <w:shd w:fill="F2F2F2" w:val="clear"/>
            <w:tcMar>
              <w:top w:type="dxa" w:w="50"/>
              <w:left w:type="dxa" w:w="100"/>
              <w:bottom w:type="dxa" w:w="50"/>
              <w:right w:type="dxa" w:w="100"/>
            </w:tcMar>
          </w:tcPr>
          <w:p>
            <w:r>
              <w:rPr>
                <w:rFonts w:ascii="Calibri" w:cs="Calibri" w:eastAsia="Calibri" w:hAnsi="Calibri"/>
                <w:sz w:val="18"/>
                <w:szCs w:val="18"/>
              </w:rPr>
              <w:t xml:space="preserve">3 wks</w:t>
            </w:r>
          </w:p>
        </w:tc>
        <w:tc>
          <w:tcPr>
            <w:tcW w:type="dxa" w:w="5522"/>
            <w:shd w:fill="F2F2F2" w:val="clear"/>
            <w:tcMar>
              <w:top w:type="dxa" w:w="50"/>
              <w:left w:type="dxa" w:w="100"/>
              <w:bottom w:type="dxa" w:w="50"/>
              <w:right w:type="dxa" w:w="100"/>
            </w:tcMar>
          </w:tcPr>
          <w:p>
            <w:r>
              <w:rPr>
                <w:rFonts w:ascii="Calibri" w:cs="Calibri" w:eastAsia="Calibri" w:hAnsi="Calibri"/>
                <w:sz w:val="18"/>
                <w:szCs w:val="18"/>
              </w:rPr>
              <w:t xml:space="preserve">Counts closes above/below recent opens, double-smoothed; main above signal = momentum up.</w:t>
            </w:r>
          </w:p>
        </w:tc>
      </w:tr>
      <w:tr>
        <w:tc>
          <w:tcPr>
            <w:tcW w:type="dxa" w:w="1872"/>
            <w:tcMar>
              <w:top w:type="dxa" w:w="50"/>
              <w:left w:type="dxa" w:w="100"/>
              <w:bottom w:type="dxa" w:w="50"/>
              <w:right w:type="dxa" w:w="100"/>
            </w:tcMar>
          </w:tcPr>
          <w:p>
            <w:r>
              <w:rPr>
                <w:rFonts w:ascii="Calibri" w:cs="Calibri" w:eastAsia="Calibri" w:hAnsi="Calibri"/>
                <w:sz w:val="18"/>
                <w:szCs w:val="18"/>
              </w:rPr>
              <w:t xml:space="preserve">QQE (RSI-20 based)</w:t>
            </w:r>
          </w:p>
        </w:tc>
        <w:tc>
          <w:tcPr>
            <w:tcW w:type="dxa" w:w="1217"/>
            <w:tcMar>
              <w:top w:type="dxa" w:w="50"/>
              <w:left w:type="dxa" w:w="100"/>
              <w:bottom w:type="dxa" w:w="50"/>
              <w:right w:type="dxa" w:w="100"/>
            </w:tcMar>
          </w:tcPr>
          <w:p>
            <w:r>
              <w:rPr>
                <w:rFonts w:ascii="Calibri" w:cs="Calibri" w:eastAsia="Calibri" w:hAnsi="Calibri"/>
                <w:sz w:val="18"/>
                <w:szCs w:val="18"/>
              </w:rPr>
              <w:t xml:space="preserve">Momentum</w:t>
            </w:r>
          </w:p>
        </w:tc>
        <w:tc>
          <w:tcPr>
            <w:tcW w:type="dxa" w:w="749"/>
            <w:tcMar>
              <w:top w:type="dxa" w:w="50"/>
              <w:left w:type="dxa" w:w="100"/>
              <w:bottom w:type="dxa" w:w="50"/>
              <w:right w:type="dxa" w:w="100"/>
            </w:tcMar>
          </w:tcPr>
          <w:p>
            <w:r>
              <w:rPr>
                <w:rFonts w:ascii="Calibri" w:cs="Calibri" w:eastAsia="Calibri" w:hAnsi="Calibri"/>
                <w:sz w:val="18"/>
                <w:szCs w:val="18"/>
              </w:rPr>
              <w:t xml:space="preserve">2 mo</w:t>
            </w:r>
          </w:p>
        </w:tc>
        <w:tc>
          <w:tcPr>
            <w:tcW w:type="dxa" w:w="5522"/>
            <w:tcMar>
              <w:top w:type="dxa" w:w="50"/>
              <w:left w:type="dxa" w:w="100"/>
              <w:bottom w:type="dxa" w:w="50"/>
              <w:right w:type="dxa" w:w="100"/>
            </w:tcMar>
          </w:tcPr>
          <w:p>
            <w:r>
              <w:rPr>
                <w:rFonts w:ascii="Calibri" w:cs="Calibri" w:eastAsia="Calibri" w:hAnsi="Calibri"/>
                <w:sz w:val="18"/>
                <w:szCs w:val="18"/>
              </w:rPr>
              <w:t xml:space="preserve">Heavily smoothed RSI with adaptive bands; distance from 50 measures how stretched or washed-out momentum is. In the learned models its NEGATIVE weight is contrarian: washed-out is attractive.</w:t>
            </w:r>
          </w:p>
        </w:tc>
      </w:tr>
      <w:tr>
        <w:tc>
          <w:tcPr>
            <w:tcW w:type="dxa" w:w="1872"/>
            <w:shd w:fill="F2F2F2" w:val="clear"/>
            <w:tcMar>
              <w:top w:type="dxa" w:w="50"/>
              <w:left w:type="dxa" w:w="100"/>
              <w:bottom w:type="dxa" w:w="50"/>
              <w:right w:type="dxa" w:w="100"/>
            </w:tcMar>
          </w:tcPr>
          <w:p>
            <w:r>
              <w:rPr>
                <w:rFonts w:ascii="Calibri" w:cs="Calibri" w:eastAsia="Calibri" w:hAnsi="Calibri"/>
                <w:sz w:val="18"/>
                <w:szCs w:val="18"/>
              </w:rPr>
              <w:t xml:space="preserve">Laguerre RSI (8) + ADX (9)</w:t>
            </w:r>
          </w:p>
        </w:tc>
        <w:tc>
          <w:tcPr>
            <w:tcW w:type="dxa" w:w="1217"/>
            <w:shd w:fill="F2F2F2" w:val="clear"/>
            <w:tcMar>
              <w:top w:type="dxa" w:w="50"/>
              <w:left w:type="dxa" w:w="100"/>
              <w:bottom w:type="dxa" w:w="50"/>
              <w:right w:type="dxa" w:w="100"/>
            </w:tcMar>
          </w:tcPr>
          <w:p>
            <w:r>
              <w:rPr>
                <w:rFonts w:ascii="Calibri" w:cs="Calibri" w:eastAsia="Calibri" w:hAnsi="Calibri"/>
                <w:sz w:val="18"/>
                <w:szCs w:val="18"/>
              </w:rPr>
              <w:t xml:space="preserve">Momentum + strength</w:t>
            </w:r>
          </w:p>
        </w:tc>
        <w:tc>
          <w:tcPr>
            <w:tcW w:type="dxa" w:w="749"/>
            <w:shd w:fill="F2F2F2" w:val="clear"/>
            <w:tcMar>
              <w:top w:type="dxa" w:w="50"/>
              <w:left w:type="dxa" w:w="100"/>
              <w:bottom w:type="dxa" w:w="50"/>
              <w:right w:type="dxa" w:w="100"/>
            </w:tcMar>
          </w:tcPr>
          <w:p>
            <w:r>
              <w:rPr>
                <w:rFonts w:ascii="Calibri" w:cs="Calibri" w:eastAsia="Calibri" w:hAnsi="Calibri"/>
                <w:sz w:val="18"/>
                <w:szCs w:val="18"/>
              </w:rPr>
              <w:t xml:space="preserve">2 wks</w:t>
            </w:r>
          </w:p>
        </w:tc>
        <w:tc>
          <w:tcPr>
            <w:tcW w:type="dxa" w:w="5522"/>
            <w:shd w:fill="F2F2F2" w:val="clear"/>
            <w:tcMar>
              <w:top w:type="dxa" w:w="50"/>
              <w:left w:type="dxa" w:w="100"/>
              <w:bottom w:type="dxa" w:w="50"/>
              <w:right w:type="dxa" w:w="100"/>
            </w:tcMar>
          </w:tcPr>
          <w:p>
            <w:r>
              <w:rPr>
                <w:rFonts w:ascii="Calibri" w:cs="Calibri" w:eastAsia="Calibri" w:hAnsi="Calibri"/>
                <w:sz w:val="18"/>
                <w:szCs w:val="18"/>
              </w:rPr>
              <w:t xml:space="preserve">Low-lag adaptive RSI (0–1) plus a trend-strength override when ADX &gt; 35.</w:t>
            </w:r>
          </w:p>
        </w:tc>
      </w:tr>
      <w:tr>
        <w:tc>
          <w:tcPr>
            <w:tcW w:type="dxa" w:w="1872"/>
            <w:tcMar>
              <w:top w:type="dxa" w:w="50"/>
              <w:left w:type="dxa" w:w="100"/>
              <w:bottom w:type="dxa" w:w="50"/>
              <w:right w:type="dxa" w:w="100"/>
            </w:tcMar>
          </w:tcPr>
          <w:p>
            <w:r>
              <w:rPr>
                <w:rFonts w:ascii="Calibri" w:cs="Calibri" w:eastAsia="Calibri" w:hAnsi="Calibri"/>
                <w:sz w:val="18"/>
                <w:szCs w:val="18"/>
              </w:rPr>
              <w:t xml:space="preserve">VIDYA (5)</w:t>
            </w:r>
          </w:p>
        </w:tc>
        <w:tc>
          <w:tcPr>
            <w:tcW w:type="dxa" w:w="1217"/>
            <w:tcMar>
              <w:top w:type="dxa" w:w="50"/>
              <w:left w:type="dxa" w:w="100"/>
              <w:bottom w:type="dxa" w:w="50"/>
              <w:right w:type="dxa" w:w="100"/>
            </w:tcMar>
          </w:tcPr>
          <w:p>
            <w:r>
              <w:rPr>
                <w:rFonts w:ascii="Calibri" w:cs="Calibri" w:eastAsia="Calibri" w:hAnsi="Calibri"/>
                <w:sz w:val="18"/>
                <w:szCs w:val="18"/>
              </w:rPr>
              <w:t xml:space="preserve">Adaptive trend</w:t>
            </w:r>
          </w:p>
        </w:tc>
        <w:tc>
          <w:tcPr>
            <w:tcW w:type="dxa" w:w="749"/>
            <w:tcMar>
              <w:top w:type="dxa" w:w="50"/>
              <w:left w:type="dxa" w:w="100"/>
              <w:bottom w:type="dxa" w:w="50"/>
              <w:right w:type="dxa" w:w="100"/>
            </w:tcMar>
          </w:tcPr>
          <w:p>
            <w:r>
              <w:rPr>
                <w:rFonts w:ascii="Calibri" w:cs="Calibri" w:eastAsia="Calibri" w:hAnsi="Calibri"/>
                <w:sz w:val="18"/>
                <w:szCs w:val="18"/>
              </w:rPr>
              <w:t xml:space="preserve">1+ wk</w:t>
            </w:r>
          </w:p>
        </w:tc>
        <w:tc>
          <w:tcPr>
            <w:tcW w:type="dxa" w:w="5522"/>
            <w:tcMar>
              <w:top w:type="dxa" w:w="50"/>
              <w:left w:type="dxa" w:w="100"/>
              <w:bottom w:type="dxa" w:w="50"/>
              <w:right w:type="dxa" w:w="100"/>
            </w:tcMar>
          </w:tcPr>
          <w:p>
            <w:r>
              <w:rPr>
                <w:rFonts w:ascii="Calibri" w:cs="Calibri" w:eastAsia="Calibri" w:hAnsi="Calibri"/>
                <w:sz w:val="18"/>
                <w:szCs w:val="18"/>
              </w:rPr>
              <w:t xml:space="preserve">Variable-index MA that speeds up in trends and stalls in chop; price above = up.</w:t>
            </w:r>
          </w:p>
        </w:tc>
      </w:tr>
      <w:tr>
        <w:tc>
          <w:tcPr>
            <w:tcW w:type="dxa" w:w="1872"/>
            <w:shd w:fill="F2F2F2" w:val="clear"/>
            <w:tcMar>
              <w:top w:type="dxa" w:w="50"/>
              <w:left w:type="dxa" w:w="100"/>
              <w:bottom w:type="dxa" w:w="50"/>
              <w:right w:type="dxa" w:w="100"/>
            </w:tcMar>
          </w:tcPr>
          <w:p>
            <w:r>
              <w:rPr>
                <w:rFonts w:ascii="Calibri" w:cs="Calibri" w:eastAsia="Calibri" w:hAnsi="Calibri"/>
                <w:sz w:val="18"/>
                <w:szCs w:val="18"/>
              </w:rPr>
              <w:t xml:space="preserve">Hull MA (20) slope</w:t>
            </w:r>
          </w:p>
        </w:tc>
        <w:tc>
          <w:tcPr>
            <w:tcW w:type="dxa" w:w="1217"/>
            <w:shd w:fill="F2F2F2" w:val="clear"/>
            <w:tcMar>
              <w:top w:type="dxa" w:w="50"/>
              <w:left w:type="dxa" w:w="100"/>
              <w:bottom w:type="dxa" w:w="50"/>
              <w:right w:type="dxa" w:w="100"/>
            </w:tcMar>
          </w:tcPr>
          <w:p>
            <w:r>
              <w:rPr>
                <w:rFonts w:ascii="Calibri" w:cs="Calibri" w:eastAsia="Calibri" w:hAnsi="Calibri"/>
                <w:sz w:val="18"/>
                <w:szCs w:val="18"/>
              </w:rPr>
              <w:t xml:space="preserve">Trend</w:t>
            </w:r>
          </w:p>
        </w:tc>
        <w:tc>
          <w:tcPr>
            <w:tcW w:type="dxa" w:w="749"/>
            <w:shd w:fill="F2F2F2" w:val="clear"/>
            <w:tcMar>
              <w:top w:type="dxa" w:w="50"/>
              <w:left w:type="dxa" w:w="100"/>
              <w:bottom w:type="dxa" w:w="50"/>
              <w:right w:type="dxa" w:w="100"/>
            </w:tcMar>
          </w:tcPr>
          <w:p>
            <w:r>
              <w:rPr>
                <w:rFonts w:ascii="Calibri" w:cs="Calibri" w:eastAsia="Calibri" w:hAnsi="Calibri"/>
                <w:sz w:val="18"/>
                <w:szCs w:val="18"/>
              </w:rPr>
              <w:t xml:space="preserve">1 mo</w:t>
            </w:r>
          </w:p>
        </w:tc>
        <w:tc>
          <w:tcPr>
            <w:tcW w:type="dxa" w:w="5522"/>
            <w:shd w:fill="F2F2F2" w:val="clear"/>
            <w:tcMar>
              <w:top w:type="dxa" w:w="50"/>
              <w:left w:type="dxa" w:w="100"/>
              <w:bottom w:type="dxa" w:w="50"/>
              <w:right w:type="dxa" w:w="100"/>
            </w:tcMar>
          </w:tcPr>
          <w:p>
            <w:r>
              <w:rPr>
                <w:rFonts w:ascii="Calibri" w:cs="Calibri" w:eastAsia="Calibri" w:hAnsi="Calibri"/>
                <w:sz w:val="18"/>
                <w:szCs w:val="18"/>
              </w:rPr>
              <w:t xml:space="preserve">Low-lag moving average; rising slope = up. One of few STS features to retain a small stable positive weight.</w:t>
            </w:r>
          </w:p>
        </w:tc>
      </w:tr>
      <w:tr>
        <w:tc>
          <w:tcPr>
            <w:tcW w:type="dxa" w:w="1872"/>
            <w:tcMar>
              <w:top w:type="dxa" w:w="50"/>
              <w:left w:type="dxa" w:w="100"/>
              <w:bottom w:type="dxa" w:w="50"/>
              <w:right w:type="dxa" w:w="100"/>
            </w:tcMar>
          </w:tcPr>
          <w:p>
            <w:r>
              <w:rPr>
                <w:rFonts w:ascii="Calibri" w:cs="Calibri" w:eastAsia="Calibri" w:hAnsi="Calibri"/>
                <w:sz w:val="18"/>
                <w:szCs w:val="18"/>
              </w:rPr>
              <w:t xml:space="preserve">SuperTrend (1.5, 3)</w:t>
            </w:r>
          </w:p>
        </w:tc>
        <w:tc>
          <w:tcPr>
            <w:tcW w:type="dxa" w:w="1217"/>
            <w:tcMar>
              <w:top w:type="dxa" w:w="50"/>
              <w:left w:type="dxa" w:w="100"/>
              <w:bottom w:type="dxa" w:w="50"/>
              <w:right w:type="dxa" w:w="100"/>
            </w:tcMar>
          </w:tcPr>
          <w:p>
            <w:r>
              <w:rPr>
                <w:rFonts w:ascii="Calibri" w:cs="Calibri" w:eastAsia="Calibri" w:hAnsi="Calibri"/>
                <w:sz w:val="18"/>
                <w:szCs w:val="18"/>
              </w:rPr>
              <w:t xml:space="preserve">Trend state</w:t>
            </w:r>
          </w:p>
        </w:tc>
        <w:tc>
          <w:tcPr>
            <w:tcW w:type="dxa" w:w="749"/>
            <w:tcMar>
              <w:top w:type="dxa" w:w="50"/>
              <w:left w:type="dxa" w:w="100"/>
              <w:bottom w:type="dxa" w:w="50"/>
              <w:right w:type="dxa" w:w="100"/>
            </w:tcMar>
          </w:tcPr>
          <w:p>
            <w:r>
              <w:rPr>
                <w:rFonts w:ascii="Calibri" w:cs="Calibri" w:eastAsia="Calibri" w:hAnsi="Calibri"/>
                <w:sz w:val="18"/>
                <w:szCs w:val="18"/>
              </w:rPr>
              <w:t xml:space="preserve">3 d</w:t>
            </w:r>
          </w:p>
        </w:tc>
        <w:tc>
          <w:tcPr>
            <w:tcW w:type="dxa" w:w="5522"/>
            <w:tcMar>
              <w:top w:type="dxa" w:w="50"/>
              <w:left w:type="dxa" w:w="100"/>
              <w:bottom w:type="dxa" w:w="50"/>
              <w:right w:type="dxa" w:w="100"/>
            </w:tcMar>
          </w:tcPr>
          <w:p>
            <w:r>
              <w:rPr>
                <w:rFonts w:ascii="Calibri" w:cs="Calibri" w:eastAsia="Calibri" w:hAnsi="Calibri"/>
                <w:sz w:val="18"/>
                <w:szCs w:val="18"/>
              </w:rPr>
              <w:t xml:space="preserve">Fast ATR trailing band; +1/−1 state. Fastest indicator in the set.</w:t>
            </w:r>
          </w:p>
        </w:tc>
      </w:tr>
      <w:tr>
        <w:tc>
          <w:tcPr>
            <w:tcW w:type="dxa" w:w="1872"/>
            <w:shd w:fill="F2F2F2" w:val="clear"/>
            <w:tcMar>
              <w:top w:type="dxa" w:w="50"/>
              <w:left w:type="dxa" w:w="100"/>
              <w:bottom w:type="dxa" w:w="50"/>
              <w:right w:type="dxa" w:w="100"/>
            </w:tcMar>
          </w:tcPr>
          <w:p>
            <w:r>
              <w:rPr>
                <w:rFonts w:ascii="Calibri" w:cs="Calibri" w:eastAsia="Calibri" w:hAnsi="Calibri"/>
                <w:sz w:val="18"/>
                <w:szCs w:val="18"/>
              </w:rPr>
              <w:t xml:space="preserve">SuperTrend (3.0, 5)</w:t>
            </w:r>
          </w:p>
        </w:tc>
        <w:tc>
          <w:tcPr>
            <w:tcW w:type="dxa" w:w="1217"/>
            <w:shd w:fill="F2F2F2" w:val="clear"/>
            <w:tcMar>
              <w:top w:type="dxa" w:w="50"/>
              <w:left w:type="dxa" w:w="100"/>
              <w:bottom w:type="dxa" w:w="50"/>
              <w:right w:type="dxa" w:w="100"/>
            </w:tcMar>
          </w:tcPr>
          <w:p>
            <w:r>
              <w:rPr>
                <w:rFonts w:ascii="Calibri" w:cs="Calibri" w:eastAsia="Calibri" w:hAnsi="Calibri"/>
                <w:sz w:val="18"/>
                <w:szCs w:val="18"/>
              </w:rPr>
              <w:t xml:space="preserve">Trend state</w:t>
            </w:r>
          </w:p>
        </w:tc>
        <w:tc>
          <w:tcPr>
            <w:tcW w:type="dxa" w:w="749"/>
            <w:shd w:fill="F2F2F2" w:val="clear"/>
            <w:tcMar>
              <w:top w:type="dxa" w:w="50"/>
              <w:left w:type="dxa" w:w="100"/>
              <w:bottom w:type="dxa" w:w="50"/>
              <w:right w:type="dxa" w:w="100"/>
            </w:tcMar>
          </w:tcPr>
          <w:p>
            <w:r>
              <w:rPr>
                <w:rFonts w:ascii="Calibri" w:cs="Calibri" w:eastAsia="Calibri" w:hAnsi="Calibri"/>
                <w:sz w:val="18"/>
                <w:szCs w:val="18"/>
              </w:rPr>
              <w:t xml:space="preserve">1 wk</w:t>
            </w:r>
          </w:p>
        </w:tc>
        <w:tc>
          <w:tcPr>
            <w:tcW w:type="dxa" w:w="5522"/>
            <w:shd w:fill="F2F2F2" w:val="clear"/>
            <w:tcMar>
              <w:top w:type="dxa" w:w="50"/>
              <w:left w:type="dxa" w:w="100"/>
              <w:bottom w:type="dxa" w:w="50"/>
              <w:right w:type="dxa" w:w="100"/>
            </w:tcMar>
          </w:tcPr>
          <w:p>
            <w:r>
              <w:rPr>
                <w:rFonts w:ascii="Calibri" w:cs="Calibri" w:eastAsia="Calibri" w:hAnsi="Calibri"/>
                <w:sz w:val="18"/>
                <w:szCs w:val="18"/>
              </w:rPr>
              <w:t xml:space="preserve">Slower ATR band; same logic, fewer whipsaws.</w:t>
            </w:r>
          </w:p>
        </w:tc>
      </w:tr>
      <w:tr>
        <w:tc>
          <w:tcPr>
            <w:tcW w:type="dxa" w:w="1872"/>
            <w:tcMar>
              <w:top w:type="dxa" w:w="50"/>
              <w:left w:type="dxa" w:w="100"/>
              <w:bottom w:type="dxa" w:w="50"/>
              <w:right w:type="dxa" w:w="100"/>
            </w:tcMar>
          </w:tcPr>
          <w:p>
            <w:r>
              <w:rPr>
                <w:rFonts w:ascii="Calibri" w:cs="Calibri" w:eastAsia="Calibri" w:hAnsi="Calibri"/>
                <w:sz w:val="18"/>
                <w:szCs w:val="18"/>
              </w:rPr>
              <w:t xml:space="preserve">TDFI (13/13/3)</w:t>
            </w:r>
          </w:p>
        </w:tc>
        <w:tc>
          <w:tcPr>
            <w:tcW w:type="dxa" w:w="1217"/>
            <w:tcMar>
              <w:top w:type="dxa" w:w="50"/>
              <w:left w:type="dxa" w:w="100"/>
              <w:bottom w:type="dxa" w:w="50"/>
              <w:right w:type="dxa" w:w="100"/>
            </w:tcMar>
          </w:tcPr>
          <w:p>
            <w:r>
              <w:rPr>
                <w:rFonts w:ascii="Calibri" w:cs="Calibri" w:eastAsia="Calibri" w:hAnsi="Calibri"/>
                <w:sz w:val="18"/>
                <w:szCs w:val="18"/>
              </w:rPr>
              <w:t xml:space="preserve">Trend force</w:t>
            </w:r>
          </w:p>
        </w:tc>
        <w:tc>
          <w:tcPr>
            <w:tcW w:type="dxa" w:w="749"/>
            <w:tcMar>
              <w:top w:type="dxa" w:w="50"/>
              <w:left w:type="dxa" w:w="100"/>
              <w:bottom w:type="dxa" w:w="50"/>
              <w:right w:type="dxa" w:w="100"/>
            </w:tcMar>
          </w:tcPr>
          <w:p>
            <w:r>
              <w:rPr>
                <w:rFonts w:ascii="Calibri" w:cs="Calibri" w:eastAsia="Calibri" w:hAnsi="Calibri"/>
                <w:sz w:val="18"/>
                <w:szCs w:val="18"/>
              </w:rPr>
              <w:t xml:space="preserve">3 wks</w:t>
            </w:r>
          </w:p>
        </w:tc>
        <w:tc>
          <w:tcPr>
            <w:tcW w:type="dxa" w:w="5522"/>
            <w:tcMar>
              <w:top w:type="dxa" w:w="50"/>
              <w:left w:type="dxa" w:w="100"/>
              <w:bottom w:type="dxa" w:w="50"/>
              <w:right w:type="dxa" w:w="100"/>
            </w:tcMar>
          </w:tcPr>
          <w:p>
            <w:r>
              <w:rPr>
                <w:rFonts w:ascii="Calibri" w:cs="Calibri" w:eastAsia="Calibri" w:hAnsi="Calibri"/>
                <w:sz w:val="18"/>
                <w:szCs w:val="18"/>
              </w:rPr>
              <w:t xml:space="preserve">Normalized force of smoothed price change (−1..+1); beyond ±0.05 = directional conviction.</w:t>
            </w:r>
          </w:p>
        </w:tc>
      </w:tr>
      <w:tr>
        <w:tc>
          <w:tcPr>
            <w:tcW w:type="dxa" w:w="1872"/>
            <w:shd w:fill="F2F2F2" w:val="clear"/>
            <w:tcMar>
              <w:top w:type="dxa" w:w="50"/>
              <w:left w:type="dxa" w:w="100"/>
              <w:bottom w:type="dxa" w:w="50"/>
              <w:right w:type="dxa" w:w="100"/>
            </w:tcMar>
          </w:tcPr>
          <w:p>
            <w:r>
              <w:rPr>
                <w:rFonts w:ascii="Calibri" w:cs="Calibri" w:eastAsia="Calibri" w:hAnsi="Calibri"/>
                <w:sz w:val="18"/>
                <w:szCs w:val="18"/>
              </w:rPr>
              <w:t xml:space="preserve">Waddah Attar</w:t>
            </w:r>
          </w:p>
        </w:tc>
        <w:tc>
          <w:tcPr>
            <w:tcW w:type="dxa" w:w="1217"/>
            <w:shd w:fill="F2F2F2" w:val="clear"/>
            <w:tcMar>
              <w:top w:type="dxa" w:w="50"/>
              <w:left w:type="dxa" w:w="100"/>
              <w:bottom w:type="dxa" w:w="50"/>
              <w:right w:type="dxa" w:w="100"/>
            </w:tcMar>
          </w:tcPr>
          <w:p>
            <w:r>
              <w:rPr>
                <w:rFonts w:ascii="Calibri" w:cs="Calibri" w:eastAsia="Calibri" w:hAnsi="Calibri"/>
                <w:sz w:val="18"/>
                <w:szCs w:val="18"/>
              </w:rPr>
              <w:t xml:space="preserve">Volatility burst</w:t>
            </w:r>
          </w:p>
        </w:tc>
        <w:tc>
          <w:tcPr>
            <w:tcW w:type="dxa" w:w="749"/>
            <w:shd w:fill="F2F2F2" w:val="clear"/>
            <w:tcMar>
              <w:top w:type="dxa" w:w="50"/>
              <w:left w:type="dxa" w:w="100"/>
              <w:bottom w:type="dxa" w:w="50"/>
              <w:right w:type="dxa" w:w="100"/>
            </w:tcMar>
          </w:tcPr>
          <w:p>
            <w:r>
              <w:rPr>
                <w:rFonts w:ascii="Calibri" w:cs="Calibri" w:eastAsia="Calibri" w:hAnsi="Calibri"/>
                <w:sz w:val="18"/>
                <w:szCs w:val="18"/>
              </w:rPr>
              <w:t xml:space="preserve">2 mo</w:t>
            </w:r>
          </w:p>
        </w:tc>
        <w:tc>
          <w:tcPr>
            <w:tcW w:type="dxa" w:w="5522"/>
            <w:shd w:fill="F2F2F2" w:val="clear"/>
            <w:tcMar>
              <w:top w:type="dxa" w:w="50"/>
              <w:left w:type="dxa" w:w="100"/>
              <w:bottom w:type="dxa" w:w="50"/>
              <w:right w:type="dxa" w:w="100"/>
            </w:tcMar>
          </w:tcPr>
          <w:p>
            <w:r>
              <w:rPr>
                <w:rFonts w:ascii="Calibri" w:cs="Calibri" w:eastAsia="Calibri" w:hAnsi="Calibri"/>
                <w:sz w:val="18"/>
                <w:szCs w:val="18"/>
              </w:rPr>
              <w:t xml:space="preserve">MACD-style momentum change scaled by Bollinger width; spikes on explosive moves.</w:t>
            </w:r>
          </w:p>
        </w:tc>
      </w:tr>
    </w:tbl>
    <w:p>
      <w:pPr>
        <w:spacing w:after="240" w:before="60"/>
      </w:pPr>
      <w:r>
        <w:rPr>
          <w:rFonts w:ascii="Calibri" w:cs="Calibri" w:eastAsia="Calibri" w:hAnsi="Calibri"/>
          <w:i/>
          <w:iCs/>
          <w:color w:val="555555"/>
          <w:sz w:val="18"/>
          <w:szCs w:val="18"/>
        </w:rPr>
        <w:t xml:space="preserve">Table 1. The 16 STS indicators as tested (daily bars). “Memory” = effective lookback of the stated parameters.</w:t>
      </w:r>
    </w:p>
    <w:p>
      <w:pPr>
        <w:pStyle w:val="Heading2"/>
        <w:spacing w:after="160" w:before="280"/>
      </w:pPr>
      <w:r>
        <w:rPr>
          <w:rFonts w:ascii="Calibri" w:cs="Calibri" w:eastAsia="Calibri" w:hAnsi="Calibri"/>
        </w:rPr>
        <w:t xml:space="preserve">3.2 The 7 additions</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1310"/>
        <w:gridCol w:w="749"/>
        <w:gridCol w:w="7301"/>
      </w:tblGrid>
      <w:tr>
        <w:trPr>
          <w:tblHeader/>
        </w:trPr>
        <w:tc>
          <w:tcPr>
            <w:tcW w:type="dxa" w:w="1310"/>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Feature</w:t>
            </w:r>
          </w:p>
        </w:tc>
        <w:tc>
          <w:tcPr>
            <w:tcW w:type="dxa" w:w="749"/>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Memory</w:t>
            </w:r>
          </w:p>
        </w:tc>
        <w:tc>
          <w:tcPr>
            <w:tcW w:type="dxa" w:w="7301"/>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Definition and rationale</w:t>
            </w:r>
          </w:p>
        </w:tc>
      </w:tr>
      <w:tr>
        <w:tc>
          <w:tcPr>
            <w:tcW w:type="dxa" w:w="1310"/>
            <w:tcMar>
              <w:top w:type="dxa" w:w="50"/>
              <w:left w:type="dxa" w:w="100"/>
              <w:bottom w:type="dxa" w:w="50"/>
              <w:right w:type="dxa" w:w="100"/>
            </w:tcMar>
          </w:tcPr>
          <w:p>
            <w:r>
              <w:rPr>
                <w:rFonts w:ascii="Calibri" w:cs="Calibri" w:eastAsia="Calibri" w:hAnsi="Calibri"/>
                <w:sz w:val="18"/>
                <w:szCs w:val="18"/>
              </w:rPr>
              <w:t xml:space="preserve">rs_8wk</w:t>
            </w:r>
          </w:p>
        </w:tc>
        <w:tc>
          <w:tcPr>
            <w:tcW w:type="dxa" w:w="749"/>
            <w:tcMar>
              <w:top w:type="dxa" w:w="50"/>
              <w:left w:type="dxa" w:w="100"/>
              <w:bottom w:type="dxa" w:w="50"/>
              <w:right w:type="dxa" w:w="100"/>
            </w:tcMar>
          </w:tcPr>
          <w:p>
            <w:r>
              <w:rPr>
                <w:rFonts w:ascii="Calibri" w:cs="Calibri" w:eastAsia="Calibri" w:hAnsi="Calibri"/>
                <w:sz w:val="18"/>
                <w:szCs w:val="18"/>
              </w:rPr>
              <w:t xml:space="preserve">2 mo</w:t>
            </w:r>
          </w:p>
        </w:tc>
        <w:tc>
          <w:tcPr>
            <w:tcW w:type="dxa" w:w="7301"/>
            <w:tcMar>
              <w:top w:type="dxa" w:w="50"/>
              <w:left w:type="dxa" w:w="100"/>
              <w:bottom w:type="dxa" w:w="50"/>
              <w:right w:type="dxa" w:w="100"/>
            </w:tcMar>
          </w:tcPr>
          <w:p>
            <w:r>
              <w:rPr>
                <w:rFonts w:ascii="Calibri" w:cs="Calibri" w:eastAsia="Calibri" w:hAnsi="Calibri"/>
                <w:sz w:val="18"/>
                <w:szCs w:val="18"/>
              </w:rPr>
              <w:t xml:space="preserve">Stock's 40-day return minus SPY's. Medium-term leadership; the strongest single variable in prior internal backtests (best cell PF ≈2.6).</w:t>
            </w:r>
          </w:p>
        </w:tc>
      </w:tr>
      <w:tr>
        <w:tc>
          <w:tcPr>
            <w:tcW w:type="dxa" w:w="1310"/>
            <w:shd w:fill="F2F2F2" w:val="clear"/>
            <w:tcMar>
              <w:top w:type="dxa" w:w="50"/>
              <w:left w:type="dxa" w:w="100"/>
              <w:bottom w:type="dxa" w:w="50"/>
              <w:right w:type="dxa" w:w="100"/>
            </w:tcMar>
          </w:tcPr>
          <w:p>
            <w:r>
              <w:rPr>
                <w:rFonts w:ascii="Calibri" w:cs="Calibri" w:eastAsia="Calibri" w:hAnsi="Calibri"/>
                <w:sz w:val="18"/>
                <w:szCs w:val="18"/>
              </w:rPr>
              <w:t xml:space="preserve">rs_4wk</w:t>
            </w:r>
          </w:p>
        </w:tc>
        <w:tc>
          <w:tcPr>
            <w:tcW w:type="dxa" w:w="749"/>
            <w:shd w:fill="F2F2F2" w:val="clear"/>
            <w:tcMar>
              <w:top w:type="dxa" w:w="50"/>
              <w:left w:type="dxa" w:w="100"/>
              <w:bottom w:type="dxa" w:w="50"/>
              <w:right w:type="dxa" w:w="100"/>
            </w:tcMar>
          </w:tcPr>
          <w:p>
            <w:r>
              <w:rPr>
                <w:rFonts w:ascii="Calibri" w:cs="Calibri" w:eastAsia="Calibri" w:hAnsi="Calibri"/>
                <w:sz w:val="18"/>
                <w:szCs w:val="18"/>
              </w:rPr>
              <w:t xml:space="preserve">1 mo</w:t>
            </w:r>
          </w:p>
        </w:tc>
        <w:tc>
          <w:tcPr>
            <w:tcW w:type="dxa" w:w="7301"/>
            <w:shd w:fill="F2F2F2" w:val="clear"/>
            <w:tcMar>
              <w:top w:type="dxa" w:w="50"/>
              <w:left w:type="dxa" w:w="100"/>
              <w:bottom w:type="dxa" w:w="50"/>
              <w:right w:type="dxa" w:w="100"/>
            </w:tcMar>
          </w:tcPr>
          <w:p>
            <w:r>
              <w:rPr>
                <w:rFonts w:ascii="Calibri" w:cs="Calibri" w:eastAsia="Calibri" w:hAnsi="Calibri"/>
                <w:sz w:val="18"/>
                <w:szCs w:val="18"/>
              </w:rPr>
              <w:t xml:space="preserve">Same over 20 days. Included separately so models can express “strong 8-week, soft 4-week” — a pullback within leadership.</w:t>
            </w:r>
          </w:p>
        </w:tc>
      </w:tr>
      <w:tr>
        <w:tc>
          <w:tcPr>
            <w:tcW w:type="dxa" w:w="1310"/>
            <w:tcMar>
              <w:top w:type="dxa" w:w="50"/>
              <w:left w:type="dxa" w:w="100"/>
              <w:bottom w:type="dxa" w:w="50"/>
              <w:right w:type="dxa" w:w="100"/>
            </w:tcMar>
          </w:tcPr>
          <w:p>
            <w:r>
              <w:rPr>
                <w:rFonts w:ascii="Calibri" w:cs="Calibri" w:eastAsia="Calibri" w:hAnsi="Calibri"/>
                <w:sz w:val="18"/>
                <w:szCs w:val="18"/>
              </w:rPr>
              <w:t xml:space="preserve">high52_prox</w:t>
            </w:r>
          </w:p>
        </w:tc>
        <w:tc>
          <w:tcPr>
            <w:tcW w:type="dxa" w:w="749"/>
            <w:tcMar>
              <w:top w:type="dxa" w:w="50"/>
              <w:left w:type="dxa" w:w="100"/>
              <w:bottom w:type="dxa" w:w="50"/>
              <w:right w:type="dxa" w:w="100"/>
            </w:tcMar>
          </w:tcPr>
          <w:p>
            <w:r>
              <w:rPr>
                <w:rFonts w:ascii="Calibri" w:cs="Calibri" w:eastAsia="Calibri" w:hAnsi="Calibri"/>
                <w:sz w:val="18"/>
                <w:szCs w:val="18"/>
              </w:rPr>
              <w:t xml:space="preserve">1 yr</w:t>
            </w:r>
          </w:p>
        </w:tc>
        <w:tc>
          <w:tcPr>
            <w:tcW w:type="dxa" w:w="7301"/>
            <w:tcMar>
              <w:top w:type="dxa" w:w="50"/>
              <w:left w:type="dxa" w:w="100"/>
              <w:bottom w:type="dxa" w:w="50"/>
              <w:right w:type="dxa" w:w="100"/>
            </w:tcMar>
          </w:tcPr>
          <w:p>
            <w:r>
              <w:rPr>
                <w:rFonts w:ascii="Calibri" w:cs="Calibri" w:eastAsia="Calibri" w:hAnsi="Calibri"/>
                <w:sz w:val="18"/>
                <w:szCs w:val="18"/>
              </w:rPr>
              <w:t xml:space="preserve">Close ÷ 252-day high, minus 1 (0 = at the high). George &amp; Hwang (2004) anchoring effect. NOTE: in every model here its weight is NEGATIVE — unconditionally, stocks pinned at their highs underperform over 12 weeks, and pulled-back stocks outperform.</w:t>
            </w:r>
          </w:p>
        </w:tc>
      </w:tr>
      <w:tr>
        <w:tc>
          <w:tcPr>
            <w:tcW w:type="dxa" w:w="1310"/>
            <w:shd w:fill="F2F2F2" w:val="clear"/>
            <w:tcMar>
              <w:top w:type="dxa" w:w="50"/>
              <w:left w:type="dxa" w:w="100"/>
              <w:bottom w:type="dxa" w:w="50"/>
              <w:right w:type="dxa" w:w="100"/>
            </w:tcMar>
          </w:tcPr>
          <w:p>
            <w:r>
              <w:rPr>
                <w:rFonts w:ascii="Calibri" w:cs="Calibri" w:eastAsia="Calibri" w:hAnsi="Calibri"/>
                <w:sz w:val="18"/>
                <w:szCs w:val="18"/>
              </w:rPr>
              <w:t xml:space="preserve">mom_6mo</w:t>
            </w:r>
          </w:p>
        </w:tc>
        <w:tc>
          <w:tcPr>
            <w:tcW w:type="dxa" w:w="749"/>
            <w:shd w:fill="F2F2F2" w:val="clear"/>
            <w:tcMar>
              <w:top w:type="dxa" w:w="50"/>
              <w:left w:type="dxa" w:w="100"/>
              <w:bottom w:type="dxa" w:w="50"/>
              <w:right w:type="dxa" w:w="100"/>
            </w:tcMar>
          </w:tcPr>
          <w:p>
            <w:r>
              <w:rPr>
                <w:rFonts w:ascii="Calibri" w:cs="Calibri" w:eastAsia="Calibri" w:hAnsi="Calibri"/>
                <w:sz w:val="18"/>
                <w:szCs w:val="18"/>
              </w:rPr>
              <w:t xml:space="preserve">6 mo</w:t>
            </w:r>
          </w:p>
        </w:tc>
        <w:tc>
          <w:tcPr>
            <w:tcW w:type="dxa" w:w="7301"/>
            <w:shd w:fill="F2F2F2" w:val="clear"/>
            <w:tcMar>
              <w:top w:type="dxa" w:w="50"/>
              <w:left w:type="dxa" w:w="100"/>
              <w:bottom w:type="dxa" w:w="50"/>
              <w:right w:type="dxa" w:w="100"/>
            </w:tcMar>
          </w:tcPr>
          <w:p>
            <w:r>
              <w:rPr>
                <w:rFonts w:ascii="Calibri" w:cs="Calibri" w:eastAsia="Calibri" w:hAnsi="Calibri"/>
                <w:sz w:val="18"/>
                <w:szCs w:val="18"/>
              </w:rPr>
              <w:t xml:space="preserve">Return from day −126 to day −10 (skips the last two weeks). Jegadeesh &amp; Titman (1993) cross-sectional momentum; horizon-matched to a 12-week hold.</w:t>
            </w:r>
          </w:p>
        </w:tc>
      </w:tr>
      <w:tr>
        <w:tc>
          <w:tcPr>
            <w:tcW w:type="dxa" w:w="1310"/>
            <w:tcMar>
              <w:top w:type="dxa" w:w="50"/>
              <w:left w:type="dxa" w:w="100"/>
              <w:bottom w:type="dxa" w:w="50"/>
              <w:right w:type="dxa" w:w="100"/>
            </w:tcMar>
          </w:tcPr>
          <w:p>
            <w:r>
              <w:rPr>
                <w:rFonts w:ascii="Calibri" w:cs="Calibri" w:eastAsia="Calibri" w:hAnsi="Calibri"/>
                <w:sz w:val="18"/>
                <w:szCs w:val="18"/>
              </w:rPr>
              <w:t xml:space="preserve">dist_200dma</w:t>
            </w:r>
          </w:p>
        </w:tc>
        <w:tc>
          <w:tcPr>
            <w:tcW w:type="dxa" w:w="749"/>
            <w:tcMar>
              <w:top w:type="dxa" w:w="50"/>
              <w:left w:type="dxa" w:w="100"/>
              <w:bottom w:type="dxa" w:w="50"/>
              <w:right w:type="dxa" w:w="100"/>
            </w:tcMar>
          </w:tcPr>
          <w:p>
            <w:r>
              <w:rPr>
                <w:rFonts w:ascii="Calibri" w:cs="Calibri" w:eastAsia="Calibri" w:hAnsi="Calibri"/>
                <w:sz w:val="18"/>
                <w:szCs w:val="18"/>
              </w:rPr>
              <w:t xml:space="preserve">10 mo</w:t>
            </w:r>
          </w:p>
        </w:tc>
        <w:tc>
          <w:tcPr>
            <w:tcW w:type="dxa" w:w="7301"/>
            <w:tcMar>
              <w:top w:type="dxa" w:w="50"/>
              <w:left w:type="dxa" w:w="100"/>
              <w:bottom w:type="dxa" w:w="50"/>
              <w:right w:type="dxa" w:w="100"/>
            </w:tcMar>
          </w:tcPr>
          <w:p>
            <w:r>
              <w:rPr>
                <w:rFonts w:ascii="Calibri" w:cs="Calibri" w:eastAsia="Calibri" w:hAnsi="Calibri"/>
                <w:sz w:val="18"/>
                <w:szCs w:val="18"/>
              </w:rPr>
              <w:t xml:space="preserve">(Close − 200-day SMA) / ATR. Continuous trend health in the Faber (2007) tradition — used as a ranking, never a veto.</w:t>
            </w:r>
          </w:p>
        </w:tc>
      </w:tr>
      <w:tr>
        <w:tc>
          <w:tcPr>
            <w:tcW w:type="dxa" w:w="1310"/>
            <w:shd w:fill="F2F2F2" w:val="clear"/>
            <w:tcMar>
              <w:top w:type="dxa" w:w="50"/>
              <w:left w:type="dxa" w:w="100"/>
              <w:bottom w:type="dxa" w:w="50"/>
              <w:right w:type="dxa" w:w="100"/>
            </w:tcMar>
          </w:tcPr>
          <w:p>
            <w:r>
              <w:rPr>
                <w:rFonts w:ascii="Calibri" w:cs="Calibri" w:eastAsia="Calibri" w:hAnsi="Calibri"/>
                <w:sz w:val="18"/>
                <w:szCs w:val="18"/>
              </w:rPr>
              <w:t xml:space="preserve">rel_volume</w:t>
            </w:r>
          </w:p>
        </w:tc>
        <w:tc>
          <w:tcPr>
            <w:tcW w:type="dxa" w:w="749"/>
            <w:shd w:fill="F2F2F2" w:val="clear"/>
            <w:tcMar>
              <w:top w:type="dxa" w:w="50"/>
              <w:left w:type="dxa" w:w="100"/>
              <w:bottom w:type="dxa" w:w="50"/>
              <w:right w:type="dxa" w:w="100"/>
            </w:tcMar>
          </w:tcPr>
          <w:p>
            <w:r>
              <w:rPr>
                <w:rFonts w:ascii="Calibri" w:cs="Calibri" w:eastAsia="Calibri" w:hAnsi="Calibri"/>
                <w:sz w:val="18"/>
                <w:szCs w:val="18"/>
              </w:rPr>
              <w:t xml:space="preserve">1 mo</w:t>
            </w:r>
          </w:p>
        </w:tc>
        <w:tc>
          <w:tcPr>
            <w:tcW w:type="dxa" w:w="7301"/>
            <w:shd w:fill="F2F2F2" w:val="clear"/>
            <w:tcMar>
              <w:top w:type="dxa" w:w="50"/>
              <w:left w:type="dxa" w:w="100"/>
              <w:bottom w:type="dxa" w:w="50"/>
              <w:right w:type="dxa" w:w="100"/>
            </w:tcMar>
          </w:tcPr>
          <w:p>
            <w:r>
              <w:rPr>
                <w:rFonts w:ascii="Calibri" w:cs="Calibri" w:eastAsia="Calibri" w:hAnsi="Calibri"/>
                <w:sz w:val="18"/>
                <w:szCs w:val="18"/>
              </w:rPr>
              <w:t xml:space="preserve">Volume ÷ 20-day average. Auditioned as a continuous confirmation feature; earned ~zero weight, consistent with the earlier failed volume gate.</w:t>
            </w:r>
          </w:p>
        </w:tc>
      </w:tr>
      <w:tr>
        <w:tc>
          <w:tcPr>
            <w:tcW w:type="dxa" w:w="1310"/>
            <w:tcMar>
              <w:top w:type="dxa" w:w="50"/>
              <w:left w:type="dxa" w:w="100"/>
              <w:bottom w:type="dxa" w:w="50"/>
              <w:right w:type="dxa" w:w="100"/>
            </w:tcMar>
          </w:tcPr>
          <w:p>
            <w:r>
              <w:rPr>
                <w:rFonts w:ascii="Calibri" w:cs="Calibri" w:eastAsia="Calibri" w:hAnsi="Calibri"/>
                <w:sz w:val="18"/>
                <w:szCs w:val="18"/>
              </w:rPr>
              <w:t xml:space="preserve">spy_regime</w:t>
            </w:r>
          </w:p>
        </w:tc>
        <w:tc>
          <w:tcPr>
            <w:tcW w:type="dxa" w:w="749"/>
            <w:tcMar>
              <w:top w:type="dxa" w:w="50"/>
              <w:left w:type="dxa" w:w="100"/>
              <w:bottom w:type="dxa" w:w="50"/>
              <w:right w:type="dxa" w:w="100"/>
            </w:tcMar>
          </w:tcPr>
          <w:p>
            <w:r>
              <w:rPr>
                <w:rFonts w:ascii="Calibri" w:cs="Calibri" w:eastAsia="Calibri" w:hAnsi="Calibri"/>
                <w:sz w:val="18"/>
                <w:szCs w:val="18"/>
              </w:rPr>
              <w:t xml:space="preserve">10 mo</w:t>
            </w:r>
          </w:p>
        </w:tc>
        <w:tc>
          <w:tcPr>
            <w:tcW w:type="dxa" w:w="7301"/>
            <w:tcMar>
              <w:top w:type="dxa" w:w="50"/>
              <w:left w:type="dxa" w:w="100"/>
              <w:bottom w:type="dxa" w:w="50"/>
              <w:right w:type="dxa" w:w="100"/>
            </w:tcMar>
          </w:tcPr>
          <w:p>
            <w:r>
              <w:rPr>
                <w:rFonts w:ascii="Calibri" w:cs="Calibri" w:eastAsia="Calibri" w:hAnsi="Calibri"/>
                <w:sz w:val="18"/>
                <w:szCs w:val="18"/>
              </w:rPr>
              <w:t xml:space="preserve">(SPY − its 200-day SMA) / SPY ATR. Market-level health as a graded input. Negative learned weight: entries made when the index is NOT extended fare better.</w:t>
            </w:r>
          </w:p>
        </w:tc>
      </w:tr>
    </w:tbl>
    <w:p>
      <w:pPr>
        <w:spacing w:after="240" w:before="60"/>
      </w:pPr>
      <w:r>
        <w:rPr>
          <w:rFonts w:ascii="Calibri" w:cs="Calibri" w:eastAsia="Calibri" w:hAnsi="Calibri"/>
          <w:i/>
          <w:iCs/>
          <w:color w:val="555555"/>
          <w:sz w:val="18"/>
          <w:szCs w:val="18"/>
        </w:rPr>
        <w:t xml:space="preserve">Table 2. The seven added features. Slow, simple, and — as the studies show — collectively decisive.</w:t>
      </w:r>
    </w:p>
    <w:p>
      <w:pPr>
        <w:pStyle w:val="Heading1"/>
        <w:spacing w:after="200" w:before="360"/>
      </w:pPr>
      <w:r>
        <w:rPr>
          <w:rFonts w:ascii="Calibri" w:cs="Calibri" w:eastAsia="Calibri" w:hAnsi="Calibri"/>
        </w:rPr>
        <w:t xml:space="preserve">4. Study 1 — Learning Weights for the Raw 12-Week Return</w:t>
      </w:r>
    </w:p>
    <w:p>
      <w:pPr>
        <w:pStyle w:val="Heading2"/>
        <w:spacing w:after="160" w:before="280"/>
      </w:pPr>
      <w:r>
        <w:rPr>
          <w:rFonts w:ascii="Calibri" w:cs="Calibri" w:eastAsia="Calibri" w:hAnsi="Calibri"/>
        </w:rPr>
        <w:t xml:space="preserve">4.1 Design</w:t>
      </w:r>
    </w:p>
    <w:p>
      <w:pPr>
        <w:spacing w:after="160" w:line="276"/>
        <w:jc w:val="both"/>
      </w:pPr>
      <w:r>
        <w:rPr>
          <w:rFonts w:ascii="Calibri" w:cs="Calibri" w:eastAsia="Calibri" w:hAnsi="Calibri"/>
          <w:sz w:val="22"/>
          <w:szCs w:val="22"/>
        </w:rPr>
        <w:t xml:space="preserve">Four models were compared on the identical walk-forward folds, all predicting the raw (no-stop) 12-week forward return: (A) the hand-weighted 18-point vote score as-is; (B) ridge on the 16 binary votes; (C) ridge on the 16 continuous indicator values; (D) ridge on 16 continuous values plus the 7 additions.</w:t>
      </w:r>
    </w:p>
    <w:p>
      <w:pPr>
        <w:pStyle w:val="Heading2"/>
        <w:spacing w:after="160" w:before="280"/>
      </w:pPr>
      <w:r>
        <w:rPr>
          <w:rFonts w:ascii="Calibri" w:cs="Calibri" w:eastAsia="Calibri" w:hAnsi="Calibri"/>
        </w:rPr>
        <w:t xml:space="preserve">4.2 Results</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4118"/>
        <w:gridCol w:w="2621"/>
        <w:gridCol w:w="2621"/>
      </w:tblGrid>
      <w:tr>
        <w:trPr>
          <w:tblHeader/>
        </w:trPr>
        <w:tc>
          <w:tcPr>
            <w:tcW w:type="dxa" w:w="4118"/>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Model</w:t>
            </w:r>
          </w:p>
        </w:tc>
        <w:tc>
          <w:tcPr>
            <w:tcW w:type="dxa" w:w="2621"/>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Mean out-of-sample IC</w:t>
            </w:r>
          </w:p>
        </w:tc>
        <w:tc>
          <w:tcPr>
            <w:tcW w:type="dxa" w:w="2621"/>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Folds beating hand score</w:t>
            </w:r>
          </w:p>
        </w:tc>
      </w:tr>
      <w:tr>
        <w:tc>
          <w:tcPr>
            <w:tcW w:type="dxa" w:w="4118"/>
            <w:tcMar>
              <w:top w:type="dxa" w:w="50"/>
              <w:left w:type="dxa" w:w="100"/>
              <w:bottom w:type="dxa" w:w="50"/>
              <w:right w:type="dxa" w:w="100"/>
            </w:tcMar>
          </w:tcPr>
          <w:p>
            <w:r>
              <w:rPr>
                <w:rFonts w:ascii="Calibri" w:cs="Calibri" w:eastAsia="Calibri" w:hAnsi="Calibri"/>
                <w:sz w:val="18"/>
                <w:szCs w:val="18"/>
              </w:rPr>
              <w:t xml:space="preserve">A. Hand score (Fisher ×3, VWAP ×2, 14××1)</w:t>
            </w:r>
          </w:p>
        </w:tc>
        <w:tc>
          <w:tcPr>
            <w:tcW w:type="dxa" w:w="2621"/>
            <w:tcMar>
              <w:top w:type="dxa" w:w="50"/>
              <w:left w:type="dxa" w:w="100"/>
              <w:bottom w:type="dxa" w:w="50"/>
              <w:right w:type="dxa" w:w="100"/>
            </w:tcMar>
          </w:tcPr>
          <w:p>
            <w:r>
              <w:rPr>
                <w:rFonts w:ascii="Calibri" w:cs="Calibri" w:eastAsia="Calibri" w:hAnsi="Calibri"/>
                <w:sz w:val="18"/>
                <w:szCs w:val="18"/>
              </w:rPr>
              <w:t xml:space="preserve">−0.042</w:t>
            </w:r>
          </w:p>
        </w:tc>
        <w:tc>
          <w:tcPr>
            <w:tcW w:type="dxa" w:w="2621"/>
            <w:tcMar>
              <w:top w:type="dxa" w:w="50"/>
              <w:left w:type="dxa" w:w="100"/>
              <w:bottom w:type="dxa" w:w="50"/>
              <w:right w:type="dxa" w:w="100"/>
            </w:tcMar>
          </w:tcPr>
          <w:p>
            <w:r>
              <w:rPr>
                <w:rFonts w:ascii="Calibri" w:cs="Calibri" w:eastAsia="Calibri" w:hAnsi="Calibri"/>
                <w:sz w:val="18"/>
                <w:szCs w:val="18"/>
              </w:rPr>
              <w:t xml:space="preserve">—</w:t>
            </w:r>
          </w:p>
        </w:tc>
      </w:tr>
      <w:tr>
        <w:tc>
          <w:tcPr>
            <w:tcW w:type="dxa" w:w="4118"/>
            <w:shd w:fill="F2F2F2" w:val="clear"/>
            <w:tcMar>
              <w:top w:type="dxa" w:w="50"/>
              <w:left w:type="dxa" w:w="100"/>
              <w:bottom w:type="dxa" w:w="50"/>
              <w:right w:type="dxa" w:w="100"/>
            </w:tcMar>
          </w:tcPr>
          <w:p>
            <w:r>
              <w:rPr>
                <w:rFonts w:ascii="Calibri" w:cs="Calibri" w:eastAsia="Calibri" w:hAnsi="Calibri"/>
                <w:sz w:val="18"/>
                <w:szCs w:val="18"/>
              </w:rPr>
              <w:t xml:space="preserve">B. ML on the 16 binary votes</w:t>
            </w:r>
          </w:p>
        </w:tc>
        <w:tc>
          <w:tcPr>
            <w:tcW w:type="dxa" w:w="2621"/>
            <w:shd w:fill="F2F2F2" w:val="clear"/>
            <w:tcMar>
              <w:top w:type="dxa" w:w="50"/>
              <w:left w:type="dxa" w:w="100"/>
              <w:bottom w:type="dxa" w:w="50"/>
              <w:right w:type="dxa" w:w="100"/>
            </w:tcMar>
          </w:tcPr>
          <w:p>
            <w:r>
              <w:rPr>
                <w:rFonts w:ascii="Calibri" w:cs="Calibri" w:eastAsia="Calibri" w:hAnsi="Calibri"/>
                <w:sz w:val="18"/>
                <w:szCs w:val="18"/>
              </w:rPr>
              <w:t xml:space="preserve">+0.029</w:t>
            </w:r>
          </w:p>
        </w:tc>
        <w:tc>
          <w:tcPr>
            <w:tcW w:type="dxa" w:w="2621"/>
            <w:shd w:fill="F2F2F2" w:val="clear"/>
            <w:tcMar>
              <w:top w:type="dxa" w:w="50"/>
              <w:left w:type="dxa" w:w="100"/>
              <w:bottom w:type="dxa" w:w="50"/>
              <w:right w:type="dxa" w:w="100"/>
            </w:tcMar>
          </w:tcPr>
          <w:p>
            <w:r>
              <w:rPr>
                <w:rFonts w:ascii="Calibri" w:cs="Calibri" w:eastAsia="Calibri" w:hAnsi="Calibri"/>
                <w:sz w:val="18"/>
                <w:szCs w:val="18"/>
              </w:rPr>
              <w:t xml:space="preserve">7 / 7</w:t>
            </w:r>
          </w:p>
        </w:tc>
      </w:tr>
      <w:tr>
        <w:tc>
          <w:tcPr>
            <w:tcW w:type="dxa" w:w="4118"/>
            <w:tcMar>
              <w:top w:type="dxa" w:w="50"/>
              <w:left w:type="dxa" w:w="100"/>
              <w:bottom w:type="dxa" w:w="50"/>
              <w:right w:type="dxa" w:w="100"/>
            </w:tcMar>
          </w:tcPr>
          <w:p>
            <w:r>
              <w:rPr>
                <w:rFonts w:ascii="Calibri" w:cs="Calibri" w:eastAsia="Calibri" w:hAnsi="Calibri"/>
                <w:sz w:val="18"/>
                <w:szCs w:val="18"/>
              </w:rPr>
              <w:t xml:space="preserve">C. ML on the 16 continuous values</w:t>
            </w:r>
          </w:p>
        </w:tc>
        <w:tc>
          <w:tcPr>
            <w:tcW w:type="dxa" w:w="2621"/>
            <w:tcMar>
              <w:top w:type="dxa" w:w="50"/>
              <w:left w:type="dxa" w:w="100"/>
              <w:bottom w:type="dxa" w:w="50"/>
              <w:right w:type="dxa" w:w="100"/>
            </w:tcMar>
          </w:tcPr>
          <w:p>
            <w:r>
              <w:rPr>
                <w:rFonts w:ascii="Calibri" w:cs="Calibri" w:eastAsia="Calibri" w:hAnsi="Calibri"/>
                <w:sz w:val="18"/>
                <w:szCs w:val="18"/>
              </w:rPr>
              <w:t xml:space="preserve">+0.022</w:t>
            </w:r>
          </w:p>
        </w:tc>
        <w:tc>
          <w:tcPr>
            <w:tcW w:type="dxa" w:w="2621"/>
            <w:tcMar>
              <w:top w:type="dxa" w:w="50"/>
              <w:left w:type="dxa" w:w="100"/>
              <w:bottom w:type="dxa" w:w="50"/>
              <w:right w:type="dxa" w:w="100"/>
            </w:tcMar>
          </w:tcPr>
          <w:p>
            <w:r>
              <w:rPr>
                <w:rFonts w:ascii="Calibri" w:cs="Calibri" w:eastAsia="Calibri" w:hAnsi="Calibri"/>
                <w:sz w:val="18"/>
                <w:szCs w:val="18"/>
              </w:rPr>
              <w:t xml:space="preserve">5 / 7</w:t>
            </w:r>
          </w:p>
        </w:tc>
      </w:tr>
      <w:tr>
        <w:tc>
          <w:tcPr>
            <w:tcW w:type="dxa" w:w="4118"/>
            <w:shd w:fill="F2F2F2" w:val="clear"/>
            <w:tcMar>
              <w:top w:type="dxa" w:w="50"/>
              <w:left w:type="dxa" w:w="100"/>
              <w:bottom w:type="dxa" w:w="50"/>
              <w:right w:type="dxa" w:w="100"/>
            </w:tcMar>
          </w:tcPr>
          <w:p>
            <w:r>
              <w:rPr>
                <w:rFonts w:ascii="Calibri" w:cs="Calibri" w:eastAsia="Calibri" w:hAnsi="Calibri"/>
                <w:sz w:val="18"/>
                <w:szCs w:val="18"/>
              </w:rPr>
              <w:t xml:space="preserve">D. Full 23 features (continuous + additions)</w:t>
            </w:r>
          </w:p>
        </w:tc>
        <w:tc>
          <w:tcPr>
            <w:tcW w:type="dxa" w:w="2621"/>
            <w:shd w:fill="F2F2F2" w:val="clear"/>
            <w:tcMar>
              <w:top w:type="dxa" w:w="50"/>
              <w:left w:type="dxa" w:w="100"/>
              <w:bottom w:type="dxa" w:w="50"/>
              <w:right w:type="dxa" w:w="100"/>
            </w:tcMar>
          </w:tcPr>
          <w:p>
            <w:r>
              <w:rPr>
                <w:rFonts w:ascii="Calibri" w:cs="Calibri" w:eastAsia="Calibri" w:hAnsi="Calibri"/>
                <w:sz w:val="18"/>
                <w:szCs w:val="18"/>
              </w:rPr>
              <w:t xml:space="preserve">+0.113</w:t>
            </w:r>
          </w:p>
        </w:tc>
        <w:tc>
          <w:tcPr>
            <w:tcW w:type="dxa" w:w="2621"/>
            <w:shd w:fill="F2F2F2" w:val="clear"/>
            <w:tcMar>
              <w:top w:type="dxa" w:w="50"/>
              <w:left w:type="dxa" w:w="100"/>
              <w:bottom w:type="dxa" w:w="50"/>
              <w:right w:type="dxa" w:w="100"/>
            </w:tcMar>
          </w:tcPr>
          <w:p>
            <w:r>
              <w:rPr>
                <w:rFonts w:ascii="Calibri" w:cs="Calibri" w:eastAsia="Calibri" w:hAnsi="Calibri"/>
                <w:sz w:val="18"/>
                <w:szCs w:val="18"/>
              </w:rPr>
              <w:t xml:space="preserve">7 / 7</w:t>
            </w:r>
          </w:p>
        </w:tc>
      </w:tr>
    </w:tbl>
    <w:p>
      <w:pPr>
        <w:spacing w:after="240" w:before="60"/>
      </w:pPr>
      <w:r>
        <w:rPr>
          <w:rFonts w:ascii="Calibri" w:cs="Calibri" w:eastAsia="Calibri" w:hAnsi="Calibri"/>
          <w:i/>
          <w:iCs/>
          <w:color w:val="555555"/>
          <w:sz w:val="18"/>
          <w:szCs w:val="18"/>
        </w:rPr>
        <w:t xml:space="preserve">Table 3. Study 1 model comparison. The 2020 fold (+0.39) inflates model D's mean; excluding it, D averages ≈ +0.07 — still strong.</w:t>
      </w:r>
    </w:p>
    <w:p>
      <w:pPr>
        <w:spacing w:after="160" w:line="276"/>
        <w:jc w:val="both"/>
      </w:pPr>
      <w:r>
        <w:rPr>
          <w:rFonts w:ascii="Calibri" w:cs="Calibri" w:eastAsia="Calibri" w:hAnsi="Calibri"/>
          <w:sz w:val="22"/>
          <w:szCs w:val="22"/>
        </w:rPr>
        <w:t xml:space="preserve">Stable learned weights (sign-consistent ≥ 85%): high52_prox −3.7, dist_200dma +2.0, spy_regime −1.9, qqe −1.8, mom_6mo +1.7, ichimoku +1.2, rs_8wk +0.9, rs_4wk +0.6. Fisher (+0.2) and rolling VWAP (−0.3) — the two indicators holding ×3 and ×2 hand weights — rounded to suggested weight 0. MACD (−4.5) and EMA 9/21 (+4.4) formed a textbook collinearity artifact: two nearly identical features split into a meaningless long/short spread; MACD was removed from all subsequent models.</w:t>
      </w:r>
    </w:p>
    <w:p>
      <w:pPr>
        <w:pStyle w:val="Heading2"/>
        <w:spacing w:after="160" w:before="280"/>
      </w:pPr>
      <w:r>
        <w:rPr>
          <w:rFonts w:ascii="Calibri" w:cs="Calibri" w:eastAsia="Calibri" w:hAnsi="Calibri"/>
        </w:rPr>
        <w:t xml:space="preserve">4.3 Interpretation</w:t>
      </w:r>
    </w:p>
    <w:p>
      <w:pPr>
        <w:spacing w:after="160" w:line="276"/>
        <w:jc w:val="both"/>
      </w:pPr>
      <w:r>
        <w:rPr>
          <w:rFonts w:ascii="Calibri" w:cs="Calibri" w:eastAsia="Calibri" w:hAnsi="Calibri"/>
          <w:sz w:val="22"/>
          <w:szCs w:val="22"/>
        </w:rPr>
        <w:t xml:space="preserve">Three conclusions. First, the hand weighting is inversely predictive at this horizon: a maxed-out trend-following score marks stocks that are already extended. Second, merely re-weighting the same 16 votes flips the sign — the indicators contain some information, badly weighted. Third, most of the predictive weight belongs to the additions, and together they describe one coherent setup: a 6-month winner, above its 200-day average, pulled back well off its 52-week high, with washed-out short-term momentum, in a market that is not extended — a systematic rediscovery of the “pullback in an uptrend” profile identified in earlier internal work.</w:t>
      </w:r>
    </w:p>
    <w:p>
      <w:pPr>
        <w:pStyle w:val="Heading1"/>
        <w:spacing w:after="200" w:before="360"/>
      </w:pPr>
      <w:r>
        <w:rPr>
          <w:rFonts w:ascii="Calibri" w:cs="Calibri" w:eastAsia="Calibri" w:hAnsi="Calibri"/>
        </w:rPr>
        <w:t xml:space="preserve">5. Study 2 — Lane B: Deep-Drawdown (Crash-Recovery) Bars</w:t>
      </w:r>
    </w:p>
    <w:p>
      <w:pPr>
        <w:pStyle w:val="Heading2"/>
        <w:spacing w:after="160" w:before="280"/>
      </w:pPr>
      <w:r>
        <w:rPr>
          <w:rFonts w:ascii="Calibri" w:cs="Calibri" w:eastAsia="Calibri" w:hAnsi="Calibri"/>
        </w:rPr>
        <w:t xml:space="preserve">5.1 Design</w:t>
      </w:r>
    </w:p>
    <w:p>
      <w:pPr>
        <w:spacing w:after="160" w:line="276"/>
        <w:jc w:val="both"/>
      </w:pPr>
      <w:r>
        <w:rPr>
          <w:rFonts w:ascii="Calibri" w:cs="Calibri" w:eastAsia="Calibri" w:hAnsi="Calibri"/>
          <w:sz w:val="22"/>
          <w:szCs w:val="22"/>
        </w:rPr>
        <w:t xml:space="preserve">Motivated by discretionary successes in crashed quality names (e.g., UNH), the panel was filtered to bars where 6-month momentum was ≥2 standard deviations worse than the same-day cross-section AND price was below the 200-day SMA — 3,202 bars (1.2% of the panel). Question: do crashed stocks recover, and can any indicator separate recoveries from value traps? (mom_6mo and dist_200dma were excluded as predictors since they define the filter.)</w:t>
      </w:r>
    </w:p>
    <w:p>
      <w:pPr>
        <w:pStyle w:val="Heading2"/>
        <w:spacing w:after="160" w:before="280"/>
      </w:pPr>
      <w:r>
        <w:rPr>
          <w:rFonts w:ascii="Calibri" w:cs="Calibri" w:eastAsia="Calibri" w:hAnsi="Calibri"/>
        </w:rPr>
        <w:t xml:space="preserve">5.2 Results</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4118"/>
        <w:gridCol w:w="2621"/>
        <w:gridCol w:w="2621"/>
      </w:tblGrid>
      <w:tr>
        <w:trPr>
          <w:tblHeader/>
        </w:trPr>
        <w:tc>
          <w:tcPr>
            <w:tcW w:type="dxa" w:w="4118"/>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Metric (12-week, no stop)</w:t>
            </w:r>
          </w:p>
        </w:tc>
        <w:tc>
          <w:tcPr>
            <w:tcW w:type="dxa" w:w="2621"/>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Lane B (crashed)</w:t>
            </w:r>
          </w:p>
        </w:tc>
        <w:tc>
          <w:tcPr>
            <w:tcW w:type="dxa" w:w="2621"/>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All bars</w:t>
            </w:r>
          </w:p>
        </w:tc>
      </w:tr>
      <w:tr>
        <w:tc>
          <w:tcPr>
            <w:tcW w:type="dxa" w:w="4118"/>
            <w:tcMar>
              <w:top w:type="dxa" w:w="50"/>
              <w:left w:type="dxa" w:w="100"/>
              <w:bottom w:type="dxa" w:w="50"/>
              <w:right w:type="dxa" w:w="100"/>
            </w:tcMar>
          </w:tcPr>
          <w:p>
            <w:r>
              <w:rPr>
                <w:rFonts w:ascii="Calibri" w:cs="Calibri" w:eastAsia="Calibri" w:hAnsi="Calibri"/>
                <w:sz w:val="18"/>
                <w:szCs w:val="18"/>
              </w:rPr>
              <w:t xml:space="preserve">Win rate</w:t>
            </w:r>
          </w:p>
        </w:tc>
        <w:tc>
          <w:tcPr>
            <w:tcW w:type="dxa" w:w="2621"/>
            <w:tcMar>
              <w:top w:type="dxa" w:w="50"/>
              <w:left w:type="dxa" w:w="100"/>
              <w:bottom w:type="dxa" w:w="50"/>
              <w:right w:type="dxa" w:w="100"/>
            </w:tcMar>
          </w:tcPr>
          <w:p>
            <w:r>
              <w:rPr>
                <w:rFonts w:ascii="Calibri" w:cs="Calibri" w:eastAsia="Calibri" w:hAnsi="Calibri"/>
                <w:sz w:val="18"/>
                <w:szCs w:val="18"/>
              </w:rPr>
              <w:t xml:space="preserve">54.2%</w:t>
            </w:r>
          </w:p>
        </w:tc>
        <w:tc>
          <w:tcPr>
            <w:tcW w:type="dxa" w:w="2621"/>
            <w:tcMar>
              <w:top w:type="dxa" w:w="50"/>
              <w:left w:type="dxa" w:w="100"/>
              <w:bottom w:type="dxa" w:w="50"/>
              <w:right w:type="dxa" w:w="100"/>
            </w:tcMar>
          </w:tcPr>
          <w:p>
            <w:r>
              <w:rPr>
                <w:rFonts w:ascii="Calibri" w:cs="Calibri" w:eastAsia="Calibri" w:hAnsi="Calibri"/>
                <w:sz w:val="18"/>
                <w:szCs w:val="18"/>
              </w:rPr>
              <w:t xml:space="preserve">59.3%</w:t>
            </w:r>
          </w:p>
        </w:tc>
      </w:tr>
      <w:tr>
        <w:tc>
          <w:tcPr>
            <w:tcW w:type="dxa" w:w="4118"/>
            <w:shd w:fill="F2F2F2" w:val="clear"/>
            <w:tcMar>
              <w:top w:type="dxa" w:w="50"/>
              <w:left w:type="dxa" w:w="100"/>
              <w:bottom w:type="dxa" w:w="50"/>
              <w:right w:type="dxa" w:w="100"/>
            </w:tcMar>
          </w:tcPr>
          <w:p>
            <w:r>
              <w:rPr>
                <w:rFonts w:ascii="Calibri" w:cs="Calibri" w:eastAsia="Calibri" w:hAnsi="Calibri"/>
                <w:sz w:val="18"/>
                <w:szCs w:val="18"/>
              </w:rPr>
              <w:t xml:space="preserve">Average return</w:t>
            </w:r>
          </w:p>
        </w:tc>
        <w:tc>
          <w:tcPr>
            <w:tcW w:type="dxa" w:w="2621"/>
            <w:shd w:fill="F2F2F2" w:val="clear"/>
            <w:tcMar>
              <w:top w:type="dxa" w:w="50"/>
              <w:left w:type="dxa" w:w="100"/>
              <w:bottom w:type="dxa" w:w="50"/>
              <w:right w:type="dxa" w:w="100"/>
            </w:tcMar>
          </w:tcPr>
          <w:p>
            <w:r>
              <w:rPr>
                <w:rFonts w:ascii="Calibri" w:cs="Calibri" w:eastAsia="Calibri" w:hAnsi="Calibri"/>
                <w:sz w:val="18"/>
                <w:szCs w:val="18"/>
              </w:rPr>
              <w:t xml:space="preserve">+8.1%</w:t>
            </w:r>
          </w:p>
        </w:tc>
        <w:tc>
          <w:tcPr>
            <w:tcW w:type="dxa" w:w="2621"/>
            <w:shd w:fill="F2F2F2" w:val="clear"/>
            <w:tcMar>
              <w:top w:type="dxa" w:w="50"/>
              <w:left w:type="dxa" w:w="100"/>
              <w:bottom w:type="dxa" w:w="50"/>
              <w:right w:type="dxa" w:w="100"/>
            </w:tcMar>
          </w:tcPr>
          <w:p>
            <w:r>
              <w:rPr>
                <w:rFonts w:ascii="Calibri" w:cs="Calibri" w:eastAsia="Calibri" w:hAnsi="Calibri"/>
                <w:sz w:val="18"/>
                <w:szCs w:val="18"/>
              </w:rPr>
              <w:t xml:space="preserve">+4.2%</w:t>
            </w:r>
          </w:p>
        </w:tc>
      </w:tr>
      <w:tr>
        <w:tc>
          <w:tcPr>
            <w:tcW w:type="dxa" w:w="4118"/>
            <w:tcMar>
              <w:top w:type="dxa" w:w="50"/>
              <w:left w:type="dxa" w:w="100"/>
              <w:bottom w:type="dxa" w:w="50"/>
              <w:right w:type="dxa" w:w="100"/>
            </w:tcMar>
          </w:tcPr>
          <w:p>
            <w:r>
              <w:rPr>
                <w:rFonts w:ascii="Calibri" w:cs="Calibri" w:eastAsia="Calibri" w:hAnsi="Calibri"/>
                <w:sz w:val="18"/>
                <w:szCs w:val="18"/>
              </w:rPr>
              <w:t xml:space="preserve">Median return</w:t>
            </w:r>
          </w:p>
        </w:tc>
        <w:tc>
          <w:tcPr>
            <w:tcW w:type="dxa" w:w="2621"/>
            <w:tcMar>
              <w:top w:type="dxa" w:w="50"/>
              <w:left w:type="dxa" w:w="100"/>
              <w:bottom w:type="dxa" w:w="50"/>
              <w:right w:type="dxa" w:w="100"/>
            </w:tcMar>
          </w:tcPr>
          <w:p>
            <w:r>
              <w:rPr>
                <w:rFonts w:ascii="Calibri" w:cs="Calibri" w:eastAsia="Calibri" w:hAnsi="Calibri"/>
                <w:sz w:val="18"/>
                <w:szCs w:val="18"/>
              </w:rPr>
              <w:t xml:space="preserve">+2.6%</w:t>
            </w:r>
          </w:p>
        </w:tc>
        <w:tc>
          <w:tcPr>
            <w:tcW w:type="dxa" w:w="2621"/>
            <w:tcMar>
              <w:top w:type="dxa" w:w="50"/>
              <w:left w:type="dxa" w:w="100"/>
              <w:bottom w:type="dxa" w:w="50"/>
              <w:right w:type="dxa" w:w="100"/>
            </w:tcMar>
          </w:tcPr>
          <w:p>
            <w:r>
              <w:rPr>
                <w:rFonts w:ascii="Calibri" w:cs="Calibri" w:eastAsia="Calibri" w:hAnsi="Calibri"/>
                <w:sz w:val="18"/>
                <w:szCs w:val="18"/>
              </w:rPr>
              <w:t xml:space="preserve">+3.1%</w:t>
            </w:r>
          </w:p>
        </w:tc>
      </w:tr>
      <w:tr>
        <w:tc>
          <w:tcPr>
            <w:tcW w:type="dxa" w:w="4118"/>
            <w:shd w:fill="F2F2F2" w:val="clear"/>
            <w:tcMar>
              <w:top w:type="dxa" w:w="50"/>
              <w:left w:type="dxa" w:w="100"/>
              <w:bottom w:type="dxa" w:w="50"/>
              <w:right w:type="dxa" w:w="100"/>
            </w:tcMar>
          </w:tcPr>
          <w:p>
            <w:r>
              <w:rPr>
                <w:rFonts w:ascii="Calibri" w:cs="Calibri" w:eastAsia="Calibri" w:hAnsi="Calibri"/>
                <w:sz w:val="18"/>
                <w:szCs w:val="18"/>
              </w:rPr>
              <w:t xml:space="preserve">Average excess vs SPY</w:t>
            </w:r>
          </w:p>
        </w:tc>
        <w:tc>
          <w:tcPr>
            <w:tcW w:type="dxa" w:w="2621"/>
            <w:shd w:fill="F2F2F2" w:val="clear"/>
            <w:tcMar>
              <w:top w:type="dxa" w:w="50"/>
              <w:left w:type="dxa" w:w="100"/>
              <w:bottom w:type="dxa" w:w="50"/>
              <w:right w:type="dxa" w:w="100"/>
            </w:tcMar>
          </w:tcPr>
          <w:p>
            <w:r>
              <w:rPr>
                <w:rFonts w:ascii="Calibri" w:cs="Calibri" w:eastAsia="Calibri" w:hAnsi="Calibri"/>
                <w:sz w:val="18"/>
                <w:szCs w:val="18"/>
              </w:rPr>
              <w:t xml:space="preserve">+4.4%</w:t>
            </w:r>
          </w:p>
        </w:tc>
        <w:tc>
          <w:tcPr>
            <w:tcW w:type="dxa" w:w="2621"/>
            <w:shd w:fill="F2F2F2" w:val="clear"/>
            <w:tcMar>
              <w:top w:type="dxa" w:w="50"/>
              <w:left w:type="dxa" w:w="100"/>
              <w:bottom w:type="dxa" w:w="50"/>
              <w:right w:type="dxa" w:w="100"/>
            </w:tcMar>
          </w:tcPr>
          <w:p>
            <w:r>
              <w:rPr>
                <w:rFonts w:ascii="Calibri" w:cs="Calibri" w:eastAsia="Calibri" w:hAnsi="Calibri"/>
                <w:sz w:val="18"/>
                <w:szCs w:val="18"/>
              </w:rPr>
              <w:t xml:space="preserve">+0.6%</w:t>
            </w:r>
          </w:p>
        </w:tc>
      </w:tr>
      <w:tr>
        <w:tc>
          <w:tcPr>
            <w:tcW w:type="dxa" w:w="4118"/>
            <w:tcMar>
              <w:top w:type="dxa" w:w="50"/>
              <w:left w:type="dxa" w:w="100"/>
              <w:bottom w:type="dxa" w:w="50"/>
              <w:right w:type="dxa" w:w="100"/>
            </w:tcMar>
          </w:tcPr>
          <w:p>
            <w:r>
              <w:rPr>
                <w:rFonts w:ascii="Calibri" w:cs="Calibri" w:eastAsia="Calibri" w:hAnsi="Calibri"/>
                <w:sz w:val="18"/>
                <w:szCs w:val="18"/>
              </w:rPr>
              <w:t xml:space="preserve">10th / 90th percentile</w:t>
            </w:r>
          </w:p>
        </w:tc>
        <w:tc>
          <w:tcPr>
            <w:tcW w:type="dxa" w:w="2621"/>
            <w:tcMar>
              <w:top w:type="dxa" w:w="50"/>
              <w:left w:type="dxa" w:w="100"/>
              <w:bottom w:type="dxa" w:w="50"/>
              <w:right w:type="dxa" w:w="100"/>
            </w:tcMar>
          </w:tcPr>
          <w:p>
            <w:r>
              <w:rPr>
                <w:rFonts w:ascii="Calibri" w:cs="Calibri" w:eastAsia="Calibri" w:hAnsi="Calibri"/>
                <w:sz w:val="18"/>
                <w:szCs w:val="18"/>
              </w:rPr>
              <w:t xml:space="preserve">−31.9% / +45.3%</w:t>
            </w:r>
          </w:p>
        </w:tc>
        <w:tc>
          <w:tcPr>
            <w:tcW w:type="dxa" w:w="2621"/>
            <w:tcMar>
              <w:top w:type="dxa" w:w="50"/>
              <w:left w:type="dxa" w:w="100"/>
              <w:bottom w:type="dxa" w:w="50"/>
              <w:right w:type="dxa" w:w="100"/>
            </w:tcMar>
          </w:tcPr>
          <w:p>
            <w:r>
              <w:rPr>
                <w:rFonts w:ascii="Calibri" w:cs="Calibri" w:eastAsia="Calibri" w:hAnsi="Calibri"/>
                <w:sz w:val="18"/>
                <w:szCs w:val="18"/>
              </w:rPr>
              <w:t xml:space="preserve">−15.7% / +23.3%</w:t>
            </w:r>
          </w:p>
        </w:tc>
      </w:tr>
    </w:tbl>
    <w:p>
      <w:pPr>
        <w:spacing w:after="240" w:before="60"/>
      </w:pPr>
      <w:r>
        <w:rPr>
          <w:rFonts w:ascii="Calibri" w:cs="Calibri" w:eastAsia="Calibri" w:hAnsi="Calibri"/>
          <w:i/>
          <w:iCs/>
          <w:color w:val="555555"/>
          <w:sz w:val="18"/>
          <w:szCs w:val="18"/>
        </w:rPr>
        <w:t xml:space="preserve">Table 4. Crashed stocks: lower win rate, higher mean, double-width tails — a lottery-ticket distribution. 2021 was catastrophic (29% win, −13.5% avg); 2020 spectacular (+27.2% avg).</w:t>
      </w:r>
    </w:p>
    <w:p>
      <w:pPr>
        <w:spacing w:after="160" w:line="276"/>
        <w:jc w:val="both"/>
      </w:pPr>
      <w:r>
        <w:rPr>
          <w:rFonts w:ascii="Calibri" w:cs="Calibri" w:eastAsia="Calibri" w:hAnsi="Calibri"/>
          <w:sz w:val="22"/>
          <w:szCs w:val="22"/>
        </w:rPr>
        <w:t xml:space="preserve">Feature results: every technical feature's IC was weak and negative or nil; the hand score read −0.08. The only stable discriminator was spy_regime (IC −0.22, consistent 7/10 years): crashes bought during market-wide stress recover; idiosyncratic crashes in healthy markets are more often genuinely broken businesses. The within-lane model could not rank winners (fold ICs −0.34 to +0.44), though its quintiles did order average payoff size (+1.6% to +14.7%).</w:t>
      </w:r>
    </w:p>
    <w:p>
      <w:pPr>
        <w:pStyle w:val="Heading2"/>
        <w:spacing w:after="160" w:before="280"/>
      </w:pPr>
      <w:r>
        <w:rPr>
          <w:rFonts w:ascii="Calibri" w:cs="Calibri" w:eastAsia="Calibri" w:hAnsi="Calibri"/>
        </w:rPr>
        <w:t xml:space="preserve">5.3 Interpretation</w:t>
      </w:r>
    </w:p>
    <w:p>
      <w:pPr>
        <w:spacing w:after="160" w:line="276"/>
        <w:jc w:val="both"/>
      </w:pPr>
      <w:r>
        <w:rPr>
          <w:rFonts w:ascii="Calibri" w:cs="Calibri" w:eastAsia="Calibri" w:hAnsi="Calibri"/>
          <w:sz w:val="22"/>
          <w:szCs w:val="22"/>
        </w:rPr>
        <w:t xml:space="preserve">Bullish technical readings inside a crash were mildly inversely predictive — waiting for the chart to confirm forfeits the recovery, and the best outcomes came from maximum ugliness, which no indicator blesses. Selection among crash candidates therefore cannot be technical; it must rest on fundamental thesis quality (the SSI2 framework), validated forward. This study also carries the heaviest survivorship inflation in the program.</w:t>
      </w:r>
    </w:p>
    <w:p>
      <w:pPr>
        <w:pStyle w:val="Heading1"/>
        <w:spacing w:after="200" w:before="360"/>
      </w:pPr>
      <w:r>
        <w:rPr>
          <w:rFonts w:ascii="Calibri" w:cs="Calibri" w:eastAsia="Calibri" w:hAnsi="Calibri"/>
        </w:rPr>
        <w:t xml:space="preserve">6. Study 3 — Stop-Adjusted Target and the Threshold Table</w:t>
      </w:r>
    </w:p>
    <w:p>
      <w:pPr>
        <w:pStyle w:val="Heading2"/>
        <w:spacing w:after="160" w:before="280"/>
      </w:pPr>
      <w:r>
        <w:rPr>
          <w:rFonts w:ascii="Calibri" w:cs="Calibri" w:eastAsia="Calibri" w:hAnsi="Calibri"/>
        </w:rPr>
        <w:t xml:space="preserve">6.1 Design</w:t>
      </w:r>
    </w:p>
    <w:p>
      <w:pPr>
        <w:spacing w:after="160" w:line="276"/>
        <w:jc w:val="both"/>
      </w:pPr>
      <w:r>
        <w:rPr>
          <w:rFonts w:ascii="Calibri" w:cs="Calibri" w:eastAsia="Calibri" w:hAnsi="Calibri"/>
          <w:sz w:val="22"/>
          <w:szCs w:val="22"/>
        </w:rPr>
        <w:t xml:space="preserve">Study 1 predicted a fantasy trade — no stop-loss. Study 3 retrained the model (22 features; MACD dropped) on the stop-adjusted outcome R under the real tiered stops, and produced the operational artifacts: a score-decile threshold table, profit-target exit comparisons, and a give-back analysis. Base rate context: 26% of all MEGA bars breach −13% and 26% of LARGE bars breach −15% within 60 days — the tiering equalizes breach risk for the average stock.</w:t>
      </w:r>
    </w:p>
    <w:p>
      <w:pPr>
        <w:pStyle w:val="Heading2"/>
        <w:spacing w:after="160" w:before="280"/>
      </w:pPr>
      <w:r>
        <w:rPr>
          <w:rFonts w:ascii="Calibri" w:cs="Calibri" w:eastAsia="Calibri" w:hAnsi="Calibri"/>
        </w:rPr>
        <w:t xml:space="preserve">6.2 Results</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1404"/>
        <w:gridCol w:w="1404"/>
        <w:gridCol w:w="1310"/>
        <w:gridCol w:w="1310"/>
        <w:gridCol w:w="1498"/>
        <w:gridCol w:w="2434"/>
      </w:tblGrid>
      <w:tr>
        <w:trPr>
          <w:tblHeader/>
        </w:trPr>
        <w:tc>
          <w:tcPr>
            <w:tcW w:type="dxa" w:w="1404"/>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Decile</w:t>
            </w:r>
          </w:p>
        </w:tc>
        <w:tc>
          <w:tcPr>
            <w:tcW w:type="dxa" w:w="1404"/>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Win rate</w:t>
            </w:r>
          </w:p>
        </w:tc>
        <w:tc>
          <w:tcPr>
            <w:tcW w:type="dxa" w:w="1310"/>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Stopped</w:t>
            </w:r>
          </w:p>
        </w:tc>
        <w:tc>
          <w:tcPr>
            <w:tcW w:type="dxa" w:w="1310"/>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Avg R</w:t>
            </w:r>
          </w:p>
        </w:tc>
        <w:tc>
          <w:tcPr>
            <w:tcW w:type="dxa" w:w="1498"/>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Median R</w:t>
            </w:r>
          </w:p>
        </w:tc>
        <w:tc>
          <w:tcPr>
            <w:tcW w:type="dxa" w:w="2434"/>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Excess vs SPY</w:t>
            </w:r>
          </w:p>
        </w:tc>
      </w:tr>
      <w:tr>
        <w:tc>
          <w:tcPr>
            <w:tcW w:type="dxa" w:w="1404"/>
            <w:tcMar>
              <w:top w:type="dxa" w:w="50"/>
              <w:left w:type="dxa" w:w="100"/>
              <w:bottom w:type="dxa" w:w="50"/>
              <w:right w:type="dxa" w:w="100"/>
            </w:tcMar>
          </w:tcPr>
          <w:p>
            <w:r>
              <w:rPr>
                <w:rFonts w:ascii="Calibri" w:cs="Calibri" w:eastAsia="Calibri" w:hAnsi="Calibri"/>
                <w:sz w:val="18"/>
                <w:szCs w:val="18"/>
              </w:rPr>
              <w:t xml:space="preserve">D1 (worst)</w:t>
            </w:r>
          </w:p>
        </w:tc>
        <w:tc>
          <w:tcPr>
            <w:tcW w:type="dxa" w:w="1404"/>
            <w:tcMar>
              <w:top w:type="dxa" w:w="50"/>
              <w:left w:type="dxa" w:w="100"/>
              <w:bottom w:type="dxa" w:w="50"/>
              <w:right w:type="dxa" w:w="100"/>
            </w:tcMar>
          </w:tcPr>
          <w:p>
            <w:r>
              <w:rPr>
                <w:rFonts w:ascii="Calibri" w:cs="Calibri" w:eastAsia="Calibri" w:hAnsi="Calibri"/>
                <w:sz w:val="18"/>
                <w:szCs w:val="18"/>
              </w:rPr>
              <w:t xml:space="preserve">51.0%</w:t>
            </w:r>
          </w:p>
        </w:tc>
        <w:tc>
          <w:tcPr>
            <w:tcW w:type="dxa" w:w="1310"/>
            <w:tcMar>
              <w:top w:type="dxa" w:w="50"/>
              <w:left w:type="dxa" w:w="100"/>
              <w:bottom w:type="dxa" w:w="50"/>
              <w:right w:type="dxa" w:w="100"/>
            </w:tcMar>
          </w:tcPr>
          <w:p>
            <w:r>
              <w:rPr>
                <w:rFonts w:ascii="Calibri" w:cs="Calibri" w:eastAsia="Calibri" w:hAnsi="Calibri"/>
                <w:sz w:val="18"/>
                <w:szCs w:val="18"/>
              </w:rPr>
              <w:t xml:space="preserve">21.0%</w:t>
            </w:r>
          </w:p>
        </w:tc>
        <w:tc>
          <w:tcPr>
            <w:tcW w:type="dxa" w:w="1310"/>
            <w:tcMar>
              <w:top w:type="dxa" w:w="50"/>
              <w:left w:type="dxa" w:w="100"/>
              <w:bottom w:type="dxa" w:w="50"/>
              <w:right w:type="dxa" w:w="100"/>
            </w:tcMar>
          </w:tcPr>
          <w:p>
            <w:r>
              <w:rPr>
                <w:rFonts w:ascii="Calibri" w:cs="Calibri" w:eastAsia="Calibri" w:hAnsi="Calibri"/>
                <w:sz w:val="18"/>
                <w:szCs w:val="18"/>
              </w:rPr>
              <w:t xml:space="preserve">+0.8%</w:t>
            </w:r>
          </w:p>
        </w:tc>
        <w:tc>
          <w:tcPr>
            <w:tcW w:type="dxa" w:w="1498"/>
            <w:tcMar>
              <w:top w:type="dxa" w:w="50"/>
              <w:left w:type="dxa" w:w="100"/>
              <w:bottom w:type="dxa" w:w="50"/>
              <w:right w:type="dxa" w:w="100"/>
            </w:tcMar>
          </w:tcPr>
          <w:p>
            <w:r>
              <w:rPr>
                <w:rFonts w:ascii="Calibri" w:cs="Calibri" w:eastAsia="Calibri" w:hAnsi="Calibri"/>
                <w:sz w:val="18"/>
                <w:szCs w:val="18"/>
              </w:rPr>
              <w:t xml:space="preserve">+0.3%</w:t>
            </w:r>
          </w:p>
        </w:tc>
        <w:tc>
          <w:tcPr>
            <w:tcW w:type="dxa" w:w="2434"/>
            <w:tcMar>
              <w:top w:type="dxa" w:w="50"/>
              <w:left w:type="dxa" w:w="100"/>
              <w:bottom w:type="dxa" w:w="50"/>
              <w:right w:type="dxa" w:w="100"/>
            </w:tcMar>
          </w:tcPr>
          <w:p>
            <w:r>
              <w:rPr>
                <w:rFonts w:ascii="Calibri" w:cs="Calibri" w:eastAsia="Calibri" w:hAnsi="Calibri"/>
                <w:sz w:val="18"/>
                <w:szCs w:val="18"/>
              </w:rPr>
              <w:t xml:space="preserve">−0.4%</w:t>
            </w:r>
          </w:p>
        </w:tc>
      </w:tr>
      <w:tr>
        <w:tc>
          <w:tcPr>
            <w:tcW w:type="dxa" w:w="1404"/>
            <w:shd w:fill="F2F2F2" w:val="clear"/>
            <w:tcMar>
              <w:top w:type="dxa" w:w="50"/>
              <w:left w:type="dxa" w:w="100"/>
              <w:bottom w:type="dxa" w:w="50"/>
              <w:right w:type="dxa" w:w="100"/>
            </w:tcMar>
          </w:tcPr>
          <w:p>
            <w:r>
              <w:rPr>
                <w:rFonts w:ascii="Calibri" w:cs="Calibri" w:eastAsia="Calibri" w:hAnsi="Calibri"/>
                <w:sz w:val="18"/>
                <w:szCs w:val="18"/>
              </w:rPr>
              <w:t xml:space="preserve">D5</w:t>
            </w:r>
          </w:p>
        </w:tc>
        <w:tc>
          <w:tcPr>
            <w:tcW w:type="dxa" w:w="1404"/>
            <w:shd w:fill="F2F2F2" w:val="clear"/>
            <w:tcMar>
              <w:top w:type="dxa" w:w="50"/>
              <w:left w:type="dxa" w:w="100"/>
              <w:bottom w:type="dxa" w:w="50"/>
              <w:right w:type="dxa" w:w="100"/>
            </w:tcMar>
          </w:tcPr>
          <w:p>
            <w:r>
              <w:rPr>
                <w:rFonts w:ascii="Calibri" w:cs="Calibri" w:eastAsia="Calibri" w:hAnsi="Calibri"/>
                <w:sz w:val="18"/>
                <w:szCs w:val="18"/>
              </w:rPr>
              <w:t xml:space="preserve">55.5%</w:t>
            </w:r>
          </w:p>
        </w:tc>
        <w:tc>
          <w:tcPr>
            <w:tcW w:type="dxa" w:w="1310"/>
            <w:shd w:fill="F2F2F2" w:val="clear"/>
            <w:tcMar>
              <w:top w:type="dxa" w:w="50"/>
              <w:left w:type="dxa" w:w="100"/>
              <w:bottom w:type="dxa" w:w="50"/>
              <w:right w:type="dxa" w:w="100"/>
            </w:tcMar>
          </w:tcPr>
          <w:p>
            <w:r>
              <w:rPr>
                <w:rFonts w:ascii="Calibri" w:cs="Calibri" w:eastAsia="Calibri" w:hAnsi="Calibri"/>
                <w:sz w:val="18"/>
                <w:szCs w:val="18"/>
              </w:rPr>
              <w:t xml:space="preserve">23.8%</w:t>
            </w:r>
          </w:p>
        </w:tc>
        <w:tc>
          <w:tcPr>
            <w:tcW w:type="dxa" w:w="1310"/>
            <w:shd w:fill="F2F2F2" w:val="clear"/>
            <w:tcMar>
              <w:top w:type="dxa" w:w="50"/>
              <w:left w:type="dxa" w:w="100"/>
              <w:bottom w:type="dxa" w:w="50"/>
              <w:right w:type="dxa" w:w="100"/>
            </w:tcMar>
          </w:tcPr>
          <w:p>
            <w:r>
              <w:rPr>
                <w:rFonts w:ascii="Calibri" w:cs="Calibri" w:eastAsia="Calibri" w:hAnsi="Calibri"/>
                <w:sz w:val="18"/>
                <w:szCs w:val="18"/>
              </w:rPr>
              <w:t xml:space="preserve">+3.1%</w:t>
            </w:r>
          </w:p>
        </w:tc>
        <w:tc>
          <w:tcPr>
            <w:tcW w:type="dxa" w:w="1498"/>
            <w:shd w:fill="F2F2F2" w:val="clear"/>
            <w:tcMar>
              <w:top w:type="dxa" w:w="50"/>
              <w:left w:type="dxa" w:w="100"/>
              <w:bottom w:type="dxa" w:w="50"/>
              <w:right w:type="dxa" w:w="100"/>
            </w:tcMar>
          </w:tcPr>
          <w:p>
            <w:r>
              <w:rPr>
                <w:rFonts w:ascii="Calibri" w:cs="Calibri" w:eastAsia="Calibri" w:hAnsi="Calibri"/>
                <w:sz w:val="18"/>
                <w:szCs w:val="18"/>
              </w:rPr>
              <w:t xml:space="preserve">+2.1%</w:t>
            </w:r>
          </w:p>
        </w:tc>
        <w:tc>
          <w:tcPr>
            <w:tcW w:type="dxa" w:w="2434"/>
            <w:shd w:fill="F2F2F2" w:val="clear"/>
            <w:tcMar>
              <w:top w:type="dxa" w:w="50"/>
              <w:left w:type="dxa" w:w="100"/>
              <w:bottom w:type="dxa" w:w="50"/>
              <w:right w:type="dxa" w:w="100"/>
            </w:tcMar>
          </w:tcPr>
          <w:p>
            <w:r>
              <w:rPr>
                <w:rFonts w:ascii="Calibri" w:cs="Calibri" w:eastAsia="Calibri" w:hAnsi="Calibri"/>
                <w:sz w:val="18"/>
                <w:szCs w:val="18"/>
              </w:rPr>
              <w:t xml:space="preserve">−0.2%</w:t>
            </w:r>
          </w:p>
        </w:tc>
      </w:tr>
      <w:tr>
        <w:tc>
          <w:tcPr>
            <w:tcW w:type="dxa" w:w="1404"/>
            <w:tcMar>
              <w:top w:type="dxa" w:w="50"/>
              <w:left w:type="dxa" w:w="100"/>
              <w:bottom w:type="dxa" w:w="50"/>
              <w:right w:type="dxa" w:w="100"/>
            </w:tcMar>
          </w:tcPr>
          <w:p>
            <w:r>
              <w:rPr>
                <w:rFonts w:ascii="Calibri" w:cs="Calibri" w:eastAsia="Calibri" w:hAnsi="Calibri"/>
                <w:sz w:val="18"/>
                <w:szCs w:val="18"/>
              </w:rPr>
              <w:t xml:space="preserve">D6</w:t>
            </w:r>
          </w:p>
        </w:tc>
        <w:tc>
          <w:tcPr>
            <w:tcW w:type="dxa" w:w="1404"/>
            <w:tcMar>
              <w:top w:type="dxa" w:w="50"/>
              <w:left w:type="dxa" w:w="100"/>
              <w:bottom w:type="dxa" w:w="50"/>
              <w:right w:type="dxa" w:w="100"/>
            </w:tcMar>
          </w:tcPr>
          <w:p>
            <w:r>
              <w:rPr>
                <w:rFonts w:ascii="Calibri" w:cs="Calibri" w:eastAsia="Calibri" w:hAnsi="Calibri"/>
                <w:sz w:val="18"/>
                <w:szCs w:val="18"/>
              </w:rPr>
              <w:t xml:space="preserve">56.0%</w:t>
            </w:r>
          </w:p>
        </w:tc>
        <w:tc>
          <w:tcPr>
            <w:tcW w:type="dxa" w:w="1310"/>
            <w:tcMar>
              <w:top w:type="dxa" w:w="50"/>
              <w:left w:type="dxa" w:w="100"/>
              <w:bottom w:type="dxa" w:w="50"/>
              <w:right w:type="dxa" w:w="100"/>
            </w:tcMar>
          </w:tcPr>
          <w:p>
            <w:r>
              <w:rPr>
                <w:rFonts w:ascii="Calibri" w:cs="Calibri" w:eastAsia="Calibri" w:hAnsi="Calibri"/>
                <w:sz w:val="18"/>
                <w:szCs w:val="18"/>
              </w:rPr>
              <w:t xml:space="preserve">24.7%</w:t>
            </w:r>
          </w:p>
        </w:tc>
        <w:tc>
          <w:tcPr>
            <w:tcW w:type="dxa" w:w="1310"/>
            <w:tcMar>
              <w:top w:type="dxa" w:w="50"/>
              <w:left w:type="dxa" w:w="100"/>
              <w:bottom w:type="dxa" w:w="50"/>
              <w:right w:type="dxa" w:w="100"/>
            </w:tcMar>
          </w:tcPr>
          <w:p>
            <w:r>
              <w:rPr>
                <w:rFonts w:ascii="Calibri" w:cs="Calibri" w:eastAsia="Calibri" w:hAnsi="Calibri"/>
                <w:sz w:val="18"/>
                <w:szCs w:val="18"/>
              </w:rPr>
              <w:t xml:space="preserve">+3.6%</w:t>
            </w:r>
          </w:p>
        </w:tc>
        <w:tc>
          <w:tcPr>
            <w:tcW w:type="dxa" w:w="1498"/>
            <w:tcMar>
              <w:top w:type="dxa" w:w="50"/>
              <w:left w:type="dxa" w:w="100"/>
              <w:bottom w:type="dxa" w:w="50"/>
              <w:right w:type="dxa" w:w="100"/>
            </w:tcMar>
          </w:tcPr>
          <w:p>
            <w:r>
              <w:rPr>
                <w:rFonts w:ascii="Calibri" w:cs="Calibri" w:eastAsia="Calibri" w:hAnsi="Calibri"/>
                <w:sz w:val="18"/>
                <w:szCs w:val="18"/>
              </w:rPr>
              <w:t xml:space="preserve">+2.4%</w:t>
            </w:r>
          </w:p>
        </w:tc>
        <w:tc>
          <w:tcPr>
            <w:tcW w:type="dxa" w:w="2434"/>
            <w:tcMar>
              <w:top w:type="dxa" w:w="50"/>
              <w:left w:type="dxa" w:w="100"/>
              <w:bottom w:type="dxa" w:w="50"/>
              <w:right w:type="dxa" w:w="100"/>
            </w:tcMar>
          </w:tcPr>
          <w:p>
            <w:r>
              <w:rPr>
                <w:rFonts w:ascii="Calibri" w:cs="Calibri" w:eastAsia="Calibri" w:hAnsi="Calibri"/>
                <w:sz w:val="18"/>
                <w:szCs w:val="18"/>
              </w:rPr>
              <w:t xml:space="preserve">+0.0%</w:t>
            </w:r>
          </w:p>
        </w:tc>
      </w:tr>
      <w:tr>
        <w:tc>
          <w:tcPr>
            <w:tcW w:type="dxa" w:w="1404"/>
            <w:shd w:fill="F2F2F2" w:val="clear"/>
            <w:tcMar>
              <w:top w:type="dxa" w:w="50"/>
              <w:left w:type="dxa" w:w="100"/>
              <w:bottom w:type="dxa" w:w="50"/>
              <w:right w:type="dxa" w:w="100"/>
            </w:tcMar>
          </w:tcPr>
          <w:p>
            <w:r>
              <w:rPr>
                <w:rFonts w:ascii="Calibri" w:cs="Calibri" w:eastAsia="Calibri" w:hAnsi="Calibri"/>
                <w:sz w:val="18"/>
                <w:szCs w:val="18"/>
              </w:rPr>
              <w:t xml:space="preserve">D8</w:t>
            </w:r>
          </w:p>
        </w:tc>
        <w:tc>
          <w:tcPr>
            <w:tcW w:type="dxa" w:w="1404"/>
            <w:shd w:fill="F2F2F2" w:val="clear"/>
            <w:tcMar>
              <w:top w:type="dxa" w:w="50"/>
              <w:left w:type="dxa" w:w="100"/>
              <w:bottom w:type="dxa" w:w="50"/>
              <w:right w:type="dxa" w:w="100"/>
            </w:tcMar>
          </w:tcPr>
          <w:p>
            <w:r>
              <w:rPr>
                <w:rFonts w:ascii="Calibri" w:cs="Calibri" w:eastAsia="Calibri" w:hAnsi="Calibri"/>
                <w:sz w:val="18"/>
                <w:szCs w:val="18"/>
              </w:rPr>
              <w:t xml:space="preserve">54.1%</w:t>
            </w:r>
          </w:p>
        </w:tc>
        <w:tc>
          <w:tcPr>
            <w:tcW w:type="dxa" w:w="1310"/>
            <w:shd w:fill="F2F2F2" w:val="clear"/>
            <w:tcMar>
              <w:top w:type="dxa" w:w="50"/>
              <w:left w:type="dxa" w:w="100"/>
              <w:bottom w:type="dxa" w:w="50"/>
              <w:right w:type="dxa" w:w="100"/>
            </w:tcMar>
          </w:tcPr>
          <w:p>
            <w:r>
              <w:rPr>
                <w:rFonts w:ascii="Calibri" w:cs="Calibri" w:eastAsia="Calibri" w:hAnsi="Calibri"/>
                <w:sz w:val="18"/>
                <w:szCs w:val="18"/>
              </w:rPr>
              <w:t xml:space="preserve">31.1%</w:t>
            </w:r>
          </w:p>
        </w:tc>
        <w:tc>
          <w:tcPr>
            <w:tcW w:type="dxa" w:w="1310"/>
            <w:shd w:fill="F2F2F2" w:val="clear"/>
            <w:tcMar>
              <w:top w:type="dxa" w:w="50"/>
              <w:left w:type="dxa" w:w="100"/>
              <w:bottom w:type="dxa" w:w="50"/>
              <w:right w:type="dxa" w:w="100"/>
            </w:tcMar>
          </w:tcPr>
          <w:p>
            <w:r>
              <w:rPr>
                <w:rFonts w:ascii="Calibri" w:cs="Calibri" w:eastAsia="Calibri" w:hAnsi="Calibri"/>
                <w:sz w:val="18"/>
                <w:szCs w:val="18"/>
              </w:rPr>
              <w:t xml:space="preserve">+4.5%</w:t>
            </w:r>
          </w:p>
        </w:tc>
        <w:tc>
          <w:tcPr>
            <w:tcW w:type="dxa" w:w="1498"/>
            <w:shd w:fill="F2F2F2" w:val="clear"/>
            <w:tcMar>
              <w:top w:type="dxa" w:w="50"/>
              <w:left w:type="dxa" w:w="100"/>
              <w:bottom w:type="dxa" w:w="50"/>
              <w:right w:type="dxa" w:w="100"/>
            </w:tcMar>
          </w:tcPr>
          <w:p>
            <w:r>
              <w:rPr>
                <w:rFonts w:ascii="Calibri" w:cs="Calibri" w:eastAsia="Calibri" w:hAnsi="Calibri"/>
                <w:sz w:val="18"/>
                <w:szCs w:val="18"/>
              </w:rPr>
              <w:t xml:space="preserve">+2.1%</w:t>
            </w:r>
          </w:p>
        </w:tc>
        <w:tc>
          <w:tcPr>
            <w:tcW w:type="dxa" w:w="2434"/>
            <w:shd w:fill="F2F2F2" w:val="clear"/>
            <w:tcMar>
              <w:top w:type="dxa" w:w="50"/>
              <w:left w:type="dxa" w:w="100"/>
              <w:bottom w:type="dxa" w:w="50"/>
              <w:right w:type="dxa" w:w="100"/>
            </w:tcMar>
          </w:tcPr>
          <w:p>
            <w:r>
              <w:rPr>
                <w:rFonts w:ascii="Calibri" w:cs="Calibri" w:eastAsia="Calibri" w:hAnsi="Calibri"/>
                <w:sz w:val="18"/>
                <w:szCs w:val="18"/>
              </w:rPr>
              <w:t xml:space="preserve">+0.9%</w:t>
            </w:r>
          </w:p>
        </w:tc>
      </w:tr>
      <w:tr>
        <w:tc>
          <w:tcPr>
            <w:tcW w:type="dxa" w:w="1404"/>
            <w:tcMar>
              <w:top w:type="dxa" w:w="50"/>
              <w:left w:type="dxa" w:w="100"/>
              <w:bottom w:type="dxa" w:w="50"/>
              <w:right w:type="dxa" w:w="100"/>
            </w:tcMar>
          </w:tcPr>
          <w:p>
            <w:r>
              <w:rPr>
                <w:rFonts w:ascii="Calibri" w:cs="Calibri" w:eastAsia="Calibri" w:hAnsi="Calibri"/>
                <w:sz w:val="18"/>
                <w:szCs w:val="18"/>
              </w:rPr>
              <w:t xml:space="preserve">D9</w:t>
            </w:r>
          </w:p>
        </w:tc>
        <w:tc>
          <w:tcPr>
            <w:tcW w:type="dxa" w:w="1404"/>
            <w:tcMar>
              <w:top w:type="dxa" w:w="50"/>
              <w:left w:type="dxa" w:w="100"/>
              <w:bottom w:type="dxa" w:w="50"/>
              <w:right w:type="dxa" w:w="100"/>
            </w:tcMar>
          </w:tcPr>
          <w:p>
            <w:r>
              <w:rPr>
                <w:rFonts w:ascii="Calibri" w:cs="Calibri" w:eastAsia="Calibri" w:hAnsi="Calibri"/>
                <w:sz w:val="18"/>
                <w:szCs w:val="18"/>
              </w:rPr>
              <w:t xml:space="preserve">51.5%</w:t>
            </w:r>
          </w:p>
        </w:tc>
        <w:tc>
          <w:tcPr>
            <w:tcW w:type="dxa" w:w="1310"/>
            <w:tcMar>
              <w:top w:type="dxa" w:w="50"/>
              <w:left w:type="dxa" w:w="100"/>
              <w:bottom w:type="dxa" w:w="50"/>
              <w:right w:type="dxa" w:w="100"/>
            </w:tcMar>
          </w:tcPr>
          <w:p>
            <w:r>
              <w:rPr>
                <w:rFonts w:ascii="Calibri" w:cs="Calibri" w:eastAsia="Calibri" w:hAnsi="Calibri"/>
                <w:sz w:val="18"/>
                <w:szCs w:val="18"/>
              </w:rPr>
              <w:t xml:space="preserve">36.9%</w:t>
            </w:r>
          </w:p>
        </w:tc>
        <w:tc>
          <w:tcPr>
            <w:tcW w:type="dxa" w:w="1310"/>
            <w:tcMar>
              <w:top w:type="dxa" w:w="50"/>
              <w:left w:type="dxa" w:w="100"/>
              <w:bottom w:type="dxa" w:w="50"/>
              <w:right w:type="dxa" w:w="100"/>
            </w:tcMar>
          </w:tcPr>
          <w:p>
            <w:r>
              <w:rPr>
                <w:rFonts w:ascii="Calibri" w:cs="Calibri" w:eastAsia="Calibri" w:hAnsi="Calibri"/>
                <w:sz w:val="18"/>
                <w:szCs w:val="18"/>
              </w:rPr>
              <w:t xml:space="preserve">+5.3%</w:t>
            </w:r>
          </w:p>
        </w:tc>
        <w:tc>
          <w:tcPr>
            <w:tcW w:type="dxa" w:w="1498"/>
            <w:tcMar>
              <w:top w:type="dxa" w:w="50"/>
              <w:left w:type="dxa" w:w="100"/>
              <w:bottom w:type="dxa" w:w="50"/>
              <w:right w:type="dxa" w:w="100"/>
            </w:tcMar>
          </w:tcPr>
          <w:p>
            <w:r>
              <w:rPr>
                <w:rFonts w:ascii="Calibri" w:cs="Calibri" w:eastAsia="Calibri" w:hAnsi="Calibri"/>
                <w:sz w:val="18"/>
                <w:szCs w:val="18"/>
              </w:rPr>
              <w:t xml:space="preserve">+1.0%</w:t>
            </w:r>
          </w:p>
        </w:tc>
        <w:tc>
          <w:tcPr>
            <w:tcW w:type="dxa" w:w="2434"/>
            <w:tcMar>
              <w:top w:type="dxa" w:w="50"/>
              <w:left w:type="dxa" w:w="100"/>
              <w:bottom w:type="dxa" w:w="50"/>
              <w:right w:type="dxa" w:w="100"/>
            </w:tcMar>
          </w:tcPr>
          <w:p>
            <w:r>
              <w:rPr>
                <w:rFonts w:ascii="Calibri" w:cs="Calibri" w:eastAsia="Calibri" w:hAnsi="Calibri"/>
                <w:sz w:val="18"/>
                <w:szCs w:val="18"/>
              </w:rPr>
              <w:t xml:space="preserve">+1.4%</w:t>
            </w:r>
          </w:p>
        </w:tc>
      </w:tr>
      <w:tr>
        <w:tc>
          <w:tcPr>
            <w:tcW w:type="dxa" w:w="1404"/>
            <w:shd w:fill="F2F2F2" w:val="clear"/>
            <w:tcMar>
              <w:top w:type="dxa" w:w="50"/>
              <w:left w:type="dxa" w:w="100"/>
              <w:bottom w:type="dxa" w:w="50"/>
              <w:right w:type="dxa" w:w="100"/>
            </w:tcMar>
          </w:tcPr>
          <w:p>
            <w:r>
              <w:rPr>
                <w:rFonts w:ascii="Calibri" w:cs="Calibri" w:eastAsia="Calibri" w:hAnsi="Calibri"/>
                <w:sz w:val="18"/>
                <w:szCs w:val="18"/>
              </w:rPr>
              <w:t xml:space="preserve">D10 (best)</w:t>
            </w:r>
          </w:p>
        </w:tc>
        <w:tc>
          <w:tcPr>
            <w:tcW w:type="dxa" w:w="1404"/>
            <w:shd w:fill="F2F2F2" w:val="clear"/>
            <w:tcMar>
              <w:top w:type="dxa" w:w="50"/>
              <w:left w:type="dxa" w:w="100"/>
              <w:bottom w:type="dxa" w:w="50"/>
              <w:right w:type="dxa" w:w="100"/>
            </w:tcMar>
          </w:tcPr>
          <w:p>
            <w:r>
              <w:rPr>
                <w:rFonts w:ascii="Calibri" w:cs="Calibri" w:eastAsia="Calibri" w:hAnsi="Calibri"/>
                <w:sz w:val="18"/>
                <w:szCs w:val="18"/>
              </w:rPr>
              <w:t xml:space="preserve">43.0%</w:t>
            </w:r>
          </w:p>
        </w:tc>
        <w:tc>
          <w:tcPr>
            <w:tcW w:type="dxa" w:w="1310"/>
            <w:shd w:fill="F2F2F2" w:val="clear"/>
            <w:tcMar>
              <w:top w:type="dxa" w:w="50"/>
              <w:left w:type="dxa" w:w="100"/>
              <w:bottom w:type="dxa" w:w="50"/>
              <w:right w:type="dxa" w:w="100"/>
            </w:tcMar>
          </w:tcPr>
          <w:p>
            <w:r>
              <w:rPr>
                <w:rFonts w:ascii="Calibri" w:cs="Calibri" w:eastAsia="Calibri" w:hAnsi="Calibri"/>
                <w:sz w:val="18"/>
                <w:szCs w:val="18"/>
              </w:rPr>
              <w:t xml:space="preserve">50.3%</w:t>
            </w:r>
          </w:p>
        </w:tc>
        <w:tc>
          <w:tcPr>
            <w:tcW w:type="dxa" w:w="1310"/>
            <w:shd w:fill="F2F2F2" w:val="clear"/>
            <w:tcMar>
              <w:top w:type="dxa" w:w="50"/>
              <w:left w:type="dxa" w:w="100"/>
              <w:bottom w:type="dxa" w:w="50"/>
              <w:right w:type="dxa" w:w="100"/>
            </w:tcMar>
          </w:tcPr>
          <w:p>
            <w:r>
              <w:rPr>
                <w:rFonts w:ascii="Calibri" w:cs="Calibri" w:eastAsia="Calibri" w:hAnsi="Calibri"/>
                <w:sz w:val="18"/>
                <w:szCs w:val="18"/>
              </w:rPr>
              <w:t xml:space="preserve">+7.1%</w:t>
            </w:r>
          </w:p>
        </w:tc>
        <w:tc>
          <w:tcPr>
            <w:tcW w:type="dxa" w:w="1498"/>
            <w:shd w:fill="F2F2F2" w:val="clear"/>
            <w:tcMar>
              <w:top w:type="dxa" w:w="50"/>
              <w:left w:type="dxa" w:w="100"/>
              <w:bottom w:type="dxa" w:w="50"/>
              <w:right w:type="dxa" w:w="100"/>
            </w:tcMar>
          </w:tcPr>
          <w:p>
            <w:r>
              <w:rPr>
                <w:rFonts w:ascii="Calibri" w:cs="Calibri" w:eastAsia="Calibri" w:hAnsi="Calibri"/>
                <w:sz w:val="18"/>
                <w:szCs w:val="18"/>
              </w:rPr>
              <w:t xml:space="preserve">−15.0%</w:t>
            </w:r>
          </w:p>
        </w:tc>
        <w:tc>
          <w:tcPr>
            <w:tcW w:type="dxa" w:w="2434"/>
            <w:shd w:fill="F2F2F2" w:val="clear"/>
            <w:tcMar>
              <w:top w:type="dxa" w:w="50"/>
              <w:left w:type="dxa" w:w="100"/>
              <w:bottom w:type="dxa" w:w="50"/>
              <w:right w:type="dxa" w:w="100"/>
            </w:tcMar>
          </w:tcPr>
          <w:p>
            <w:r>
              <w:rPr>
                <w:rFonts w:ascii="Calibri" w:cs="Calibri" w:eastAsia="Calibri" w:hAnsi="Calibri"/>
                <w:sz w:val="18"/>
                <w:szCs w:val="18"/>
              </w:rPr>
              <w:t xml:space="preserve">+5.2%</w:t>
            </w:r>
          </w:p>
        </w:tc>
      </w:tr>
    </w:tbl>
    <w:p>
      <w:pPr>
        <w:spacing w:after="240" w:before="60"/>
      </w:pPr>
      <w:r>
        <w:rPr>
          <w:rFonts w:ascii="Calibri" w:cs="Calibri" w:eastAsia="Calibri" w:hAnsi="Calibri"/>
          <w:i/>
          <w:iCs/>
          <w:color w:val="555555"/>
          <w:sz w:val="18"/>
          <w:szCs w:val="18"/>
        </w:rPr>
        <w:t xml:space="preserve">Table 5. Out-of-sample score deciles under real stops (185,385 test bars). Average R is perfectly monotonic; win rate is not.</w:t>
      </w:r>
    </w:p>
    <w:p>
      <w:pPr>
        <w:spacing w:after="160" w:line="276"/>
        <w:jc w:val="both"/>
      </w:pPr>
      <w:r>
        <w:rPr>
          <w:rFonts w:ascii="Calibri" w:cs="Calibri" w:eastAsia="Calibri" w:hAnsi="Calibri"/>
          <w:sz w:val="22"/>
          <w:szCs w:val="22"/>
        </w:rPr>
        <w:t xml:space="preserve">The average outcome rises monotonically across deciles — the model ranks expected value correctly — but D10's economics are violent: half its trades hit the stop (double the base rate) and its median outcome IS the stop. The overall rank IC was ≈0 (positive only in 2020): the edge lives entirely in the extremes, not in ordering the middle of the market. Notably, zero MEGA-cap trades reached the top quintile — the score systematically selects volatile names. Exit-rule tests on top-quintile trades: banking profits at +10% raised the win rate from 47% to 66% but cut the average from +6.2% to +1.8% per trade; every fixed profit target destroyed expectancy by selling the +40% winners that fund the strategy. Give-back was nonetheless real: 74% of trades touched +10% at some point, including 56% of eventual losers.</w:t>
      </w:r>
    </w:p>
    <w:p>
      <w:pPr>
        <w:spacing w:after="160" w:line="276"/>
        <w:jc w:val="both"/>
      </w:pPr>
      <w:r>
        <w:rPr>
          <w:rFonts w:ascii="Calibri" w:cs="Calibri" w:eastAsia="Calibri" w:hAnsi="Calibri"/>
          <w:sz w:val="22"/>
          <w:szCs w:val="22"/>
        </w:rPr>
        <w:t xml:space="preserve">Stable weights (the operational scorecard): high52_prox −2.2, dist_200dma +1.3, spy_regime −1.1, mom_6mo +1.1, qqe −1.0, rs_8wk +0.6, hull +0.6, then ±0.5-class contributions (vidya −0.3, tmo −0.3, supertrend_slow +0.3, volstop −0.3, rel_volume −0.2, fisher +0.2). Fisher and VWAP — the hand system's anchors — remained near zero.</w:t>
      </w:r>
    </w:p>
    <w:p>
      <w:pPr>
        <w:pStyle w:val="Heading1"/>
        <w:spacing w:after="200" w:before="360"/>
      </w:pPr>
      <w:r>
        <w:rPr>
          <w:rFonts w:ascii="Calibri" w:cs="Calibri" w:eastAsia="Calibri" w:hAnsi="Calibri"/>
        </w:rPr>
        <w:t xml:space="preserve">7. Study 4 — Base Breakout: ≥30% Off the High, Reclaiming the 50-Day SMA</w:t>
      </w:r>
    </w:p>
    <w:p>
      <w:pPr>
        <w:pStyle w:val="Heading2"/>
        <w:spacing w:after="160" w:before="280"/>
      </w:pPr>
      <w:r>
        <w:rPr>
          <w:rFonts w:ascii="Calibri" w:cs="Calibri" w:eastAsia="Calibri" w:hAnsi="Calibri"/>
        </w:rPr>
        <w:t xml:space="preserve">7.1 Design</w:t>
      </w:r>
    </w:p>
    <w:p>
      <w:pPr>
        <w:spacing w:after="160" w:line="276"/>
        <w:jc w:val="both"/>
      </w:pPr>
      <w:r>
        <w:rPr>
          <w:rFonts w:ascii="Calibri" w:cs="Calibri" w:eastAsia="Calibri" w:hAnsi="Calibri"/>
          <w:sz w:val="22"/>
          <w:szCs w:val="22"/>
        </w:rPr>
        <w:t xml:space="preserve">A refined crash-recovery entry (Weinstein Stage-2 style): close ≥30% below the 52-week high; at least 60% of the prior 30 days spent below the 50-day SMA (a genuine base); and a cross above the 50-day SMA within the last 5 days. 4,053 signals over ten years (~400/year across the universe), evaluated under the tiered stops.</w:t>
      </w:r>
    </w:p>
    <w:p>
      <w:pPr>
        <w:pStyle w:val="Heading2"/>
        <w:spacing w:after="160" w:before="280"/>
      </w:pPr>
      <w:r>
        <w:rPr>
          <w:rFonts w:ascii="Calibri" w:cs="Calibri" w:eastAsia="Calibri" w:hAnsi="Calibri"/>
        </w:rPr>
        <w:t xml:space="preserve">7.2 Results</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3744"/>
        <w:gridCol w:w="2995"/>
        <w:gridCol w:w="2621"/>
      </w:tblGrid>
      <w:tr>
        <w:trPr>
          <w:tblHeader/>
        </w:trPr>
        <w:tc>
          <w:tcPr>
            <w:tcW w:type="dxa" w:w="3744"/>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Metric</w:t>
            </w:r>
          </w:p>
        </w:tc>
        <w:tc>
          <w:tcPr>
            <w:tcW w:type="dxa" w:w="2995"/>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Base-breakout signals</w:t>
            </w:r>
          </w:p>
        </w:tc>
        <w:tc>
          <w:tcPr>
            <w:tcW w:type="dxa" w:w="2621"/>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All bars</w:t>
            </w:r>
          </w:p>
        </w:tc>
      </w:tr>
      <w:tr>
        <w:tc>
          <w:tcPr>
            <w:tcW w:type="dxa" w:w="3744"/>
            <w:tcMar>
              <w:top w:type="dxa" w:w="50"/>
              <w:left w:type="dxa" w:w="100"/>
              <w:bottom w:type="dxa" w:w="50"/>
              <w:right w:type="dxa" w:w="100"/>
            </w:tcMar>
          </w:tcPr>
          <w:p>
            <w:r>
              <w:rPr>
                <w:rFonts w:ascii="Calibri" w:cs="Calibri" w:eastAsia="Calibri" w:hAnsi="Calibri"/>
                <w:sz w:val="18"/>
                <w:szCs w:val="18"/>
              </w:rPr>
              <w:t xml:space="preserve">Win rate (R &gt; 0)</w:t>
            </w:r>
          </w:p>
        </w:tc>
        <w:tc>
          <w:tcPr>
            <w:tcW w:type="dxa" w:w="2995"/>
            <w:tcMar>
              <w:top w:type="dxa" w:w="50"/>
              <w:left w:type="dxa" w:w="100"/>
              <w:bottom w:type="dxa" w:w="50"/>
              <w:right w:type="dxa" w:w="100"/>
            </w:tcMar>
          </w:tcPr>
          <w:p>
            <w:r>
              <w:rPr>
                <w:rFonts w:ascii="Calibri" w:cs="Calibri" w:eastAsia="Calibri" w:hAnsi="Calibri"/>
                <w:sz w:val="18"/>
                <w:szCs w:val="18"/>
              </w:rPr>
              <w:t xml:space="preserve">45.3%</w:t>
            </w:r>
          </w:p>
        </w:tc>
        <w:tc>
          <w:tcPr>
            <w:tcW w:type="dxa" w:w="2621"/>
            <w:tcMar>
              <w:top w:type="dxa" w:w="50"/>
              <w:left w:type="dxa" w:w="100"/>
              <w:bottom w:type="dxa" w:w="50"/>
              <w:right w:type="dxa" w:w="100"/>
            </w:tcMar>
          </w:tcPr>
          <w:p>
            <w:r>
              <w:rPr>
                <w:rFonts w:ascii="Calibri" w:cs="Calibri" w:eastAsia="Calibri" w:hAnsi="Calibri"/>
                <w:sz w:val="18"/>
                <w:szCs w:val="18"/>
              </w:rPr>
              <w:t xml:space="preserve">54.6%</w:t>
            </w:r>
          </w:p>
        </w:tc>
      </w:tr>
      <w:tr>
        <w:tc>
          <w:tcPr>
            <w:tcW w:type="dxa" w:w="3744"/>
            <w:shd w:fill="F2F2F2" w:val="clear"/>
            <w:tcMar>
              <w:top w:type="dxa" w:w="50"/>
              <w:left w:type="dxa" w:w="100"/>
              <w:bottom w:type="dxa" w:w="50"/>
              <w:right w:type="dxa" w:w="100"/>
            </w:tcMar>
          </w:tcPr>
          <w:p>
            <w:r>
              <w:rPr>
                <w:rFonts w:ascii="Calibri" w:cs="Calibri" w:eastAsia="Calibri" w:hAnsi="Calibri"/>
                <w:sz w:val="18"/>
                <w:szCs w:val="18"/>
              </w:rPr>
              <w:t xml:space="preserve">Stopped out</w:t>
            </w:r>
          </w:p>
        </w:tc>
        <w:tc>
          <w:tcPr>
            <w:tcW w:type="dxa" w:w="2995"/>
            <w:shd w:fill="F2F2F2" w:val="clear"/>
            <w:tcMar>
              <w:top w:type="dxa" w:w="50"/>
              <w:left w:type="dxa" w:w="100"/>
              <w:bottom w:type="dxa" w:w="50"/>
              <w:right w:type="dxa" w:w="100"/>
            </w:tcMar>
          </w:tcPr>
          <w:p>
            <w:r>
              <w:rPr>
                <w:rFonts w:ascii="Calibri" w:cs="Calibri" w:eastAsia="Calibri" w:hAnsi="Calibri"/>
                <w:sz w:val="18"/>
                <w:szCs w:val="18"/>
              </w:rPr>
              <w:t xml:space="preserve">45.7%</w:t>
            </w:r>
          </w:p>
        </w:tc>
        <w:tc>
          <w:tcPr>
            <w:tcW w:type="dxa" w:w="2621"/>
            <w:shd w:fill="F2F2F2" w:val="clear"/>
            <w:tcMar>
              <w:top w:type="dxa" w:w="50"/>
              <w:left w:type="dxa" w:w="100"/>
              <w:bottom w:type="dxa" w:w="50"/>
              <w:right w:type="dxa" w:w="100"/>
            </w:tcMar>
          </w:tcPr>
          <w:p>
            <w:r>
              <w:rPr>
                <w:rFonts w:ascii="Calibri" w:cs="Calibri" w:eastAsia="Calibri" w:hAnsi="Calibri"/>
                <w:sz w:val="18"/>
                <w:szCs w:val="18"/>
              </w:rPr>
              <w:t xml:space="preserve">25.8%</w:t>
            </w:r>
          </w:p>
        </w:tc>
      </w:tr>
      <w:tr>
        <w:tc>
          <w:tcPr>
            <w:tcW w:type="dxa" w:w="3744"/>
            <w:tcMar>
              <w:top w:type="dxa" w:w="50"/>
              <w:left w:type="dxa" w:w="100"/>
              <w:bottom w:type="dxa" w:w="50"/>
              <w:right w:type="dxa" w:w="100"/>
            </w:tcMar>
          </w:tcPr>
          <w:p>
            <w:r>
              <w:rPr>
                <w:rFonts w:ascii="Calibri" w:cs="Calibri" w:eastAsia="Calibri" w:hAnsi="Calibri"/>
                <w:sz w:val="18"/>
                <w:szCs w:val="18"/>
              </w:rPr>
              <w:t xml:space="preserve">Average R</w:t>
            </w:r>
          </w:p>
        </w:tc>
        <w:tc>
          <w:tcPr>
            <w:tcW w:type="dxa" w:w="2995"/>
            <w:tcMar>
              <w:top w:type="dxa" w:w="50"/>
              <w:left w:type="dxa" w:w="100"/>
              <w:bottom w:type="dxa" w:w="50"/>
              <w:right w:type="dxa" w:w="100"/>
            </w:tcMar>
          </w:tcPr>
          <w:p>
            <w:r>
              <w:rPr>
                <w:rFonts w:ascii="Calibri" w:cs="Calibri" w:eastAsia="Calibri" w:hAnsi="Calibri"/>
                <w:sz w:val="18"/>
                <w:szCs w:val="18"/>
              </w:rPr>
              <w:t xml:space="preserve">+5.1%</w:t>
            </w:r>
          </w:p>
        </w:tc>
        <w:tc>
          <w:tcPr>
            <w:tcW w:type="dxa" w:w="2621"/>
            <w:tcMar>
              <w:top w:type="dxa" w:w="50"/>
              <w:left w:type="dxa" w:w="100"/>
              <w:bottom w:type="dxa" w:w="50"/>
              <w:right w:type="dxa" w:w="100"/>
            </w:tcMar>
          </w:tcPr>
          <w:p>
            <w:r>
              <w:rPr>
                <w:rFonts w:ascii="Calibri" w:cs="Calibri" w:eastAsia="Calibri" w:hAnsi="Calibri"/>
                <w:sz w:val="18"/>
                <w:szCs w:val="18"/>
              </w:rPr>
              <w:t xml:space="preserve">+3.3%</w:t>
            </w:r>
          </w:p>
        </w:tc>
      </w:tr>
      <w:tr>
        <w:tc>
          <w:tcPr>
            <w:tcW w:type="dxa" w:w="3744"/>
            <w:shd w:fill="F2F2F2" w:val="clear"/>
            <w:tcMar>
              <w:top w:type="dxa" w:w="50"/>
              <w:left w:type="dxa" w:w="100"/>
              <w:bottom w:type="dxa" w:w="50"/>
              <w:right w:type="dxa" w:w="100"/>
            </w:tcMar>
          </w:tcPr>
          <w:p>
            <w:r>
              <w:rPr>
                <w:rFonts w:ascii="Calibri" w:cs="Calibri" w:eastAsia="Calibri" w:hAnsi="Calibri"/>
                <w:sz w:val="18"/>
                <w:szCs w:val="18"/>
              </w:rPr>
              <w:t xml:space="preserve">Median R</w:t>
            </w:r>
          </w:p>
        </w:tc>
        <w:tc>
          <w:tcPr>
            <w:tcW w:type="dxa" w:w="2995"/>
            <w:shd w:fill="F2F2F2" w:val="clear"/>
            <w:tcMar>
              <w:top w:type="dxa" w:w="50"/>
              <w:left w:type="dxa" w:w="100"/>
              <w:bottom w:type="dxa" w:w="50"/>
              <w:right w:type="dxa" w:w="100"/>
            </w:tcMar>
          </w:tcPr>
          <w:p>
            <w:r>
              <w:rPr>
                <w:rFonts w:ascii="Calibri" w:cs="Calibri" w:eastAsia="Calibri" w:hAnsi="Calibri"/>
                <w:sz w:val="18"/>
                <w:szCs w:val="18"/>
              </w:rPr>
              <w:t xml:space="preserve">−4.5%</w:t>
            </w:r>
          </w:p>
        </w:tc>
        <w:tc>
          <w:tcPr>
            <w:tcW w:type="dxa" w:w="2621"/>
            <w:shd w:fill="F2F2F2" w:val="clear"/>
            <w:tcMar>
              <w:top w:type="dxa" w:w="50"/>
              <w:left w:type="dxa" w:w="100"/>
              <w:bottom w:type="dxa" w:w="50"/>
              <w:right w:type="dxa" w:w="100"/>
            </w:tcMar>
          </w:tcPr>
          <w:p>
            <w:r>
              <w:rPr>
                <w:rFonts w:ascii="Calibri" w:cs="Calibri" w:eastAsia="Calibri" w:hAnsi="Calibri"/>
                <w:sz w:val="18"/>
                <w:szCs w:val="18"/>
              </w:rPr>
              <w:t xml:space="preserve">+1.7%</w:t>
            </w:r>
          </w:p>
        </w:tc>
      </w:tr>
      <w:tr>
        <w:tc>
          <w:tcPr>
            <w:tcW w:type="dxa" w:w="3744"/>
            <w:tcMar>
              <w:top w:type="dxa" w:w="50"/>
              <w:left w:type="dxa" w:w="100"/>
              <w:bottom w:type="dxa" w:w="50"/>
              <w:right w:type="dxa" w:w="100"/>
            </w:tcMar>
          </w:tcPr>
          <w:p>
            <w:r>
              <w:rPr>
                <w:rFonts w:ascii="Calibri" w:cs="Calibri" w:eastAsia="Calibri" w:hAnsi="Calibri"/>
                <w:sz w:val="18"/>
                <w:szCs w:val="18"/>
              </w:rPr>
              <w:t xml:space="preserve">Avg excess vs SPY</w:t>
            </w:r>
          </w:p>
        </w:tc>
        <w:tc>
          <w:tcPr>
            <w:tcW w:type="dxa" w:w="2995"/>
            <w:tcMar>
              <w:top w:type="dxa" w:w="50"/>
              <w:left w:type="dxa" w:w="100"/>
              <w:bottom w:type="dxa" w:w="50"/>
              <w:right w:type="dxa" w:w="100"/>
            </w:tcMar>
          </w:tcPr>
          <w:p>
            <w:r>
              <w:rPr>
                <w:rFonts w:ascii="Calibri" w:cs="Calibri" w:eastAsia="Calibri" w:hAnsi="Calibri"/>
                <w:sz w:val="18"/>
                <w:szCs w:val="18"/>
              </w:rPr>
              <w:t xml:space="preserve">+3.2%</w:t>
            </w:r>
          </w:p>
        </w:tc>
        <w:tc>
          <w:tcPr>
            <w:tcW w:type="dxa" w:w="2621"/>
            <w:tcMar>
              <w:top w:type="dxa" w:w="50"/>
              <w:left w:type="dxa" w:w="100"/>
              <w:bottom w:type="dxa" w:w="50"/>
              <w:right w:type="dxa" w:w="100"/>
            </w:tcMar>
          </w:tcPr>
          <w:p>
            <w:r>
              <w:rPr>
                <w:rFonts w:ascii="Calibri" w:cs="Calibri" w:eastAsia="Calibri" w:hAnsi="Calibri"/>
                <w:sz w:val="18"/>
                <w:szCs w:val="18"/>
              </w:rPr>
              <w:t xml:space="preserve">+0.6%</w:t>
            </w:r>
          </w:p>
        </w:tc>
      </w:tr>
      <w:tr>
        <w:tc>
          <w:tcPr>
            <w:tcW w:type="dxa" w:w="3744"/>
            <w:shd w:fill="F2F2F2" w:val="clear"/>
            <w:tcMar>
              <w:top w:type="dxa" w:w="50"/>
              <w:left w:type="dxa" w:w="100"/>
              <w:bottom w:type="dxa" w:w="50"/>
              <w:right w:type="dxa" w:w="100"/>
            </w:tcMar>
          </w:tcPr>
          <w:p>
            <w:r>
              <w:rPr>
                <w:rFonts w:ascii="Calibri" w:cs="Calibri" w:eastAsia="Calibri" w:hAnsi="Calibri"/>
                <w:sz w:val="18"/>
                <w:szCs w:val="18"/>
              </w:rPr>
              <w:t xml:space="preserve">Avg MFE / MAE</w:t>
            </w:r>
          </w:p>
        </w:tc>
        <w:tc>
          <w:tcPr>
            <w:tcW w:type="dxa" w:w="2995"/>
            <w:shd w:fill="F2F2F2" w:val="clear"/>
            <w:tcMar>
              <w:top w:type="dxa" w:w="50"/>
              <w:left w:type="dxa" w:w="100"/>
              <w:bottom w:type="dxa" w:w="50"/>
              <w:right w:type="dxa" w:w="100"/>
            </w:tcMar>
          </w:tcPr>
          <w:p>
            <w:r>
              <w:rPr>
                <w:rFonts w:ascii="Calibri" w:cs="Calibri" w:eastAsia="Calibri" w:hAnsi="Calibri"/>
                <w:sz w:val="18"/>
                <w:szCs w:val="18"/>
              </w:rPr>
              <w:t xml:space="preserve">+29.1% / −17.0%</w:t>
            </w:r>
          </w:p>
        </w:tc>
        <w:tc>
          <w:tcPr>
            <w:tcW w:type="dxa" w:w="2621"/>
            <w:shd w:fill="F2F2F2" w:val="clear"/>
            <w:tcMar>
              <w:top w:type="dxa" w:w="50"/>
              <w:left w:type="dxa" w:w="100"/>
              <w:bottom w:type="dxa" w:w="50"/>
              <w:right w:type="dxa" w:w="100"/>
            </w:tcMar>
          </w:tcPr>
          <w:p>
            <w:r>
              <w:rPr>
                <w:rFonts w:ascii="Calibri" w:cs="Calibri" w:eastAsia="Calibri" w:hAnsi="Calibri"/>
                <w:sz w:val="18"/>
                <w:szCs w:val="18"/>
              </w:rPr>
              <w:t xml:space="preserve">+15.9% / −11.1%</w:t>
            </w:r>
          </w:p>
        </w:tc>
      </w:tr>
    </w:tbl>
    <w:p>
      <w:pPr>
        <w:spacing w:after="240" w:before="60"/>
      </w:pPr>
      <w:r>
        <w:rPr>
          <w:rFonts w:ascii="Calibri" w:cs="Calibri" w:eastAsia="Calibri" w:hAnsi="Calibri"/>
          <w:i/>
          <w:iCs/>
          <w:color w:val="555555"/>
          <w:sz w:val="18"/>
          <w:szCs w:val="18"/>
        </w:rPr>
        <w:t xml:space="preserve">Table 6. Base-breakout setup, 12-week stop-adjusted outcomes. Strong years: 2017 +16.2%, 2020 +17.2%, 2024 +9.0%. Disaster years: 2018 −3.7%, 2021 −4.8%, 2022 −3.2% (60–62% stop-outs each).</w:t>
      </w:r>
    </w:p>
    <w:p>
      <w:pPr>
        <w:spacing w:after="160" w:line="276"/>
        <w:jc w:val="both"/>
      </w:pPr>
      <w:r>
        <w:rPr>
          <w:rFonts w:ascii="Calibri" w:cs="Calibri" w:eastAsia="Calibri" w:hAnsi="Calibri"/>
          <w:sz w:val="22"/>
          <w:szCs w:val="22"/>
        </w:rPr>
        <w:t xml:space="preserve">The setup is profitable on average but brutally regime-dependent, and it is the same lottery distribution: typical adverse excursion (−17%) exceeds the stop. Once again the only stable discriminator was spy_regime (IC −0.185, 10/10 years) — the setup works in early-recovery markets and fails when the index is extended. No technical feature separated winning signals from failures (all ICs ±0.06 at coin-flip consistency; the within-setup model was negative in 6 of 7 folds and its favorite quintile was the worst). Conclusion: the chart supplies the WHEN (base + reclaim, in the right market regime); WHICH candidate recovers is not knowable technically.</w:t>
      </w:r>
    </w:p>
    <w:p>
      <w:pPr>
        <w:pStyle w:val="Heading1"/>
        <w:spacing w:after="200" w:before="360"/>
      </w:pPr>
      <w:r>
        <w:rPr>
          <w:rFonts w:ascii="Calibri" w:cs="Calibri" w:eastAsia="Calibri" w:hAnsi="Calibri"/>
        </w:rPr>
        <w:t xml:space="preserve">8. Study 5 — Stop Design: Fixed vs ATR-Scaled vs Breakeven vs None</w:t>
      </w:r>
    </w:p>
    <w:p>
      <w:pPr>
        <w:pStyle w:val="Heading2"/>
        <w:spacing w:after="160" w:before="280"/>
      </w:pPr>
      <w:r>
        <w:rPr>
          <w:rFonts w:ascii="Calibri" w:cs="Calibri" w:eastAsia="Calibri" w:hAnsi="Calibri"/>
        </w:rPr>
        <w:t xml:space="preserve">8.1 Design</w:t>
      </w:r>
    </w:p>
    <w:p>
      <w:pPr>
        <w:spacing w:after="160" w:line="276"/>
        <w:jc w:val="both"/>
      </w:pPr>
      <w:r>
        <w:rPr>
          <w:rFonts w:ascii="Calibri" w:cs="Calibri" w:eastAsia="Calibri" w:hAnsi="Calibri"/>
          <w:sz w:val="22"/>
          <w:szCs w:val="22"/>
        </w:rPr>
        <w:t xml:space="preserve">Both D10 and the base-breakout setup die by fixed-stop attrition, so seven exit rules were evaluated on identical trades: the tiered fixed stop; ATR-scaled stops at 2–5× ATR(20); a breakeven rule (ATR3 stop until +10% is touched, then stop to entry); and no stop. Fair comparison across stop widths uses the R-multiple — return per dollar risked under equal-dollar-risk sizing.</w:t>
      </w:r>
    </w:p>
    <w:p>
      <w:pPr>
        <w:pStyle w:val="Heading2"/>
        <w:spacing w:after="160" w:before="280"/>
      </w:pPr>
      <w:r>
        <w:rPr>
          <w:rFonts w:ascii="Calibri" w:cs="Calibri" w:eastAsia="Calibri" w:hAnsi="Calibri"/>
        </w:rPr>
        <w:t xml:space="preserve">8.2 Results (D10 model picks, 18,541 out-of-sample trades)</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246"/>
        <w:gridCol w:w="1217"/>
        <w:gridCol w:w="1872"/>
        <w:gridCol w:w="1310"/>
        <w:gridCol w:w="1310"/>
        <w:gridCol w:w="1404"/>
      </w:tblGrid>
      <w:tr>
        <w:trPr>
          <w:tblHeader/>
        </w:trPr>
        <w:tc>
          <w:tcPr>
            <w:tcW w:type="dxa" w:w="2246"/>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Rule</w:t>
            </w:r>
          </w:p>
        </w:tc>
        <w:tc>
          <w:tcPr>
            <w:tcW w:type="dxa" w:w="1217"/>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Win rate</w:t>
            </w:r>
          </w:p>
        </w:tc>
        <w:tc>
          <w:tcPr>
            <w:tcW w:type="dxa" w:w="1872"/>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Stopped</w:t>
            </w:r>
          </w:p>
        </w:tc>
        <w:tc>
          <w:tcPr>
            <w:tcW w:type="dxa" w:w="1310"/>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Avg R</w:t>
            </w:r>
          </w:p>
        </w:tc>
        <w:tc>
          <w:tcPr>
            <w:tcW w:type="dxa" w:w="1310"/>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Median R</w:t>
            </w:r>
          </w:p>
        </w:tc>
        <w:tc>
          <w:tcPr>
            <w:tcW w:type="dxa" w:w="1404"/>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Avg R-multiple</w:t>
            </w:r>
          </w:p>
        </w:tc>
      </w:tr>
      <w:tr>
        <w:tc>
          <w:tcPr>
            <w:tcW w:type="dxa" w:w="2246"/>
            <w:tcMar>
              <w:top w:type="dxa" w:w="50"/>
              <w:left w:type="dxa" w:w="100"/>
              <w:bottom w:type="dxa" w:w="50"/>
              <w:right w:type="dxa" w:w="100"/>
            </w:tcMar>
          </w:tcPr>
          <w:p>
            <w:r>
              <w:rPr>
                <w:rFonts w:ascii="Calibri" w:cs="Calibri" w:eastAsia="Calibri" w:hAnsi="Calibri"/>
                <w:sz w:val="18"/>
                <w:szCs w:val="18"/>
              </w:rPr>
              <w:t xml:space="preserve">FIXED −13/−15%</w:t>
            </w:r>
          </w:p>
        </w:tc>
        <w:tc>
          <w:tcPr>
            <w:tcW w:type="dxa" w:w="1217"/>
            <w:tcMar>
              <w:top w:type="dxa" w:w="50"/>
              <w:left w:type="dxa" w:w="100"/>
              <w:bottom w:type="dxa" w:w="50"/>
              <w:right w:type="dxa" w:w="100"/>
            </w:tcMar>
          </w:tcPr>
          <w:p>
            <w:r>
              <w:rPr>
                <w:rFonts w:ascii="Calibri" w:cs="Calibri" w:eastAsia="Calibri" w:hAnsi="Calibri"/>
                <w:sz w:val="18"/>
                <w:szCs w:val="18"/>
              </w:rPr>
              <w:t xml:space="preserve">42.6%</w:t>
            </w:r>
          </w:p>
        </w:tc>
        <w:tc>
          <w:tcPr>
            <w:tcW w:type="dxa" w:w="1872"/>
            <w:tcMar>
              <w:top w:type="dxa" w:w="50"/>
              <w:left w:type="dxa" w:w="100"/>
              <w:bottom w:type="dxa" w:w="50"/>
              <w:right w:type="dxa" w:w="100"/>
            </w:tcMar>
          </w:tcPr>
          <w:p>
            <w:r>
              <w:rPr>
                <w:rFonts w:ascii="Calibri" w:cs="Calibri" w:eastAsia="Calibri" w:hAnsi="Calibri"/>
                <w:sz w:val="18"/>
                <w:szCs w:val="18"/>
              </w:rPr>
              <w:t xml:space="preserve">50.9%</w:t>
            </w:r>
          </w:p>
        </w:tc>
        <w:tc>
          <w:tcPr>
            <w:tcW w:type="dxa" w:w="1310"/>
            <w:tcMar>
              <w:top w:type="dxa" w:w="50"/>
              <w:left w:type="dxa" w:w="100"/>
              <w:bottom w:type="dxa" w:w="50"/>
              <w:right w:type="dxa" w:w="100"/>
            </w:tcMar>
          </w:tcPr>
          <w:p>
            <w:r>
              <w:rPr>
                <w:rFonts w:ascii="Calibri" w:cs="Calibri" w:eastAsia="Calibri" w:hAnsi="Calibri"/>
                <w:sz w:val="18"/>
                <w:szCs w:val="18"/>
              </w:rPr>
              <w:t xml:space="preserve">+6.9%</w:t>
            </w:r>
          </w:p>
        </w:tc>
        <w:tc>
          <w:tcPr>
            <w:tcW w:type="dxa" w:w="1310"/>
            <w:tcMar>
              <w:top w:type="dxa" w:w="50"/>
              <w:left w:type="dxa" w:w="100"/>
              <w:bottom w:type="dxa" w:w="50"/>
              <w:right w:type="dxa" w:w="100"/>
            </w:tcMar>
          </w:tcPr>
          <w:p>
            <w:r>
              <w:rPr>
                <w:rFonts w:ascii="Calibri" w:cs="Calibri" w:eastAsia="Calibri" w:hAnsi="Calibri"/>
                <w:sz w:val="18"/>
                <w:szCs w:val="18"/>
              </w:rPr>
              <w:t xml:space="preserve">−13.0%</w:t>
            </w:r>
          </w:p>
        </w:tc>
        <w:tc>
          <w:tcPr>
            <w:tcW w:type="dxa" w:w="1404"/>
            <w:tcMar>
              <w:top w:type="dxa" w:w="50"/>
              <w:left w:type="dxa" w:w="100"/>
              <w:bottom w:type="dxa" w:w="50"/>
              <w:right w:type="dxa" w:w="100"/>
            </w:tcMar>
          </w:tcPr>
          <w:p>
            <w:r>
              <w:rPr>
                <w:rFonts w:ascii="Calibri" w:cs="Calibri" w:eastAsia="Calibri" w:hAnsi="Calibri"/>
                <w:sz w:val="18"/>
                <w:szCs w:val="18"/>
              </w:rPr>
              <w:t xml:space="preserve">+0.47</w:t>
            </w:r>
          </w:p>
        </w:tc>
      </w:tr>
      <w:tr>
        <w:tc>
          <w:tcPr>
            <w:tcW w:type="dxa" w:w="2246"/>
            <w:shd w:fill="F2F2F2" w:val="clear"/>
            <w:tcMar>
              <w:top w:type="dxa" w:w="50"/>
              <w:left w:type="dxa" w:w="100"/>
              <w:bottom w:type="dxa" w:w="50"/>
              <w:right w:type="dxa" w:w="100"/>
            </w:tcMar>
          </w:tcPr>
          <w:p>
            <w:r>
              <w:rPr>
                <w:rFonts w:ascii="Calibri" w:cs="Calibri" w:eastAsia="Calibri" w:hAnsi="Calibri"/>
                <w:sz w:val="18"/>
                <w:szCs w:val="18"/>
              </w:rPr>
              <w:t xml:space="preserve">ATR2</w:t>
            </w:r>
          </w:p>
        </w:tc>
        <w:tc>
          <w:tcPr>
            <w:tcW w:type="dxa" w:w="1217"/>
            <w:shd w:fill="F2F2F2" w:val="clear"/>
            <w:tcMar>
              <w:top w:type="dxa" w:w="50"/>
              <w:left w:type="dxa" w:w="100"/>
              <w:bottom w:type="dxa" w:w="50"/>
              <w:right w:type="dxa" w:w="100"/>
            </w:tcMar>
          </w:tcPr>
          <w:p>
            <w:r>
              <w:rPr>
                <w:rFonts w:ascii="Calibri" w:cs="Calibri" w:eastAsia="Calibri" w:hAnsi="Calibri"/>
                <w:sz w:val="18"/>
                <w:szCs w:val="18"/>
              </w:rPr>
              <w:t xml:space="preserve">36.3%</w:t>
            </w:r>
          </w:p>
        </w:tc>
        <w:tc>
          <w:tcPr>
            <w:tcW w:type="dxa" w:w="1872"/>
            <w:shd w:fill="F2F2F2" w:val="clear"/>
            <w:tcMar>
              <w:top w:type="dxa" w:w="50"/>
              <w:left w:type="dxa" w:w="100"/>
              <w:bottom w:type="dxa" w:w="50"/>
              <w:right w:type="dxa" w:w="100"/>
            </w:tcMar>
          </w:tcPr>
          <w:p>
            <w:r>
              <w:rPr>
                <w:rFonts w:ascii="Calibri" w:cs="Calibri" w:eastAsia="Calibri" w:hAnsi="Calibri"/>
                <w:sz w:val="18"/>
                <w:szCs w:val="18"/>
              </w:rPr>
              <w:t xml:space="preserve">60.8%</w:t>
            </w:r>
          </w:p>
        </w:tc>
        <w:tc>
          <w:tcPr>
            <w:tcW w:type="dxa" w:w="1310"/>
            <w:shd w:fill="F2F2F2" w:val="clear"/>
            <w:tcMar>
              <w:top w:type="dxa" w:w="50"/>
              <w:left w:type="dxa" w:w="100"/>
              <w:bottom w:type="dxa" w:w="50"/>
              <w:right w:type="dxa" w:w="100"/>
            </w:tcMar>
          </w:tcPr>
          <w:p>
            <w:r>
              <w:rPr>
                <w:rFonts w:ascii="Calibri" w:cs="Calibri" w:eastAsia="Calibri" w:hAnsi="Calibri"/>
                <w:sz w:val="18"/>
                <w:szCs w:val="18"/>
              </w:rPr>
              <w:t xml:space="preserve">+6.8%</w:t>
            </w:r>
          </w:p>
        </w:tc>
        <w:tc>
          <w:tcPr>
            <w:tcW w:type="dxa" w:w="1310"/>
            <w:shd w:fill="F2F2F2" w:val="clear"/>
            <w:tcMar>
              <w:top w:type="dxa" w:w="50"/>
              <w:left w:type="dxa" w:w="100"/>
              <w:bottom w:type="dxa" w:w="50"/>
              <w:right w:type="dxa" w:w="100"/>
            </w:tcMar>
          </w:tcPr>
          <w:p>
            <w:r>
              <w:rPr>
                <w:rFonts w:ascii="Calibri" w:cs="Calibri" w:eastAsia="Calibri" w:hAnsi="Calibri"/>
                <w:sz w:val="18"/>
                <w:szCs w:val="18"/>
              </w:rPr>
              <w:t xml:space="preserve">−7.6%</w:t>
            </w:r>
          </w:p>
        </w:tc>
        <w:tc>
          <w:tcPr>
            <w:tcW w:type="dxa" w:w="1404"/>
            <w:shd w:fill="F2F2F2" w:val="clear"/>
            <w:tcMar>
              <w:top w:type="dxa" w:w="50"/>
              <w:left w:type="dxa" w:w="100"/>
              <w:bottom w:type="dxa" w:w="50"/>
              <w:right w:type="dxa" w:w="100"/>
            </w:tcMar>
          </w:tcPr>
          <w:p>
            <w:r>
              <w:rPr>
                <w:rFonts w:ascii="Calibri" w:cs="Calibri" w:eastAsia="Calibri" w:hAnsi="Calibri"/>
                <w:sz w:val="18"/>
                <w:szCs w:val="18"/>
              </w:rPr>
              <w:t xml:space="preserve">+0.50</w:t>
            </w:r>
          </w:p>
        </w:tc>
      </w:tr>
      <w:tr>
        <w:tc>
          <w:tcPr>
            <w:tcW w:type="dxa" w:w="2246"/>
            <w:tcMar>
              <w:top w:type="dxa" w:w="50"/>
              <w:left w:type="dxa" w:w="100"/>
              <w:bottom w:type="dxa" w:w="50"/>
              <w:right w:type="dxa" w:w="100"/>
            </w:tcMar>
          </w:tcPr>
          <w:p>
            <w:r>
              <w:rPr>
                <w:rFonts w:ascii="Calibri" w:cs="Calibri" w:eastAsia="Calibri" w:hAnsi="Calibri"/>
                <w:sz w:val="18"/>
                <w:szCs w:val="18"/>
              </w:rPr>
              <w:t xml:space="preserve">ATR3</w:t>
            </w:r>
          </w:p>
        </w:tc>
        <w:tc>
          <w:tcPr>
            <w:tcW w:type="dxa" w:w="1217"/>
            <w:tcMar>
              <w:top w:type="dxa" w:w="50"/>
              <w:left w:type="dxa" w:w="100"/>
              <w:bottom w:type="dxa" w:w="50"/>
              <w:right w:type="dxa" w:w="100"/>
            </w:tcMar>
          </w:tcPr>
          <w:p>
            <w:r>
              <w:rPr>
                <w:rFonts w:ascii="Calibri" w:cs="Calibri" w:eastAsia="Calibri" w:hAnsi="Calibri"/>
                <w:sz w:val="18"/>
                <w:szCs w:val="18"/>
              </w:rPr>
              <w:t xml:space="preserve">46.6%</w:t>
            </w:r>
          </w:p>
        </w:tc>
        <w:tc>
          <w:tcPr>
            <w:tcW w:type="dxa" w:w="1872"/>
            <w:tcMar>
              <w:top w:type="dxa" w:w="50"/>
              <w:left w:type="dxa" w:w="100"/>
              <w:bottom w:type="dxa" w:w="50"/>
              <w:right w:type="dxa" w:w="100"/>
            </w:tcMar>
          </w:tcPr>
          <w:p>
            <w:r>
              <w:rPr>
                <w:rFonts w:ascii="Calibri" w:cs="Calibri" w:eastAsia="Calibri" w:hAnsi="Calibri"/>
                <w:sz w:val="18"/>
                <w:szCs w:val="18"/>
              </w:rPr>
              <w:t xml:space="preserve">45.2%</w:t>
            </w:r>
          </w:p>
        </w:tc>
        <w:tc>
          <w:tcPr>
            <w:tcW w:type="dxa" w:w="1310"/>
            <w:tcMar>
              <w:top w:type="dxa" w:w="50"/>
              <w:left w:type="dxa" w:w="100"/>
              <w:bottom w:type="dxa" w:w="50"/>
              <w:right w:type="dxa" w:w="100"/>
            </w:tcMar>
          </w:tcPr>
          <w:p>
            <w:r>
              <w:rPr>
                <w:rFonts w:ascii="Calibri" w:cs="Calibri" w:eastAsia="Calibri" w:hAnsi="Calibri"/>
                <w:sz w:val="18"/>
                <w:szCs w:val="18"/>
              </w:rPr>
              <w:t xml:space="preserve">+8.5%</w:t>
            </w:r>
          </w:p>
        </w:tc>
        <w:tc>
          <w:tcPr>
            <w:tcW w:type="dxa" w:w="1310"/>
            <w:tcMar>
              <w:top w:type="dxa" w:w="50"/>
              <w:left w:type="dxa" w:w="100"/>
              <w:bottom w:type="dxa" w:w="50"/>
              <w:right w:type="dxa" w:w="100"/>
            </w:tcMar>
          </w:tcPr>
          <w:p>
            <w:r>
              <w:rPr>
                <w:rFonts w:ascii="Calibri" w:cs="Calibri" w:eastAsia="Calibri" w:hAnsi="Calibri"/>
                <w:sz w:val="18"/>
                <w:szCs w:val="18"/>
              </w:rPr>
              <w:t xml:space="preserve">−4.4%</w:t>
            </w:r>
          </w:p>
        </w:tc>
        <w:tc>
          <w:tcPr>
            <w:tcW w:type="dxa" w:w="1404"/>
            <w:tcMar>
              <w:top w:type="dxa" w:w="50"/>
              <w:left w:type="dxa" w:w="100"/>
              <w:bottom w:type="dxa" w:w="50"/>
              <w:right w:type="dxa" w:w="100"/>
            </w:tcMar>
          </w:tcPr>
          <w:p>
            <w:r>
              <w:rPr>
                <w:rFonts w:ascii="Calibri" w:cs="Calibri" w:eastAsia="Calibri" w:hAnsi="Calibri"/>
                <w:sz w:val="18"/>
                <w:szCs w:val="18"/>
              </w:rPr>
              <w:t xml:space="preserve">+0.42</w:t>
            </w:r>
          </w:p>
        </w:tc>
      </w:tr>
      <w:tr>
        <w:tc>
          <w:tcPr>
            <w:tcW w:type="dxa" w:w="2246"/>
            <w:shd w:fill="F2F2F2" w:val="clear"/>
            <w:tcMar>
              <w:top w:type="dxa" w:w="50"/>
              <w:left w:type="dxa" w:w="100"/>
              <w:bottom w:type="dxa" w:w="50"/>
              <w:right w:type="dxa" w:w="100"/>
            </w:tcMar>
          </w:tcPr>
          <w:p>
            <w:r>
              <w:rPr>
                <w:rFonts w:ascii="Calibri" w:cs="Calibri" w:eastAsia="Calibri" w:hAnsi="Calibri"/>
                <w:sz w:val="18"/>
                <w:szCs w:val="18"/>
              </w:rPr>
              <w:t xml:space="preserve">ATR5</w:t>
            </w:r>
          </w:p>
        </w:tc>
        <w:tc>
          <w:tcPr>
            <w:tcW w:type="dxa" w:w="1217"/>
            <w:shd w:fill="F2F2F2" w:val="clear"/>
            <w:tcMar>
              <w:top w:type="dxa" w:w="50"/>
              <w:left w:type="dxa" w:w="100"/>
              <w:bottom w:type="dxa" w:w="50"/>
              <w:right w:type="dxa" w:w="100"/>
            </w:tcMar>
          </w:tcPr>
          <w:p>
            <w:r>
              <w:rPr>
                <w:rFonts w:ascii="Calibri" w:cs="Calibri" w:eastAsia="Calibri" w:hAnsi="Calibri"/>
                <w:sz w:val="18"/>
                <w:szCs w:val="18"/>
              </w:rPr>
              <w:t xml:space="preserve">55.5%</w:t>
            </w:r>
          </w:p>
        </w:tc>
        <w:tc>
          <w:tcPr>
            <w:tcW w:type="dxa" w:w="1872"/>
            <w:shd w:fill="F2F2F2" w:val="clear"/>
            <w:tcMar>
              <w:top w:type="dxa" w:w="50"/>
              <w:left w:type="dxa" w:w="100"/>
              <w:bottom w:type="dxa" w:w="50"/>
              <w:right w:type="dxa" w:w="100"/>
            </w:tcMar>
          </w:tcPr>
          <w:p>
            <w:r>
              <w:rPr>
                <w:rFonts w:ascii="Calibri" w:cs="Calibri" w:eastAsia="Calibri" w:hAnsi="Calibri"/>
                <w:sz w:val="18"/>
                <w:szCs w:val="18"/>
              </w:rPr>
              <w:t xml:space="preserve">22.0%</w:t>
            </w:r>
          </w:p>
        </w:tc>
        <w:tc>
          <w:tcPr>
            <w:tcW w:type="dxa" w:w="1310"/>
            <w:shd w:fill="F2F2F2" w:val="clear"/>
            <w:tcMar>
              <w:top w:type="dxa" w:w="50"/>
              <w:left w:type="dxa" w:w="100"/>
              <w:bottom w:type="dxa" w:w="50"/>
              <w:right w:type="dxa" w:w="100"/>
            </w:tcMar>
          </w:tcPr>
          <w:p>
            <w:r>
              <w:rPr>
                <w:rFonts w:ascii="Calibri" w:cs="Calibri" w:eastAsia="Calibri" w:hAnsi="Calibri"/>
                <w:sz w:val="18"/>
                <w:szCs w:val="18"/>
              </w:rPr>
              <w:t xml:space="preserve">+10.1%</w:t>
            </w:r>
          </w:p>
        </w:tc>
        <w:tc>
          <w:tcPr>
            <w:tcW w:type="dxa" w:w="1310"/>
            <w:shd w:fill="F2F2F2" w:val="clear"/>
            <w:tcMar>
              <w:top w:type="dxa" w:w="50"/>
              <w:left w:type="dxa" w:w="100"/>
              <w:bottom w:type="dxa" w:w="50"/>
              <w:right w:type="dxa" w:w="100"/>
            </w:tcMar>
          </w:tcPr>
          <w:p>
            <w:r>
              <w:rPr>
                <w:rFonts w:ascii="Calibri" w:cs="Calibri" w:eastAsia="Calibri" w:hAnsi="Calibri"/>
                <w:sz w:val="18"/>
                <w:szCs w:val="18"/>
              </w:rPr>
              <w:t xml:space="preserve">+4.4%</w:t>
            </w:r>
          </w:p>
        </w:tc>
        <w:tc>
          <w:tcPr>
            <w:tcW w:type="dxa" w:w="1404"/>
            <w:shd w:fill="F2F2F2" w:val="clear"/>
            <w:tcMar>
              <w:top w:type="dxa" w:w="50"/>
              <w:left w:type="dxa" w:w="100"/>
              <w:bottom w:type="dxa" w:w="50"/>
              <w:right w:type="dxa" w:w="100"/>
            </w:tcMar>
          </w:tcPr>
          <w:p>
            <w:r>
              <w:rPr>
                <w:rFonts w:ascii="Calibri" w:cs="Calibri" w:eastAsia="Calibri" w:hAnsi="Calibri"/>
                <w:sz w:val="18"/>
                <w:szCs w:val="18"/>
              </w:rPr>
              <w:t xml:space="preserve">+0.31</w:t>
            </w:r>
          </w:p>
        </w:tc>
      </w:tr>
      <w:tr>
        <w:tc>
          <w:tcPr>
            <w:tcW w:type="dxa" w:w="2246"/>
            <w:tcMar>
              <w:top w:type="dxa" w:w="50"/>
              <w:left w:type="dxa" w:w="100"/>
              <w:bottom w:type="dxa" w:w="50"/>
              <w:right w:type="dxa" w:w="100"/>
            </w:tcMar>
          </w:tcPr>
          <w:p>
            <w:r>
              <w:rPr>
                <w:rFonts w:ascii="Calibri" w:cs="Calibri" w:eastAsia="Calibri" w:hAnsi="Calibri"/>
                <w:sz w:val="18"/>
                <w:szCs w:val="18"/>
              </w:rPr>
              <w:t xml:space="preserve">BE10_ATR3 (breakeven)</w:t>
            </w:r>
          </w:p>
        </w:tc>
        <w:tc>
          <w:tcPr>
            <w:tcW w:type="dxa" w:w="1217"/>
            <w:tcMar>
              <w:top w:type="dxa" w:w="50"/>
              <w:left w:type="dxa" w:w="100"/>
              <w:bottom w:type="dxa" w:w="50"/>
              <w:right w:type="dxa" w:w="100"/>
            </w:tcMar>
          </w:tcPr>
          <w:p>
            <w:r>
              <w:rPr>
                <w:rFonts w:ascii="Calibri" w:cs="Calibri" w:eastAsia="Calibri" w:hAnsi="Calibri"/>
                <w:sz w:val="18"/>
                <w:szCs w:val="18"/>
              </w:rPr>
              <w:t xml:space="preserve">26.6%</w:t>
            </w:r>
          </w:p>
        </w:tc>
        <w:tc>
          <w:tcPr>
            <w:tcW w:type="dxa" w:w="1872"/>
            <w:tcMar>
              <w:top w:type="dxa" w:w="50"/>
              <w:left w:type="dxa" w:w="100"/>
              <w:bottom w:type="dxa" w:w="50"/>
              <w:right w:type="dxa" w:w="100"/>
            </w:tcMar>
          </w:tcPr>
          <w:p>
            <w:r>
              <w:rPr>
                <w:rFonts w:ascii="Calibri" w:cs="Calibri" w:eastAsia="Calibri" w:hAnsi="Calibri"/>
                <w:sz w:val="18"/>
                <w:szCs w:val="18"/>
              </w:rPr>
              <w:t xml:space="preserve">29.6% (+42.4% at BE)</w:t>
            </w:r>
          </w:p>
        </w:tc>
        <w:tc>
          <w:tcPr>
            <w:tcW w:type="dxa" w:w="1310"/>
            <w:tcMar>
              <w:top w:type="dxa" w:w="50"/>
              <w:left w:type="dxa" w:w="100"/>
              <w:bottom w:type="dxa" w:w="50"/>
              <w:right w:type="dxa" w:w="100"/>
            </w:tcMar>
          </w:tcPr>
          <w:p>
            <w:r>
              <w:rPr>
                <w:rFonts w:ascii="Calibri" w:cs="Calibri" w:eastAsia="Calibri" w:hAnsi="Calibri"/>
                <w:sz w:val="18"/>
                <w:szCs w:val="18"/>
              </w:rPr>
              <w:t xml:space="preserve">+6.0%</w:t>
            </w:r>
          </w:p>
        </w:tc>
        <w:tc>
          <w:tcPr>
            <w:tcW w:type="dxa" w:w="1310"/>
            <w:tcMar>
              <w:top w:type="dxa" w:w="50"/>
              <w:left w:type="dxa" w:w="100"/>
              <w:bottom w:type="dxa" w:w="50"/>
              <w:right w:type="dxa" w:w="100"/>
            </w:tcMar>
          </w:tcPr>
          <w:p>
            <w:r>
              <w:rPr>
                <w:rFonts w:ascii="Calibri" w:cs="Calibri" w:eastAsia="Calibri" w:hAnsi="Calibri"/>
                <w:sz w:val="18"/>
                <w:szCs w:val="18"/>
              </w:rPr>
              <w:t xml:space="preserve">0.0%</w:t>
            </w:r>
          </w:p>
        </w:tc>
        <w:tc>
          <w:tcPr>
            <w:tcW w:type="dxa" w:w="1404"/>
            <w:tcMar>
              <w:top w:type="dxa" w:w="50"/>
              <w:left w:type="dxa" w:w="100"/>
              <w:bottom w:type="dxa" w:w="50"/>
              <w:right w:type="dxa" w:w="100"/>
            </w:tcMar>
          </w:tcPr>
          <w:p>
            <w:r>
              <w:rPr>
                <w:rFonts w:ascii="Calibri" w:cs="Calibri" w:eastAsia="Calibri" w:hAnsi="Calibri"/>
                <w:sz w:val="18"/>
                <w:szCs w:val="18"/>
              </w:rPr>
              <w:t xml:space="preserve">+0.32</w:t>
            </w:r>
          </w:p>
        </w:tc>
      </w:tr>
      <w:tr>
        <w:tc>
          <w:tcPr>
            <w:tcW w:type="dxa" w:w="2246"/>
            <w:shd w:fill="F2F2F2" w:val="clear"/>
            <w:tcMar>
              <w:top w:type="dxa" w:w="50"/>
              <w:left w:type="dxa" w:w="100"/>
              <w:bottom w:type="dxa" w:w="50"/>
              <w:right w:type="dxa" w:w="100"/>
            </w:tcMar>
          </w:tcPr>
          <w:p>
            <w:r>
              <w:rPr>
                <w:rFonts w:ascii="Calibri" w:cs="Calibri" w:eastAsia="Calibri" w:hAnsi="Calibri"/>
                <w:sz w:val="18"/>
                <w:szCs w:val="18"/>
              </w:rPr>
              <w:t xml:space="preserve">NOSTOP (hold 12 wks)</w:t>
            </w:r>
          </w:p>
        </w:tc>
        <w:tc>
          <w:tcPr>
            <w:tcW w:type="dxa" w:w="1217"/>
            <w:shd w:fill="F2F2F2" w:val="clear"/>
            <w:tcMar>
              <w:top w:type="dxa" w:w="50"/>
              <w:left w:type="dxa" w:w="100"/>
              <w:bottom w:type="dxa" w:w="50"/>
              <w:right w:type="dxa" w:w="100"/>
            </w:tcMar>
          </w:tcPr>
          <w:p>
            <w:r>
              <w:rPr>
                <w:rFonts w:ascii="Calibri" w:cs="Calibri" w:eastAsia="Calibri" w:hAnsi="Calibri"/>
                <w:sz w:val="18"/>
                <w:szCs w:val="18"/>
              </w:rPr>
              <w:t xml:space="preserve">58.4%</w:t>
            </w:r>
          </w:p>
        </w:tc>
        <w:tc>
          <w:tcPr>
            <w:tcW w:type="dxa" w:w="1872"/>
            <w:shd w:fill="F2F2F2" w:val="clear"/>
            <w:tcMar>
              <w:top w:type="dxa" w:w="50"/>
              <w:left w:type="dxa" w:w="100"/>
              <w:bottom w:type="dxa" w:w="50"/>
              <w:right w:type="dxa" w:w="100"/>
            </w:tcMar>
          </w:tcPr>
          <w:p>
            <w:r>
              <w:rPr>
                <w:rFonts w:ascii="Calibri" w:cs="Calibri" w:eastAsia="Calibri" w:hAnsi="Calibri"/>
                <w:sz w:val="18"/>
                <w:szCs w:val="18"/>
              </w:rPr>
              <w:t xml:space="preserve">0%</w:t>
            </w:r>
          </w:p>
        </w:tc>
        <w:tc>
          <w:tcPr>
            <w:tcW w:type="dxa" w:w="1310"/>
            <w:shd w:fill="F2F2F2" w:val="clear"/>
            <w:tcMar>
              <w:top w:type="dxa" w:w="50"/>
              <w:left w:type="dxa" w:w="100"/>
              <w:bottom w:type="dxa" w:w="50"/>
              <w:right w:type="dxa" w:w="100"/>
            </w:tcMar>
          </w:tcPr>
          <w:p>
            <w:r>
              <w:rPr>
                <w:rFonts w:ascii="Calibri" w:cs="Calibri" w:eastAsia="Calibri" w:hAnsi="Calibri"/>
                <w:sz w:val="18"/>
                <w:szCs w:val="18"/>
              </w:rPr>
              <w:t xml:space="preserve">+11.4%</w:t>
            </w:r>
          </w:p>
        </w:tc>
        <w:tc>
          <w:tcPr>
            <w:tcW w:type="dxa" w:w="1310"/>
            <w:shd w:fill="F2F2F2" w:val="clear"/>
            <w:tcMar>
              <w:top w:type="dxa" w:w="50"/>
              <w:left w:type="dxa" w:w="100"/>
              <w:bottom w:type="dxa" w:w="50"/>
              <w:right w:type="dxa" w:w="100"/>
            </w:tcMar>
          </w:tcPr>
          <w:p>
            <w:r>
              <w:rPr>
                <w:rFonts w:ascii="Calibri" w:cs="Calibri" w:eastAsia="Calibri" w:hAnsi="Calibri"/>
                <w:sz w:val="18"/>
                <w:szCs w:val="18"/>
              </w:rPr>
              <w:t xml:space="preserve">+5.8%</w:t>
            </w:r>
          </w:p>
        </w:tc>
        <w:tc>
          <w:tcPr>
            <w:tcW w:type="dxa" w:w="1404"/>
            <w:shd w:fill="F2F2F2" w:val="clear"/>
            <w:tcMar>
              <w:top w:type="dxa" w:w="50"/>
              <w:left w:type="dxa" w:w="100"/>
              <w:bottom w:type="dxa" w:w="50"/>
              <w:right w:type="dxa" w:w="100"/>
            </w:tcMar>
          </w:tcPr>
          <w:p>
            <w:r>
              <w:rPr>
                <w:rFonts w:ascii="Calibri" w:cs="Calibri" w:eastAsia="Calibri" w:hAnsi="Calibri"/>
                <w:sz w:val="18"/>
                <w:szCs w:val="18"/>
              </w:rPr>
              <w:t xml:space="preserve">+0.76</w:t>
            </w:r>
          </w:p>
        </w:tc>
      </w:tr>
    </w:tbl>
    <w:p>
      <w:pPr>
        <w:spacing w:after="240" w:before="60"/>
      </w:pPr>
      <w:r>
        <w:rPr>
          <w:rFonts w:ascii="Calibri" w:cs="Calibri" w:eastAsia="Calibri" w:hAnsi="Calibri"/>
          <w:i/>
          <w:iCs/>
          <w:color w:val="555555"/>
          <w:sz w:val="18"/>
          <w:szCs w:val="18"/>
        </w:rPr>
        <w:t xml:space="preserve">Table 7. No stop dominates every rule on both raw return and risk-adjusted R-multiple. The breakeven rule round-trips 42% of trades to zero, ejecting the winners the strategy depends on.</w:t>
      </w:r>
    </w:p>
    <w:p>
      <w:pPr>
        <w:spacing w:after="160" w:line="276"/>
        <w:jc w:val="both"/>
      </w:pPr>
      <w:r>
        <w:rPr>
          <w:rFonts w:ascii="Calibri" w:cs="Calibri" w:eastAsia="Calibri" w:hAnsi="Calibri"/>
          <w:sz w:val="22"/>
          <w:szCs w:val="22"/>
        </w:rPr>
        <w:t xml:space="preserve">By year, NOSTOP won or tied in six of seven years including 2022, the worst bear year (+0.03 R-multiple vs −0.20 for fixed stops — stops repeatedly locked in −15% just before mean reversion); only 2021 marginally favored stops. Interpretation: at a 12-week horizon on volatile pullback names, every stop inside the noise band converts temporary drawdowns into permanent losses, and no placement rule — fixed or volatility-scaled — distinguishes noise from disaster in advance. Risk control must come from position sizing: over 12 weeks only 2.7% of holdings fall ≥30% and 0.4% fall ≥50% (worst 0.1% ≈ −65%), so 4–5% position sizes cap a single-name disaster near 2–2.5% of the account. Because survivorship bias flatters NOSTOP most, a far-out-of-the-noise catastrophe line (≈−40%, or thesis-broken) remains prudent insurance against the unobserved delisting tail.</w:t>
      </w:r>
    </w:p>
    <w:p>
      <w:pPr>
        <w:pStyle w:val="Heading1"/>
        <w:spacing w:after="200" w:before="360"/>
      </w:pPr>
      <w:r>
        <w:rPr>
          <w:rFonts w:ascii="Calibri" w:cs="Calibri" w:eastAsia="Calibri" w:hAnsi="Calibri"/>
        </w:rPr>
        <w:t xml:space="preserve">9. Study 6 — Holding Horizon: 12 vs 24 Weeks</w:t>
      </w:r>
    </w:p>
    <w:p>
      <w:pPr>
        <w:pStyle w:val="Heading2"/>
        <w:spacing w:after="160" w:before="280"/>
      </w:pPr>
      <w:r>
        <w:rPr>
          <w:rFonts w:ascii="Calibri" w:cs="Calibri" w:eastAsia="Calibri" w:hAnsi="Calibri"/>
        </w:rPr>
        <w:t xml:space="preserve">9.1 Design</w:t>
      </w:r>
    </w:p>
    <w:p>
      <w:pPr>
        <w:spacing w:after="160" w:line="276"/>
        <w:jc w:val="both"/>
      </w:pPr>
      <w:r>
        <w:rPr>
          <w:rFonts w:ascii="Calibri" w:cs="Calibri" w:eastAsia="Calibri" w:hAnsi="Calibri"/>
          <w:sz w:val="22"/>
          <w:szCs w:val="22"/>
        </w:rPr>
        <w:t xml:space="preserve">Identical entry bars (17,817 D10 trades with a complete 24-week future) evaluated at both horizons. The capital-efficiency yardstick is average return per week held: one 24-week hold occupies the capital of two sequential 12-week trades. A second model trained directly on the 24-week target tested whether weights shift with horizon.</w:t>
      </w:r>
    </w:p>
    <w:p>
      <w:pPr>
        <w:pStyle w:val="Heading2"/>
        <w:spacing w:after="160" w:before="280"/>
      </w:pPr>
      <w:r>
        <w:rPr>
          <w:rFonts w:ascii="Calibri" w:cs="Calibri" w:eastAsia="Calibri" w:hAnsi="Calibri"/>
        </w:rPr>
        <w:t xml:space="preserve">9.2 Results</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995"/>
        <w:gridCol w:w="1591"/>
        <w:gridCol w:w="1591"/>
        <w:gridCol w:w="1591"/>
        <w:gridCol w:w="1591"/>
      </w:tblGrid>
      <w:tr>
        <w:trPr>
          <w:tblHeader/>
        </w:trPr>
        <w:tc>
          <w:tcPr>
            <w:tcW w:type="dxa" w:w="2995"/>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Subset (NOSTOP)</w:t>
            </w:r>
          </w:p>
        </w:tc>
        <w:tc>
          <w:tcPr>
            <w:tcW w:type="dxa" w:w="1591"/>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12wk avg</w:t>
            </w:r>
          </w:p>
        </w:tc>
        <w:tc>
          <w:tcPr>
            <w:tcW w:type="dxa" w:w="1591"/>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12wk /week</w:t>
            </w:r>
          </w:p>
        </w:tc>
        <w:tc>
          <w:tcPr>
            <w:tcW w:type="dxa" w:w="1591"/>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24wk avg</w:t>
            </w:r>
          </w:p>
        </w:tc>
        <w:tc>
          <w:tcPr>
            <w:tcW w:type="dxa" w:w="1591"/>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24wk /week</w:t>
            </w:r>
          </w:p>
        </w:tc>
      </w:tr>
      <w:tr>
        <w:tc>
          <w:tcPr>
            <w:tcW w:type="dxa" w:w="2995"/>
            <w:tcMar>
              <w:top w:type="dxa" w:w="50"/>
              <w:left w:type="dxa" w:w="100"/>
              <w:bottom w:type="dxa" w:w="50"/>
              <w:right w:type="dxa" w:w="100"/>
            </w:tcMar>
          </w:tcPr>
          <w:p>
            <w:r>
              <w:rPr>
                <w:rFonts w:ascii="Calibri" w:cs="Calibri" w:eastAsia="Calibri" w:hAnsi="Calibri"/>
                <w:sz w:val="18"/>
                <w:szCs w:val="18"/>
              </w:rPr>
              <w:t xml:space="preserve">D10 model picks</w:t>
            </w:r>
          </w:p>
        </w:tc>
        <w:tc>
          <w:tcPr>
            <w:tcW w:type="dxa" w:w="1591"/>
            <w:tcMar>
              <w:top w:type="dxa" w:w="50"/>
              <w:left w:type="dxa" w:w="100"/>
              <w:bottom w:type="dxa" w:w="50"/>
              <w:right w:type="dxa" w:w="100"/>
            </w:tcMar>
          </w:tcPr>
          <w:p>
            <w:r>
              <w:rPr>
                <w:rFonts w:ascii="Calibri" w:cs="Calibri" w:eastAsia="Calibri" w:hAnsi="Calibri"/>
                <w:sz w:val="18"/>
                <w:szCs w:val="18"/>
              </w:rPr>
              <w:t xml:space="preserve">+11.0%</w:t>
            </w:r>
          </w:p>
        </w:tc>
        <w:tc>
          <w:tcPr>
            <w:tcW w:type="dxa" w:w="1591"/>
            <w:tcMar>
              <w:top w:type="dxa" w:w="50"/>
              <w:left w:type="dxa" w:w="100"/>
              <w:bottom w:type="dxa" w:w="50"/>
              <w:right w:type="dxa" w:w="100"/>
            </w:tcMar>
          </w:tcPr>
          <w:p>
            <w:r>
              <w:rPr>
                <w:rFonts w:ascii="Calibri" w:cs="Calibri" w:eastAsia="Calibri" w:hAnsi="Calibri"/>
                <w:sz w:val="18"/>
                <w:szCs w:val="18"/>
              </w:rPr>
              <w:t xml:space="preserve">+0.92</w:t>
            </w:r>
          </w:p>
        </w:tc>
        <w:tc>
          <w:tcPr>
            <w:tcW w:type="dxa" w:w="1591"/>
            <w:tcMar>
              <w:top w:type="dxa" w:w="50"/>
              <w:left w:type="dxa" w:w="100"/>
              <w:bottom w:type="dxa" w:w="50"/>
              <w:right w:type="dxa" w:w="100"/>
            </w:tcMar>
          </w:tcPr>
          <w:p>
            <w:r>
              <w:rPr>
                <w:rFonts w:ascii="Calibri" w:cs="Calibri" w:eastAsia="Calibri" w:hAnsi="Calibri"/>
                <w:sz w:val="18"/>
                <w:szCs w:val="18"/>
              </w:rPr>
              <w:t xml:space="preserve">+23.1%</w:t>
            </w:r>
          </w:p>
        </w:tc>
        <w:tc>
          <w:tcPr>
            <w:tcW w:type="dxa" w:w="1591"/>
            <w:tcMar>
              <w:top w:type="dxa" w:w="50"/>
              <w:left w:type="dxa" w:w="100"/>
              <w:bottom w:type="dxa" w:w="50"/>
              <w:right w:type="dxa" w:w="100"/>
            </w:tcMar>
          </w:tcPr>
          <w:p>
            <w:r>
              <w:rPr>
                <w:rFonts w:ascii="Calibri" w:cs="Calibri" w:eastAsia="Calibri" w:hAnsi="Calibri"/>
                <w:sz w:val="18"/>
                <w:szCs w:val="18"/>
              </w:rPr>
              <w:t xml:space="preserve">+0.96</w:t>
            </w:r>
          </w:p>
        </w:tc>
      </w:tr>
      <w:tr>
        <w:tc>
          <w:tcPr>
            <w:tcW w:type="dxa" w:w="2995"/>
            <w:shd w:fill="F2F2F2" w:val="clear"/>
            <w:tcMar>
              <w:top w:type="dxa" w:w="50"/>
              <w:left w:type="dxa" w:w="100"/>
              <w:bottom w:type="dxa" w:w="50"/>
              <w:right w:type="dxa" w:w="100"/>
            </w:tcMar>
          </w:tcPr>
          <w:p>
            <w:r>
              <w:rPr>
                <w:rFonts w:ascii="Calibri" w:cs="Calibri" w:eastAsia="Calibri" w:hAnsi="Calibri"/>
                <w:sz w:val="18"/>
                <w:szCs w:val="18"/>
              </w:rPr>
              <w:t xml:space="preserve">Top quintile (D9–D10)</w:t>
            </w:r>
          </w:p>
        </w:tc>
        <w:tc>
          <w:tcPr>
            <w:tcW w:type="dxa" w:w="1591"/>
            <w:shd w:fill="F2F2F2" w:val="clear"/>
            <w:tcMar>
              <w:top w:type="dxa" w:w="50"/>
              <w:left w:type="dxa" w:w="100"/>
              <w:bottom w:type="dxa" w:w="50"/>
              <w:right w:type="dxa" w:w="100"/>
            </w:tcMar>
          </w:tcPr>
          <w:p>
            <w:r>
              <w:rPr>
                <w:rFonts w:ascii="Calibri" w:cs="Calibri" w:eastAsia="Calibri" w:hAnsi="Calibri"/>
                <w:sz w:val="18"/>
                <w:szCs w:val="18"/>
              </w:rPr>
              <w:t xml:space="preserve">+9.3%</w:t>
            </w:r>
          </w:p>
        </w:tc>
        <w:tc>
          <w:tcPr>
            <w:tcW w:type="dxa" w:w="1591"/>
            <w:shd w:fill="F2F2F2" w:val="clear"/>
            <w:tcMar>
              <w:top w:type="dxa" w:w="50"/>
              <w:left w:type="dxa" w:w="100"/>
              <w:bottom w:type="dxa" w:w="50"/>
              <w:right w:type="dxa" w:w="100"/>
            </w:tcMar>
          </w:tcPr>
          <w:p>
            <w:r>
              <w:rPr>
                <w:rFonts w:ascii="Calibri" w:cs="Calibri" w:eastAsia="Calibri" w:hAnsi="Calibri"/>
                <w:sz w:val="18"/>
                <w:szCs w:val="18"/>
              </w:rPr>
              <w:t xml:space="preserve">+0.78</w:t>
            </w:r>
          </w:p>
        </w:tc>
        <w:tc>
          <w:tcPr>
            <w:tcW w:type="dxa" w:w="1591"/>
            <w:shd w:fill="F2F2F2" w:val="clear"/>
            <w:tcMar>
              <w:top w:type="dxa" w:w="50"/>
              <w:left w:type="dxa" w:w="100"/>
              <w:bottom w:type="dxa" w:w="50"/>
              <w:right w:type="dxa" w:w="100"/>
            </w:tcMar>
          </w:tcPr>
          <w:p>
            <w:r>
              <w:rPr>
                <w:rFonts w:ascii="Calibri" w:cs="Calibri" w:eastAsia="Calibri" w:hAnsi="Calibri"/>
                <w:sz w:val="18"/>
                <w:szCs w:val="18"/>
              </w:rPr>
              <w:t xml:space="preserve">+18.6%</w:t>
            </w:r>
          </w:p>
        </w:tc>
        <w:tc>
          <w:tcPr>
            <w:tcW w:type="dxa" w:w="1591"/>
            <w:shd w:fill="F2F2F2" w:val="clear"/>
            <w:tcMar>
              <w:top w:type="dxa" w:w="50"/>
              <w:left w:type="dxa" w:w="100"/>
              <w:bottom w:type="dxa" w:w="50"/>
              <w:right w:type="dxa" w:w="100"/>
            </w:tcMar>
          </w:tcPr>
          <w:p>
            <w:r>
              <w:rPr>
                <w:rFonts w:ascii="Calibri" w:cs="Calibri" w:eastAsia="Calibri" w:hAnsi="Calibri"/>
                <w:sz w:val="18"/>
                <w:szCs w:val="18"/>
              </w:rPr>
              <w:t xml:space="preserve">+0.78</w:t>
            </w:r>
          </w:p>
        </w:tc>
      </w:tr>
      <w:tr>
        <w:tc>
          <w:tcPr>
            <w:tcW w:type="dxa" w:w="2995"/>
            <w:tcMar>
              <w:top w:type="dxa" w:w="50"/>
              <w:left w:type="dxa" w:w="100"/>
              <w:bottom w:type="dxa" w:w="50"/>
              <w:right w:type="dxa" w:w="100"/>
            </w:tcMar>
          </w:tcPr>
          <w:p>
            <w:r>
              <w:rPr>
                <w:rFonts w:ascii="Calibri" w:cs="Calibri" w:eastAsia="Calibri" w:hAnsi="Calibri"/>
                <w:sz w:val="18"/>
                <w:szCs w:val="18"/>
              </w:rPr>
              <w:t xml:space="preserve">Base breakout</w:t>
            </w:r>
          </w:p>
        </w:tc>
        <w:tc>
          <w:tcPr>
            <w:tcW w:type="dxa" w:w="1591"/>
            <w:tcMar>
              <w:top w:type="dxa" w:w="50"/>
              <w:left w:type="dxa" w:w="100"/>
              <w:bottom w:type="dxa" w:w="50"/>
              <w:right w:type="dxa" w:w="100"/>
            </w:tcMar>
          </w:tcPr>
          <w:p>
            <w:r>
              <w:rPr>
                <w:rFonts w:ascii="Calibri" w:cs="Calibri" w:eastAsia="Calibri" w:hAnsi="Calibri"/>
                <w:sz w:val="18"/>
                <w:szCs w:val="18"/>
              </w:rPr>
              <w:t xml:space="preserve">+7.0%</w:t>
            </w:r>
          </w:p>
        </w:tc>
        <w:tc>
          <w:tcPr>
            <w:tcW w:type="dxa" w:w="1591"/>
            <w:tcMar>
              <w:top w:type="dxa" w:w="50"/>
              <w:left w:type="dxa" w:w="100"/>
              <w:bottom w:type="dxa" w:w="50"/>
              <w:right w:type="dxa" w:w="100"/>
            </w:tcMar>
          </w:tcPr>
          <w:p>
            <w:r>
              <w:rPr>
                <w:rFonts w:ascii="Calibri" w:cs="Calibri" w:eastAsia="Calibri" w:hAnsi="Calibri"/>
                <w:sz w:val="18"/>
                <w:szCs w:val="18"/>
              </w:rPr>
              <w:t xml:space="preserve">+0.59</w:t>
            </w:r>
          </w:p>
        </w:tc>
        <w:tc>
          <w:tcPr>
            <w:tcW w:type="dxa" w:w="1591"/>
            <w:tcMar>
              <w:top w:type="dxa" w:w="50"/>
              <w:left w:type="dxa" w:w="100"/>
              <w:bottom w:type="dxa" w:w="50"/>
              <w:right w:type="dxa" w:w="100"/>
            </w:tcMar>
          </w:tcPr>
          <w:p>
            <w:r>
              <w:rPr>
                <w:rFonts w:ascii="Calibri" w:cs="Calibri" w:eastAsia="Calibri" w:hAnsi="Calibri"/>
                <w:sz w:val="18"/>
                <w:szCs w:val="18"/>
              </w:rPr>
              <w:t xml:space="preserve">+15.8%</w:t>
            </w:r>
          </w:p>
        </w:tc>
        <w:tc>
          <w:tcPr>
            <w:tcW w:type="dxa" w:w="1591"/>
            <w:tcMar>
              <w:top w:type="dxa" w:w="50"/>
              <w:left w:type="dxa" w:w="100"/>
              <w:bottom w:type="dxa" w:w="50"/>
              <w:right w:type="dxa" w:w="100"/>
            </w:tcMar>
          </w:tcPr>
          <w:p>
            <w:r>
              <w:rPr>
                <w:rFonts w:ascii="Calibri" w:cs="Calibri" w:eastAsia="Calibri" w:hAnsi="Calibri"/>
                <w:sz w:val="18"/>
                <w:szCs w:val="18"/>
              </w:rPr>
              <w:t xml:space="preserve">+0.66</w:t>
            </w:r>
          </w:p>
        </w:tc>
      </w:tr>
      <w:tr>
        <w:tc>
          <w:tcPr>
            <w:tcW w:type="dxa" w:w="2995"/>
            <w:shd w:fill="F2F2F2" w:val="clear"/>
            <w:tcMar>
              <w:top w:type="dxa" w:w="50"/>
              <w:left w:type="dxa" w:w="100"/>
              <w:bottom w:type="dxa" w:w="50"/>
              <w:right w:type="dxa" w:w="100"/>
            </w:tcMar>
          </w:tcPr>
          <w:p>
            <w:r>
              <w:rPr>
                <w:rFonts w:ascii="Calibri" w:cs="Calibri" w:eastAsia="Calibri" w:hAnsi="Calibri"/>
                <w:sz w:val="18"/>
                <w:szCs w:val="18"/>
              </w:rPr>
              <w:t xml:space="preserve">All bars</w:t>
            </w:r>
          </w:p>
        </w:tc>
        <w:tc>
          <w:tcPr>
            <w:tcW w:type="dxa" w:w="1591"/>
            <w:shd w:fill="F2F2F2" w:val="clear"/>
            <w:tcMar>
              <w:top w:type="dxa" w:w="50"/>
              <w:left w:type="dxa" w:w="100"/>
              <w:bottom w:type="dxa" w:w="50"/>
              <w:right w:type="dxa" w:w="100"/>
            </w:tcMar>
          </w:tcPr>
          <w:p>
            <w:r>
              <w:rPr>
                <w:rFonts w:ascii="Calibri" w:cs="Calibri" w:eastAsia="Calibri" w:hAnsi="Calibri"/>
                <w:sz w:val="18"/>
                <w:szCs w:val="18"/>
              </w:rPr>
              <w:t xml:space="preserve">+4.5%</w:t>
            </w:r>
          </w:p>
        </w:tc>
        <w:tc>
          <w:tcPr>
            <w:tcW w:type="dxa" w:w="1591"/>
            <w:shd w:fill="F2F2F2" w:val="clear"/>
            <w:tcMar>
              <w:top w:type="dxa" w:w="50"/>
              <w:left w:type="dxa" w:w="100"/>
              <w:bottom w:type="dxa" w:w="50"/>
              <w:right w:type="dxa" w:w="100"/>
            </w:tcMar>
          </w:tcPr>
          <w:p>
            <w:r>
              <w:rPr>
                <w:rFonts w:ascii="Calibri" w:cs="Calibri" w:eastAsia="Calibri" w:hAnsi="Calibri"/>
                <w:sz w:val="18"/>
                <w:szCs w:val="18"/>
              </w:rPr>
              <w:t xml:space="preserve">+0.38</w:t>
            </w:r>
          </w:p>
        </w:tc>
        <w:tc>
          <w:tcPr>
            <w:tcW w:type="dxa" w:w="1591"/>
            <w:shd w:fill="F2F2F2" w:val="clear"/>
            <w:tcMar>
              <w:top w:type="dxa" w:w="50"/>
              <w:left w:type="dxa" w:w="100"/>
              <w:bottom w:type="dxa" w:w="50"/>
              <w:right w:type="dxa" w:w="100"/>
            </w:tcMar>
          </w:tcPr>
          <w:p>
            <w:r>
              <w:rPr>
                <w:rFonts w:ascii="Calibri" w:cs="Calibri" w:eastAsia="Calibri" w:hAnsi="Calibri"/>
                <w:sz w:val="18"/>
                <w:szCs w:val="18"/>
              </w:rPr>
              <w:t xml:space="preserve">+9.7%</w:t>
            </w:r>
          </w:p>
        </w:tc>
        <w:tc>
          <w:tcPr>
            <w:tcW w:type="dxa" w:w="1591"/>
            <w:shd w:fill="F2F2F2" w:val="clear"/>
            <w:tcMar>
              <w:top w:type="dxa" w:w="50"/>
              <w:left w:type="dxa" w:w="100"/>
              <w:bottom w:type="dxa" w:w="50"/>
              <w:right w:type="dxa" w:w="100"/>
            </w:tcMar>
          </w:tcPr>
          <w:p>
            <w:r>
              <w:rPr>
                <w:rFonts w:ascii="Calibri" w:cs="Calibri" w:eastAsia="Calibri" w:hAnsi="Calibri"/>
                <w:sz w:val="18"/>
                <w:szCs w:val="18"/>
              </w:rPr>
              <w:t xml:space="preserve">+0.40</w:t>
            </w:r>
          </w:p>
        </w:tc>
      </w:tr>
    </w:tbl>
    <w:p>
      <w:pPr>
        <w:spacing w:after="240" w:before="60"/>
      </w:pPr>
      <w:r>
        <w:rPr>
          <w:rFonts w:ascii="Calibri" w:cs="Calibri" w:eastAsia="Calibri" w:hAnsi="Calibri"/>
          <w:i/>
          <w:iCs/>
          <w:color w:val="555555"/>
          <w:sz w:val="18"/>
          <w:szCs w:val="18"/>
        </w:rPr>
        <w:t xml:space="preserve">Table 8. Momentum persists: returns roughly double when the hold doubles — per-week efficiency is flat to slightly better at 24 weeks. Tails widen (D10 p10: −29% → −36%) and stops become even more destructive (fixed-stop attrition 51% → 60%).</w:t>
      </w:r>
    </w:p>
    <w:p>
      <w:pPr>
        <w:spacing w:after="160" w:line="276"/>
        <w:jc w:val="both"/>
      </w:pPr>
      <w:r>
        <w:rPr>
          <w:rFonts w:ascii="Calibri" w:cs="Calibri" w:eastAsia="Calibri" w:hAnsi="Calibri"/>
          <w:sz w:val="22"/>
          <w:szCs w:val="22"/>
        </w:rPr>
        <w:t xml:space="preserve">By year, 24 weeks won or tied in six of seven years; 2021 (chop) was the exception. The 24-week-trained model doubled the weights on the slowest features (high52_prox −2.2 → −4.6; mom_6mo +1.1 → +2.0) while fast features faded further (qqe −1.0 → −0.2; rs_8wk weakened) — the longer the forecast, the more only slow structure matters. Practical synthesis: run a 12-week review-and-roll rather than a hard exit — at week 12 keep the position if it still ranks in the top deciles, recycle otherwise. The 12-week cycle also accumulates forward validation evidence twice as fast.</w:t>
      </w:r>
    </w:p>
    <w:p>
      <w:pPr>
        <w:pStyle w:val="Heading1"/>
        <w:spacing w:after="200" w:before="360"/>
      </w:pPr>
      <w:r>
        <w:rPr>
          <w:rFonts w:ascii="Calibri" w:cs="Calibri" w:eastAsia="Calibri" w:hAnsi="Calibri"/>
        </w:rPr>
        <w:t xml:space="preserve">10. Study 7 — Slow STS: Re-Tuning the 16 Indicators to the Horizon</w:t>
      </w:r>
    </w:p>
    <w:p>
      <w:pPr>
        <w:pStyle w:val="Heading2"/>
        <w:spacing w:after="160" w:before="280"/>
      </w:pPr>
      <w:r>
        <w:rPr>
          <w:rFonts w:ascii="Calibri" w:cs="Calibri" w:eastAsia="Calibri" w:hAnsi="Calibri"/>
        </w:rPr>
        <w:t xml:space="preserve">10.1 Design</w:t>
      </w:r>
    </w:p>
    <w:p>
      <w:pPr>
        <w:spacing w:after="160" w:line="276"/>
        <w:jc w:val="both"/>
      </w:pPr>
      <w:r>
        <w:rPr>
          <w:rFonts w:ascii="Calibri" w:cs="Calibri" w:eastAsia="Calibri" w:hAnsi="Calibri"/>
          <w:sz w:val="22"/>
          <w:szCs w:val="22"/>
        </w:rPr>
        <w:t xml:space="preserve">A fair challenge to the program's central finding: perhaps the STS indicators failed only because their parameters (3-day to 2-month memory) mismatch a 12-week horizon. Every indicator was rebuilt with ~5× lookbacks — Fisher 50, rolling VWAP 100d, Ichimoku 45/130/260, EMA 45/105, QQE on RSI-100, Hull 100, SuperTrend on 15/25-day ATR, etc. Four models on identical folds and the stop-adjusted target: (A) additions only; (B) original STS + additions; (C) slow STS + additions; (D) slow STS alone.</w:t>
      </w:r>
    </w:p>
    <w:p>
      <w:pPr>
        <w:pStyle w:val="Heading2"/>
        <w:spacing w:after="160" w:before="280"/>
      </w:pPr>
      <w:r>
        <w:rPr>
          <w:rFonts w:ascii="Calibri" w:cs="Calibri" w:eastAsia="Calibri" w:hAnsi="Calibri"/>
        </w:rPr>
        <w:t xml:space="preserve">10.2 Results</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3744"/>
        <w:gridCol w:w="1685"/>
        <w:gridCol w:w="1872"/>
        <w:gridCol w:w="2059"/>
      </w:tblGrid>
      <w:tr>
        <w:trPr>
          <w:tblHeader/>
        </w:trPr>
        <w:tc>
          <w:tcPr>
            <w:tcW w:type="dxa" w:w="3744"/>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Model</w:t>
            </w:r>
          </w:p>
        </w:tc>
        <w:tc>
          <w:tcPr>
            <w:tcW w:type="dxa" w:w="1685"/>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Mean IC</w:t>
            </w:r>
          </w:p>
        </w:tc>
        <w:tc>
          <w:tcPr>
            <w:tcW w:type="dxa" w:w="1872"/>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Folds beating A</w:t>
            </w:r>
          </w:p>
        </w:tc>
        <w:tc>
          <w:tcPr>
            <w:tcW w:type="dxa" w:w="2059"/>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2020 fold</w:t>
            </w:r>
          </w:p>
        </w:tc>
      </w:tr>
      <w:tr>
        <w:tc>
          <w:tcPr>
            <w:tcW w:type="dxa" w:w="3744"/>
            <w:tcMar>
              <w:top w:type="dxa" w:w="50"/>
              <w:left w:type="dxa" w:w="100"/>
              <w:bottom w:type="dxa" w:w="50"/>
              <w:right w:type="dxa" w:w="100"/>
            </w:tcMar>
          </w:tcPr>
          <w:p>
            <w:r>
              <w:rPr>
                <w:rFonts w:ascii="Calibri" w:cs="Calibri" w:eastAsia="Calibri" w:hAnsi="Calibri"/>
                <w:sz w:val="18"/>
                <w:szCs w:val="18"/>
              </w:rPr>
              <w:t xml:space="preserve">A. Additions only (7 features)</w:t>
            </w:r>
          </w:p>
        </w:tc>
        <w:tc>
          <w:tcPr>
            <w:tcW w:type="dxa" w:w="1685"/>
            <w:tcMar>
              <w:top w:type="dxa" w:w="50"/>
              <w:left w:type="dxa" w:w="100"/>
              <w:bottom w:type="dxa" w:w="50"/>
              <w:right w:type="dxa" w:w="100"/>
            </w:tcMar>
          </w:tcPr>
          <w:p>
            <w:r>
              <w:rPr>
                <w:rFonts w:ascii="Calibri" w:cs="Calibri" w:eastAsia="Calibri" w:hAnsi="Calibri"/>
                <w:sz w:val="18"/>
                <w:szCs w:val="18"/>
              </w:rPr>
              <w:t xml:space="preserve">−0.002</w:t>
            </w:r>
          </w:p>
        </w:tc>
        <w:tc>
          <w:tcPr>
            <w:tcW w:type="dxa" w:w="1872"/>
            <w:tcMar>
              <w:top w:type="dxa" w:w="50"/>
              <w:left w:type="dxa" w:w="100"/>
              <w:bottom w:type="dxa" w:w="50"/>
              <w:right w:type="dxa" w:w="100"/>
            </w:tcMar>
          </w:tcPr>
          <w:p>
            <w:r>
              <w:rPr>
                <w:rFonts w:ascii="Calibri" w:cs="Calibri" w:eastAsia="Calibri" w:hAnsi="Calibri"/>
                <w:sz w:val="18"/>
                <w:szCs w:val="18"/>
              </w:rPr>
              <w:t xml:space="preserve">—</w:t>
            </w:r>
          </w:p>
        </w:tc>
        <w:tc>
          <w:tcPr>
            <w:tcW w:type="dxa" w:w="2059"/>
            <w:tcMar>
              <w:top w:type="dxa" w:w="50"/>
              <w:left w:type="dxa" w:w="100"/>
              <w:bottom w:type="dxa" w:w="50"/>
              <w:right w:type="dxa" w:w="100"/>
            </w:tcMar>
          </w:tcPr>
          <w:p>
            <w:r>
              <w:rPr>
                <w:rFonts w:ascii="Calibri" w:cs="Calibri" w:eastAsia="Calibri" w:hAnsi="Calibri"/>
                <w:sz w:val="18"/>
                <w:szCs w:val="18"/>
              </w:rPr>
              <w:t xml:space="preserve">+0.29</w:t>
            </w:r>
          </w:p>
        </w:tc>
      </w:tr>
      <w:tr>
        <w:tc>
          <w:tcPr>
            <w:tcW w:type="dxa" w:w="3744"/>
            <w:shd w:fill="F2F2F2" w:val="clear"/>
            <w:tcMar>
              <w:top w:type="dxa" w:w="50"/>
              <w:left w:type="dxa" w:w="100"/>
              <w:bottom w:type="dxa" w:w="50"/>
              <w:right w:type="dxa" w:w="100"/>
            </w:tcMar>
          </w:tcPr>
          <w:p>
            <w:r>
              <w:rPr>
                <w:rFonts w:ascii="Calibri" w:cs="Calibri" w:eastAsia="Calibri" w:hAnsi="Calibri"/>
                <w:sz w:val="18"/>
                <w:szCs w:val="18"/>
              </w:rPr>
              <w:t xml:space="preserve">B. Original STS + additions (22)</w:t>
            </w:r>
          </w:p>
        </w:tc>
        <w:tc>
          <w:tcPr>
            <w:tcW w:type="dxa" w:w="1685"/>
            <w:shd w:fill="F2F2F2" w:val="clear"/>
            <w:tcMar>
              <w:top w:type="dxa" w:w="50"/>
              <w:left w:type="dxa" w:w="100"/>
              <w:bottom w:type="dxa" w:w="50"/>
              <w:right w:type="dxa" w:w="100"/>
            </w:tcMar>
          </w:tcPr>
          <w:p>
            <w:r>
              <w:rPr>
                <w:rFonts w:ascii="Calibri" w:cs="Calibri" w:eastAsia="Calibri" w:hAnsi="Calibri"/>
                <w:sz w:val="18"/>
                <w:szCs w:val="18"/>
              </w:rPr>
              <w:t xml:space="preserve">−0.009</w:t>
            </w:r>
          </w:p>
        </w:tc>
        <w:tc>
          <w:tcPr>
            <w:tcW w:type="dxa" w:w="1872"/>
            <w:shd w:fill="F2F2F2" w:val="clear"/>
            <w:tcMar>
              <w:top w:type="dxa" w:w="50"/>
              <w:left w:type="dxa" w:w="100"/>
              <w:bottom w:type="dxa" w:w="50"/>
              <w:right w:type="dxa" w:w="100"/>
            </w:tcMar>
          </w:tcPr>
          <w:p>
            <w:r>
              <w:rPr>
                <w:rFonts w:ascii="Calibri" w:cs="Calibri" w:eastAsia="Calibri" w:hAnsi="Calibri"/>
                <w:sz w:val="18"/>
                <w:szCs w:val="18"/>
              </w:rPr>
              <w:t xml:space="preserve">3 / 7</w:t>
            </w:r>
          </w:p>
        </w:tc>
        <w:tc>
          <w:tcPr>
            <w:tcW w:type="dxa" w:w="2059"/>
            <w:shd w:fill="F2F2F2" w:val="clear"/>
            <w:tcMar>
              <w:top w:type="dxa" w:w="50"/>
              <w:left w:type="dxa" w:w="100"/>
              <w:bottom w:type="dxa" w:w="50"/>
              <w:right w:type="dxa" w:w="100"/>
            </w:tcMar>
          </w:tcPr>
          <w:p>
            <w:r>
              <w:rPr>
                <w:rFonts w:ascii="Calibri" w:cs="Calibri" w:eastAsia="Calibri" w:hAnsi="Calibri"/>
                <w:sz w:val="18"/>
                <w:szCs w:val="18"/>
              </w:rPr>
              <w:t xml:space="preserve">+0.24</w:t>
            </w:r>
          </w:p>
        </w:tc>
      </w:tr>
      <w:tr>
        <w:tc>
          <w:tcPr>
            <w:tcW w:type="dxa" w:w="3744"/>
            <w:tcMar>
              <w:top w:type="dxa" w:w="50"/>
              <w:left w:type="dxa" w:w="100"/>
              <w:bottom w:type="dxa" w:w="50"/>
              <w:right w:type="dxa" w:w="100"/>
            </w:tcMar>
          </w:tcPr>
          <w:p>
            <w:r>
              <w:rPr>
                <w:rFonts w:ascii="Calibri" w:cs="Calibri" w:eastAsia="Calibri" w:hAnsi="Calibri"/>
                <w:sz w:val="18"/>
                <w:szCs w:val="18"/>
              </w:rPr>
              <w:t xml:space="preserve">C. Slow STS + additions (22)</w:t>
            </w:r>
          </w:p>
        </w:tc>
        <w:tc>
          <w:tcPr>
            <w:tcW w:type="dxa" w:w="1685"/>
            <w:tcMar>
              <w:top w:type="dxa" w:w="50"/>
              <w:left w:type="dxa" w:w="100"/>
              <w:bottom w:type="dxa" w:w="50"/>
              <w:right w:type="dxa" w:w="100"/>
            </w:tcMar>
          </w:tcPr>
          <w:p>
            <w:r>
              <w:rPr>
                <w:rFonts w:ascii="Calibri" w:cs="Calibri" w:eastAsia="Calibri" w:hAnsi="Calibri"/>
                <w:sz w:val="18"/>
                <w:szCs w:val="18"/>
              </w:rPr>
              <w:t xml:space="preserve">−0.013</w:t>
            </w:r>
          </w:p>
        </w:tc>
        <w:tc>
          <w:tcPr>
            <w:tcW w:type="dxa" w:w="1872"/>
            <w:tcMar>
              <w:top w:type="dxa" w:w="50"/>
              <w:left w:type="dxa" w:w="100"/>
              <w:bottom w:type="dxa" w:w="50"/>
              <w:right w:type="dxa" w:w="100"/>
            </w:tcMar>
          </w:tcPr>
          <w:p>
            <w:r>
              <w:rPr>
                <w:rFonts w:ascii="Calibri" w:cs="Calibri" w:eastAsia="Calibri" w:hAnsi="Calibri"/>
                <w:sz w:val="18"/>
                <w:szCs w:val="18"/>
              </w:rPr>
              <w:t xml:space="preserve">3 / 7</w:t>
            </w:r>
          </w:p>
        </w:tc>
        <w:tc>
          <w:tcPr>
            <w:tcW w:type="dxa" w:w="2059"/>
            <w:tcMar>
              <w:top w:type="dxa" w:w="50"/>
              <w:left w:type="dxa" w:w="100"/>
              <w:bottom w:type="dxa" w:w="50"/>
              <w:right w:type="dxa" w:w="100"/>
            </w:tcMar>
          </w:tcPr>
          <w:p>
            <w:r>
              <w:rPr>
                <w:rFonts w:ascii="Calibri" w:cs="Calibri" w:eastAsia="Calibri" w:hAnsi="Calibri"/>
                <w:sz w:val="18"/>
                <w:szCs w:val="18"/>
              </w:rPr>
              <w:t xml:space="preserve">+0.22</w:t>
            </w:r>
          </w:p>
        </w:tc>
      </w:tr>
      <w:tr>
        <w:tc>
          <w:tcPr>
            <w:tcW w:type="dxa" w:w="3744"/>
            <w:shd w:fill="F2F2F2" w:val="clear"/>
            <w:tcMar>
              <w:top w:type="dxa" w:w="50"/>
              <w:left w:type="dxa" w:w="100"/>
              <w:bottom w:type="dxa" w:w="50"/>
              <w:right w:type="dxa" w:w="100"/>
            </w:tcMar>
          </w:tcPr>
          <w:p>
            <w:r>
              <w:rPr>
                <w:rFonts w:ascii="Calibri" w:cs="Calibri" w:eastAsia="Calibri" w:hAnsi="Calibri"/>
                <w:sz w:val="18"/>
                <w:szCs w:val="18"/>
              </w:rPr>
              <w:t xml:space="preserve">D. Slow STS alone (15)</w:t>
            </w:r>
          </w:p>
        </w:tc>
        <w:tc>
          <w:tcPr>
            <w:tcW w:type="dxa" w:w="1685"/>
            <w:shd w:fill="F2F2F2" w:val="clear"/>
            <w:tcMar>
              <w:top w:type="dxa" w:w="50"/>
              <w:left w:type="dxa" w:w="100"/>
              <w:bottom w:type="dxa" w:w="50"/>
              <w:right w:type="dxa" w:w="100"/>
            </w:tcMar>
          </w:tcPr>
          <w:p>
            <w:r>
              <w:rPr>
                <w:rFonts w:ascii="Calibri" w:cs="Calibri" w:eastAsia="Calibri" w:hAnsi="Calibri"/>
                <w:sz w:val="18"/>
                <w:szCs w:val="18"/>
              </w:rPr>
              <w:t xml:space="preserve">−0.040</w:t>
            </w:r>
          </w:p>
        </w:tc>
        <w:tc>
          <w:tcPr>
            <w:tcW w:type="dxa" w:w="1872"/>
            <w:shd w:fill="F2F2F2" w:val="clear"/>
            <w:tcMar>
              <w:top w:type="dxa" w:w="50"/>
              <w:left w:type="dxa" w:w="100"/>
              <w:bottom w:type="dxa" w:w="50"/>
              <w:right w:type="dxa" w:w="100"/>
            </w:tcMar>
          </w:tcPr>
          <w:p>
            <w:r>
              <w:rPr>
                <w:rFonts w:ascii="Calibri" w:cs="Calibri" w:eastAsia="Calibri" w:hAnsi="Calibri"/>
                <w:sz w:val="18"/>
                <w:szCs w:val="18"/>
              </w:rPr>
              <w:t xml:space="preserve">3 / 7</w:t>
            </w:r>
          </w:p>
        </w:tc>
        <w:tc>
          <w:tcPr>
            <w:tcW w:type="dxa" w:w="2059"/>
            <w:shd w:fill="F2F2F2" w:val="clear"/>
            <w:tcMar>
              <w:top w:type="dxa" w:w="50"/>
              <w:left w:type="dxa" w:w="100"/>
              <w:bottom w:type="dxa" w:w="50"/>
              <w:right w:type="dxa" w:w="100"/>
            </w:tcMar>
          </w:tcPr>
          <w:p>
            <w:r>
              <w:rPr>
                <w:rFonts w:ascii="Calibri" w:cs="Calibri" w:eastAsia="Calibri" w:hAnsi="Calibri"/>
                <w:sz w:val="18"/>
                <w:szCs w:val="18"/>
              </w:rPr>
              <w:t xml:space="preserve">−0.02</w:t>
            </w:r>
          </w:p>
        </w:tc>
      </w:tr>
    </w:tbl>
    <w:p>
      <w:pPr>
        <w:spacing w:after="240" w:before="60"/>
      </w:pPr>
      <w:r>
        <w:rPr>
          <w:rFonts w:ascii="Calibri" w:cs="Calibri" w:eastAsia="Calibri" w:hAnsi="Calibri"/>
          <w:i/>
          <w:iCs/>
          <w:color w:val="555555"/>
          <w:sz w:val="18"/>
          <w:szCs w:val="18"/>
        </w:rPr>
        <w:t xml:space="preserve">Table 9. Re-tuned indicators add nothing: C ≈ A (coin-flip fold wins), and slow STS alone is the worst model — the only one to miss 2020 entirely.</w:t>
      </w:r>
    </w:p>
    <w:p>
      <w:pPr>
        <w:spacing w:after="160" w:line="276"/>
        <w:jc w:val="both"/>
      </w:pPr>
      <w:r>
        <w:rPr>
          <w:rFonts w:ascii="Calibri" w:cs="Calibri" w:eastAsia="Calibri" w:hAnsi="Calibri"/>
          <w:sz w:val="22"/>
          <w:szCs w:val="22"/>
        </w:rPr>
        <w:t xml:space="preserve">Several slow features earned nominally stable weights inside model C (slow Waddah +1.8, slow Ichimoku +1.2), but stability without out-of-sample improvement is redundancy: they reshuffle credit that the additions already carry. The verdict is symmetric and final: at original settings the STS indicators were zeroed out; at horizon-matched settings they are redundant. The indicators' concepts — trend, momentum, channel position — are exactly what predicts 12-week outcomes, but four simple ratios (distance from the 52-week high, distance from the 200-day average, 6-month momentum, relative strength) capture all of it.</w:t>
      </w:r>
    </w:p>
    <w:p>
      <w:pPr>
        <w:pStyle w:val="Heading1"/>
        <w:spacing w:after="200" w:before="360"/>
      </w:pPr>
      <w:r>
        <w:rPr>
          <w:rFonts w:ascii="Calibri" w:cs="Calibri" w:eastAsia="Calibri" w:hAnsi="Calibri"/>
        </w:rPr>
        <w:t xml:space="preserve">11. Cross-Study Comparison and Synthesis</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468"/>
        <w:gridCol w:w="1591"/>
        <w:gridCol w:w="2621"/>
        <w:gridCol w:w="4680"/>
      </w:tblGrid>
      <w:tr>
        <w:trPr>
          <w:tblHeader/>
        </w:trPr>
        <w:tc>
          <w:tcPr>
            <w:tcW w:type="dxa" w:w="468"/>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w:t>
            </w:r>
          </w:p>
        </w:tc>
        <w:tc>
          <w:tcPr>
            <w:tcW w:type="dxa" w:w="1591"/>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Study</w:t>
            </w:r>
          </w:p>
        </w:tc>
        <w:tc>
          <w:tcPr>
            <w:tcW w:type="dxa" w:w="2621"/>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Question</w:t>
            </w:r>
          </w:p>
        </w:tc>
        <w:tc>
          <w:tcPr>
            <w:tcW w:type="dxa" w:w="4680"/>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Headline result</w:t>
            </w:r>
          </w:p>
        </w:tc>
      </w:tr>
      <w:tr>
        <w:tc>
          <w:tcPr>
            <w:tcW w:type="dxa" w:w="468"/>
            <w:tcMar>
              <w:top w:type="dxa" w:w="50"/>
              <w:left w:type="dxa" w:w="100"/>
              <w:bottom w:type="dxa" w:w="50"/>
              <w:right w:type="dxa" w:w="100"/>
            </w:tcMar>
          </w:tcPr>
          <w:p>
            <w:r>
              <w:rPr>
                <w:rFonts w:ascii="Calibri" w:cs="Calibri" w:eastAsia="Calibri" w:hAnsi="Calibri"/>
                <w:sz w:val="18"/>
                <w:szCs w:val="18"/>
              </w:rPr>
              <w:t xml:space="preserve">1</w:t>
            </w:r>
          </w:p>
        </w:tc>
        <w:tc>
          <w:tcPr>
            <w:tcW w:type="dxa" w:w="1591"/>
            <w:tcMar>
              <w:top w:type="dxa" w:w="50"/>
              <w:left w:type="dxa" w:w="100"/>
              <w:bottom w:type="dxa" w:w="50"/>
              <w:right w:type="dxa" w:w="100"/>
            </w:tcMar>
          </w:tcPr>
          <w:p>
            <w:r>
              <w:rPr>
                <w:rFonts w:ascii="Calibri" w:cs="Calibri" w:eastAsia="Calibri" w:hAnsi="Calibri"/>
                <w:sz w:val="18"/>
                <w:szCs w:val="18"/>
              </w:rPr>
              <w:t xml:space="preserve">Raw-return weights</w:t>
            </w:r>
          </w:p>
        </w:tc>
        <w:tc>
          <w:tcPr>
            <w:tcW w:type="dxa" w:w="2621"/>
            <w:tcMar>
              <w:top w:type="dxa" w:w="50"/>
              <w:left w:type="dxa" w:w="100"/>
              <w:bottom w:type="dxa" w:w="50"/>
              <w:right w:type="dxa" w:w="100"/>
            </w:tcMar>
          </w:tcPr>
          <w:p>
            <w:r>
              <w:rPr>
                <w:rFonts w:ascii="Calibri" w:cs="Calibri" w:eastAsia="Calibri" w:hAnsi="Calibri"/>
                <w:sz w:val="18"/>
                <w:szCs w:val="18"/>
              </w:rPr>
              <w:t xml:space="preserve">Can ML find better weights than Fisher×3/VWAP×2?</w:t>
            </w:r>
          </w:p>
        </w:tc>
        <w:tc>
          <w:tcPr>
            <w:tcW w:type="dxa" w:w="4680"/>
            <w:tcMar>
              <w:top w:type="dxa" w:w="50"/>
              <w:left w:type="dxa" w:w="100"/>
              <w:bottom w:type="dxa" w:w="50"/>
              <w:right w:type="dxa" w:w="100"/>
            </w:tcMar>
          </w:tcPr>
          <w:p>
            <w:r>
              <w:rPr>
                <w:rFonts w:ascii="Calibri" w:cs="Calibri" w:eastAsia="Calibri" w:hAnsi="Calibri"/>
                <w:sz w:val="18"/>
                <w:szCs w:val="18"/>
              </w:rPr>
              <w:t xml:space="preserve">Yes — hand score IC −0.04; learned 23-feature model +0.11. Weight concentrates in the 7 additions; the setup is “pullback in an uptrend.”</w:t>
            </w:r>
          </w:p>
        </w:tc>
      </w:tr>
      <w:tr>
        <w:tc>
          <w:tcPr>
            <w:tcW w:type="dxa" w:w="468"/>
            <w:shd w:fill="F2F2F2" w:val="clear"/>
            <w:tcMar>
              <w:top w:type="dxa" w:w="50"/>
              <w:left w:type="dxa" w:w="100"/>
              <w:bottom w:type="dxa" w:w="50"/>
              <w:right w:type="dxa" w:w="100"/>
            </w:tcMar>
          </w:tcPr>
          <w:p>
            <w:r>
              <w:rPr>
                <w:rFonts w:ascii="Calibri" w:cs="Calibri" w:eastAsia="Calibri" w:hAnsi="Calibri"/>
                <w:sz w:val="18"/>
                <w:szCs w:val="18"/>
              </w:rPr>
              <w:t xml:space="preserve">2</w:t>
            </w:r>
          </w:p>
        </w:tc>
        <w:tc>
          <w:tcPr>
            <w:tcW w:type="dxa" w:w="1591"/>
            <w:shd w:fill="F2F2F2" w:val="clear"/>
            <w:tcMar>
              <w:top w:type="dxa" w:w="50"/>
              <w:left w:type="dxa" w:w="100"/>
              <w:bottom w:type="dxa" w:w="50"/>
              <w:right w:type="dxa" w:w="100"/>
            </w:tcMar>
          </w:tcPr>
          <w:p>
            <w:r>
              <w:rPr>
                <w:rFonts w:ascii="Calibri" w:cs="Calibri" w:eastAsia="Calibri" w:hAnsi="Calibri"/>
                <w:sz w:val="18"/>
                <w:szCs w:val="18"/>
              </w:rPr>
              <w:t xml:space="preserve">Lane B (crashes)</w:t>
            </w:r>
          </w:p>
        </w:tc>
        <w:tc>
          <w:tcPr>
            <w:tcW w:type="dxa" w:w="2621"/>
            <w:shd w:fill="F2F2F2" w:val="clear"/>
            <w:tcMar>
              <w:top w:type="dxa" w:w="50"/>
              <w:left w:type="dxa" w:w="100"/>
              <w:bottom w:type="dxa" w:w="50"/>
              <w:right w:type="dxa" w:w="100"/>
            </w:tcMar>
          </w:tcPr>
          <w:p>
            <w:r>
              <w:rPr>
                <w:rFonts w:ascii="Calibri" w:cs="Calibri" w:eastAsia="Calibri" w:hAnsi="Calibri"/>
                <w:sz w:val="18"/>
                <w:szCs w:val="18"/>
              </w:rPr>
              <w:t xml:space="preserve">Do technicals pick crash recoveries?</w:t>
            </w:r>
          </w:p>
        </w:tc>
        <w:tc>
          <w:tcPr>
            <w:tcW w:type="dxa" w:w="4680"/>
            <w:shd w:fill="F2F2F2" w:val="clear"/>
            <w:tcMar>
              <w:top w:type="dxa" w:w="50"/>
              <w:left w:type="dxa" w:w="100"/>
              <w:bottom w:type="dxa" w:w="50"/>
              <w:right w:type="dxa" w:w="100"/>
            </w:tcMar>
          </w:tcPr>
          <w:p>
            <w:r>
              <w:rPr>
                <w:rFonts w:ascii="Calibri" w:cs="Calibri" w:eastAsia="Calibri" w:hAnsi="Calibri"/>
                <w:sz w:val="18"/>
                <w:szCs w:val="18"/>
              </w:rPr>
              <w:t xml:space="preserve">No — all indicator ICs ≈ 0 or inverted. Only market regime helps. Selection must be fundamental (SSI2).</w:t>
            </w:r>
          </w:p>
        </w:tc>
      </w:tr>
      <w:tr>
        <w:tc>
          <w:tcPr>
            <w:tcW w:type="dxa" w:w="468"/>
            <w:tcMar>
              <w:top w:type="dxa" w:w="50"/>
              <w:left w:type="dxa" w:w="100"/>
              <w:bottom w:type="dxa" w:w="50"/>
              <w:right w:type="dxa" w:w="100"/>
            </w:tcMar>
          </w:tcPr>
          <w:p>
            <w:r>
              <w:rPr>
                <w:rFonts w:ascii="Calibri" w:cs="Calibri" w:eastAsia="Calibri" w:hAnsi="Calibri"/>
                <w:sz w:val="18"/>
                <w:szCs w:val="18"/>
              </w:rPr>
              <w:t xml:space="preserve">3</w:t>
            </w:r>
          </w:p>
        </w:tc>
        <w:tc>
          <w:tcPr>
            <w:tcW w:type="dxa" w:w="1591"/>
            <w:tcMar>
              <w:top w:type="dxa" w:w="50"/>
              <w:left w:type="dxa" w:w="100"/>
              <w:bottom w:type="dxa" w:w="50"/>
              <w:right w:type="dxa" w:w="100"/>
            </w:tcMar>
          </w:tcPr>
          <w:p>
            <w:r>
              <w:rPr>
                <w:rFonts w:ascii="Calibri" w:cs="Calibri" w:eastAsia="Calibri" w:hAnsi="Calibri"/>
                <w:sz w:val="18"/>
                <w:szCs w:val="18"/>
              </w:rPr>
              <w:t xml:space="preserve">Stop-adjusted model</w:t>
            </w:r>
          </w:p>
        </w:tc>
        <w:tc>
          <w:tcPr>
            <w:tcW w:type="dxa" w:w="2621"/>
            <w:tcMar>
              <w:top w:type="dxa" w:w="50"/>
              <w:left w:type="dxa" w:w="100"/>
              <w:bottom w:type="dxa" w:w="50"/>
              <w:right w:type="dxa" w:w="100"/>
            </w:tcMar>
          </w:tcPr>
          <w:p>
            <w:r>
              <w:rPr>
                <w:rFonts w:ascii="Calibri" w:cs="Calibri" w:eastAsia="Calibri" w:hAnsi="Calibri"/>
                <w:sz w:val="18"/>
                <w:szCs w:val="18"/>
              </w:rPr>
              <w:t xml:space="preserve">Does the edge survive real stops?</w:t>
            </w:r>
          </w:p>
        </w:tc>
        <w:tc>
          <w:tcPr>
            <w:tcW w:type="dxa" w:w="4680"/>
            <w:tcMar>
              <w:top w:type="dxa" w:w="50"/>
              <w:left w:type="dxa" w:w="100"/>
              <w:bottom w:type="dxa" w:w="50"/>
              <w:right w:type="dxa" w:w="100"/>
            </w:tcMar>
          </w:tcPr>
          <w:p>
            <w:r>
              <w:rPr>
                <w:rFonts w:ascii="Calibri" w:cs="Calibri" w:eastAsia="Calibri" w:hAnsi="Calibri"/>
                <w:sz w:val="18"/>
                <w:szCs w:val="18"/>
              </w:rPr>
              <w:t xml:space="preserve">As ranking, no (IC ≈ 0 ex-2020); as top-decile selection, yes — D10 avg +7.1%, but 50% stop-outs and median = stop.</w:t>
            </w:r>
          </w:p>
        </w:tc>
      </w:tr>
      <w:tr>
        <w:tc>
          <w:tcPr>
            <w:tcW w:type="dxa" w:w="468"/>
            <w:shd w:fill="F2F2F2" w:val="clear"/>
            <w:tcMar>
              <w:top w:type="dxa" w:w="50"/>
              <w:left w:type="dxa" w:w="100"/>
              <w:bottom w:type="dxa" w:w="50"/>
              <w:right w:type="dxa" w:w="100"/>
            </w:tcMar>
          </w:tcPr>
          <w:p>
            <w:r>
              <w:rPr>
                <w:rFonts w:ascii="Calibri" w:cs="Calibri" w:eastAsia="Calibri" w:hAnsi="Calibri"/>
                <w:sz w:val="18"/>
                <w:szCs w:val="18"/>
              </w:rPr>
              <w:t xml:space="preserve">4</w:t>
            </w:r>
          </w:p>
        </w:tc>
        <w:tc>
          <w:tcPr>
            <w:tcW w:type="dxa" w:w="1591"/>
            <w:shd w:fill="F2F2F2" w:val="clear"/>
            <w:tcMar>
              <w:top w:type="dxa" w:w="50"/>
              <w:left w:type="dxa" w:w="100"/>
              <w:bottom w:type="dxa" w:w="50"/>
              <w:right w:type="dxa" w:w="100"/>
            </w:tcMar>
          </w:tcPr>
          <w:p>
            <w:r>
              <w:rPr>
                <w:rFonts w:ascii="Calibri" w:cs="Calibri" w:eastAsia="Calibri" w:hAnsi="Calibri"/>
                <w:sz w:val="18"/>
                <w:szCs w:val="18"/>
              </w:rPr>
              <w:t xml:space="preserve">Base breakout</w:t>
            </w:r>
          </w:p>
        </w:tc>
        <w:tc>
          <w:tcPr>
            <w:tcW w:type="dxa" w:w="2621"/>
            <w:shd w:fill="F2F2F2" w:val="clear"/>
            <w:tcMar>
              <w:top w:type="dxa" w:w="50"/>
              <w:left w:type="dxa" w:w="100"/>
              <w:bottom w:type="dxa" w:w="50"/>
              <w:right w:type="dxa" w:w="100"/>
            </w:tcMar>
          </w:tcPr>
          <w:p>
            <w:r>
              <w:rPr>
                <w:rFonts w:ascii="Calibri" w:cs="Calibri" w:eastAsia="Calibri" w:hAnsi="Calibri"/>
                <w:sz w:val="18"/>
                <w:szCs w:val="18"/>
              </w:rPr>
              <w:t xml:space="preserve">Does base + 50-SMA reclaim time crash entries?</w:t>
            </w:r>
          </w:p>
        </w:tc>
        <w:tc>
          <w:tcPr>
            <w:tcW w:type="dxa" w:w="4680"/>
            <w:shd w:fill="F2F2F2" w:val="clear"/>
            <w:tcMar>
              <w:top w:type="dxa" w:w="50"/>
              <w:left w:type="dxa" w:w="100"/>
              <w:bottom w:type="dxa" w:w="50"/>
              <w:right w:type="dxa" w:w="100"/>
            </w:tcMar>
          </w:tcPr>
          <w:p>
            <w:r>
              <w:rPr>
                <w:rFonts w:ascii="Calibri" w:cs="Calibri" w:eastAsia="Calibri" w:hAnsi="Calibri"/>
                <w:sz w:val="18"/>
                <w:szCs w:val="18"/>
              </w:rPr>
              <w:t xml:space="preserve">Avg +5.1%/12wk but regime-dependent (great 2017/20/24; slaughtered 2018/21/22). SPY regime is the only stable filter; indicators cannot rank signals.</w:t>
            </w:r>
          </w:p>
        </w:tc>
      </w:tr>
      <w:tr>
        <w:tc>
          <w:tcPr>
            <w:tcW w:type="dxa" w:w="468"/>
            <w:tcMar>
              <w:top w:type="dxa" w:w="50"/>
              <w:left w:type="dxa" w:w="100"/>
              <w:bottom w:type="dxa" w:w="50"/>
              <w:right w:type="dxa" w:w="100"/>
            </w:tcMar>
          </w:tcPr>
          <w:p>
            <w:r>
              <w:rPr>
                <w:rFonts w:ascii="Calibri" w:cs="Calibri" w:eastAsia="Calibri" w:hAnsi="Calibri"/>
                <w:sz w:val="18"/>
                <w:szCs w:val="18"/>
              </w:rPr>
              <w:t xml:space="preserve">5</w:t>
            </w:r>
          </w:p>
        </w:tc>
        <w:tc>
          <w:tcPr>
            <w:tcW w:type="dxa" w:w="1591"/>
            <w:tcMar>
              <w:top w:type="dxa" w:w="50"/>
              <w:left w:type="dxa" w:w="100"/>
              <w:bottom w:type="dxa" w:w="50"/>
              <w:right w:type="dxa" w:w="100"/>
            </w:tcMar>
          </w:tcPr>
          <w:p>
            <w:r>
              <w:rPr>
                <w:rFonts w:ascii="Calibri" w:cs="Calibri" w:eastAsia="Calibri" w:hAnsi="Calibri"/>
                <w:sz w:val="18"/>
                <w:szCs w:val="18"/>
              </w:rPr>
              <w:t xml:space="preserve">Stop design</w:t>
            </w:r>
          </w:p>
        </w:tc>
        <w:tc>
          <w:tcPr>
            <w:tcW w:type="dxa" w:w="2621"/>
            <w:tcMar>
              <w:top w:type="dxa" w:w="50"/>
              <w:left w:type="dxa" w:w="100"/>
              <w:bottom w:type="dxa" w:w="50"/>
              <w:right w:type="dxa" w:w="100"/>
            </w:tcMar>
          </w:tcPr>
          <w:p>
            <w:r>
              <w:rPr>
                <w:rFonts w:ascii="Calibri" w:cs="Calibri" w:eastAsia="Calibri" w:hAnsi="Calibri"/>
                <w:sz w:val="18"/>
                <w:szCs w:val="18"/>
              </w:rPr>
              <w:t xml:space="preserve">Do ATR/breakeven stops fix the attrition?</w:t>
            </w:r>
          </w:p>
        </w:tc>
        <w:tc>
          <w:tcPr>
            <w:tcW w:type="dxa" w:w="4680"/>
            <w:tcMar>
              <w:top w:type="dxa" w:w="50"/>
              <w:left w:type="dxa" w:w="100"/>
              <w:bottom w:type="dxa" w:w="50"/>
              <w:right w:type="dxa" w:w="100"/>
            </w:tcMar>
          </w:tcPr>
          <w:p>
            <w:r>
              <w:rPr>
                <w:rFonts w:ascii="Calibri" w:cs="Calibri" w:eastAsia="Calibri" w:hAnsi="Calibri"/>
                <w:sz w:val="18"/>
                <w:szCs w:val="18"/>
              </w:rPr>
              <w:t xml:space="preserve">No — NOSTOP dominates every rule (R-multiple +0.76 vs +0.31–0.50), even in 2022. Risk control = position sizing (4–5%), not stops.</w:t>
            </w:r>
          </w:p>
        </w:tc>
      </w:tr>
      <w:tr>
        <w:tc>
          <w:tcPr>
            <w:tcW w:type="dxa" w:w="468"/>
            <w:shd w:fill="F2F2F2" w:val="clear"/>
            <w:tcMar>
              <w:top w:type="dxa" w:w="50"/>
              <w:left w:type="dxa" w:w="100"/>
              <w:bottom w:type="dxa" w:w="50"/>
              <w:right w:type="dxa" w:w="100"/>
            </w:tcMar>
          </w:tcPr>
          <w:p>
            <w:r>
              <w:rPr>
                <w:rFonts w:ascii="Calibri" w:cs="Calibri" w:eastAsia="Calibri" w:hAnsi="Calibri"/>
                <w:sz w:val="18"/>
                <w:szCs w:val="18"/>
              </w:rPr>
              <w:t xml:space="preserve">6</w:t>
            </w:r>
          </w:p>
        </w:tc>
        <w:tc>
          <w:tcPr>
            <w:tcW w:type="dxa" w:w="1591"/>
            <w:shd w:fill="F2F2F2" w:val="clear"/>
            <w:tcMar>
              <w:top w:type="dxa" w:w="50"/>
              <w:left w:type="dxa" w:w="100"/>
              <w:bottom w:type="dxa" w:w="50"/>
              <w:right w:type="dxa" w:w="100"/>
            </w:tcMar>
          </w:tcPr>
          <w:p>
            <w:r>
              <w:rPr>
                <w:rFonts w:ascii="Calibri" w:cs="Calibri" w:eastAsia="Calibri" w:hAnsi="Calibri"/>
                <w:sz w:val="18"/>
                <w:szCs w:val="18"/>
              </w:rPr>
              <w:t xml:space="preserve">12 vs 24 weeks</w:t>
            </w:r>
          </w:p>
        </w:tc>
        <w:tc>
          <w:tcPr>
            <w:tcW w:type="dxa" w:w="2621"/>
            <w:shd w:fill="F2F2F2" w:val="clear"/>
            <w:tcMar>
              <w:top w:type="dxa" w:w="50"/>
              <w:left w:type="dxa" w:w="100"/>
              <w:bottom w:type="dxa" w:w="50"/>
              <w:right w:type="dxa" w:w="100"/>
            </w:tcMar>
          </w:tcPr>
          <w:p>
            <w:r>
              <w:rPr>
                <w:rFonts w:ascii="Calibri" w:cs="Calibri" w:eastAsia="Calibri" w:hAnsi="Calibri"/>
                <w:sz w:val="18"/>
                <w:szCs w:val="18"/>
              </w:rPr>
              <w:t xml:space="preserve">Does holding longer keep paying?</w:t>
            </w:r>
          </w:p>
        </w:tc>
        <w:tc>
          <w:tcPr>
            <w:tcW w:type="dxa" w:w="4680"/>
            <w:shd w:fill="F2F2F2" w:val="clear"/>
            <w:tcMar>
              <w:top w:type="dxa" w:w="50"/>
              <w:left w:type="dxa" w:w="100"/>
              <w:bottom w:type="dxa" w:w="50"/>
              <w:right w:type="dxa" w:w="100"/>
            </w:tcMar>
          </w:tcPr>
          <w:p>
            <w:r>
              <w:rPr>
                <w:rFonts w:ascii="Calibri" w:cs="Calibri" w:eastAsia="Calibri" w:hAnsi="Calibri"/>
                <w:sz w:val="18"/>
                <w:szCs w:val="18"/>
              </w:rPr>
              <w:t xml:space="preserve">Yes — returns double, per-week efficiency flat/better. Slow features strengthen further at 24 weeks. Review-and-roll at week 12.</w:t>
            </w:r>
          </w:p>
        </w:tc>
      </w:tr>
      <w:tr>
        <w:tc>
          <w:tcPr>
            <w:tcW w:type="dxa" w:w="468"/>
            <w:tcMar>
              <w:top w:type="dxa" w:w="50"/>
              <w:left w:type="dxa" w:w="100"/>
              <w:bottom w:type="dxa" w:w="50"/>
              <w:right w:type="dxa" w:w="100"/>
            </w:tcMar>
          </w:tcPr>
          <w:p>
            <w:r>
              <w:rPr>
                <w:rFonts w:ascii="Calibri" w:cs="Calibri" w:eastAsia="Calibri" w:hAnsi="Calibri"/>
                <w:sz w:val="18"/>
                <w:szCs w:val="18"/>
              </w:rPr>
              <w:t xml:space="preserve">7</w:t>
            </w:r>
          </w:p>
        </w:tc>
        <w:tc>
          <w:tcPr>
            <w:tcW w:type="dxa" w:w="1591"/>
            <w:tcMar>
              <w:top w:type="dxa" w:w="50"/>
              <w:left w:type="dxa" w:w="100"/>
              <w:bottom w:type="dxa" w:w="50"/>
              <w:right w:type="dxa" w:w="100"/>
            </w:tcMar>
          </w:tcPr>
          <w:p>
            <w:r>
              <w:rPr>
                <w:rFonts w:ascii="Calibri" w:cs="Calibri" w:eastAsia="Calibri" w:hAnsi="Calibri"/>
                <w:sz w:val="18"/>
                <w:szCs w:val="18"/>
              </w:rPr>
              <w:t xml:space="preserve">Slow STS</w:t>
            </w:r>
          </w:p>
        </w:tc>
        <w:tc>
          <w:tcPr>
            <w:tcW w:type="dxa" w:w="2621"/>
            <w:tcMar>
              <w:top w:type="dxa" w:w="50"/>
              <w:left w:type="dxa" w:w="100"/>
              <w:bottom w:type="dxa" w:w="50"/>
              <w:right w:type="dxa" w:w="100"/>
            </w:tcMar>
          </w:tcPr>
          <w:p>
            <w:r>
              <w:rPr>
                <w:rFonts w:ascii="Calibri" w:cs="Calibri" w:eastAsia="Calibri" w:hAnsi="Calibri"/>
                <w:sz w:val="18"/>
                <w:szCs w:val="18"/>
              </w:rPr>
              <w:t xml:space="preserve">Do 5×-slowed indicators add signal?</w:t>
            </w:r>
          </w:p>
        </w:tc>
        <w:tc>
          <w:tcPr>
            <w:tcW w:type="dxa" w:w="4680"/>
            <w:tcMar>
              <w:top w:type="dxa" w:w="50"/>
              <w:left w:type="dxa" w:w="100"/>
              <w:bottom w:type="dxa" w:w="50"/>
              <w:right w:type="dxa" w:w="100"/>
            </w:tcMar>
          </w:tcPr>
          <w:p>
            <w:r>
              <w:rPr>
                <w:rFonts w:ascii="Calibri" w:cs="Calibri" w:eastAsia="Calibri" w:hAnsi="Calibri"/>
                <w:sz w:val="18"/>
                <w:szCs w:val="18"/>
              </w:rPr>
              <w:t xml:space="preserve">No — slow STS + additions ≡ additions alone; slow STS alone is worst. The indicator set is settled: the 7 additions.</w:t>
            </w:r>
          </w:p>
        </w:tc>
      </w:tr>
    </w:tbl>
    <w:p>
      <w:pPr>
        <w:spacing w:after="240" w:before="60"/>
      </w:pPr>
      <w:r>
        <w:rPr>
          <w:rFonts w:ascii="Calibri" w:cs="Calibri" w:eastAsia="Calibri" w:hAnsi="Calibri"/>
          <w:i/>
          <w:iCs/>
          <w:color w:val="555555"/>
          <w:sz w:val="18"/>
          <w:szCs w:val="18"/>
        </w:rPr>
        <w:t xml:space="preserve">Table 10. The seven studies at a glance.</w:t>
      </w:r>
    </w:p>
    <w:p>
      <w:pPr>
        <w:pStyle w:val="Heading2"/>
        <w:spacing w:after="160" w:before="280"/>
      </w:pPr>
      <w:r>
        <w:rPr>
          <w:rFonts w:ascii="Calibri" w:cs="Calibri" w:eastAsia="Calibri" w:hAnsi="Calibri"/>
        </w:rPr>
        <w:t xml:space="preserve">11.1 The arc of the findings</w:t>
      </w:r>
    </w:p>
    <w:p>
      <w:pPr>
        <w:spacing w:after="160" w:line="276"/>
        <w:jc w:val="both"/>
      </w:pPr>
      <w:r>
        <w:rPr>
          <w:rFonts w:ascii="Calibri" w:cs="Calibri" w:eastAsia="Calibri" w:hAnsi="Calibri"/>
          <w:sz w:val="22"/>
          <w:szCs w:val="22"/>
        </w:rPr>
        <w:t xml:space="preserve">The program began by asking how to weight 16 sophisticated indicators and ended with the data discarding nearly all of them in favor of four slow, simple measurements. Three structural lessons explain the arc. (1) Horizon matching: an indicator's forecast reach cannot exceed its memory; 3-day-to-2-month tools cannot see 12 weeks ahead, and when re-tuned to see that far they merely duplicate simpler features. (2) Edge concentration: no model ordered the whole market (overall IC ≈ 0 outside 2020); every workable result lived in the extreme top decile — which is also where volatility, stop attrition, and survivorship inflation concentrate. (3) Exits over entries, again: consistent with earlier intraday findings (WinC ≈ 99%) and the UTS exit sweep, the binding constraints were stops and holding period, not signal quality — the same entries swing from unusable (fixed stops, median = −15%) to strong (no stop, +0.92/week) purely by exit design.</w:t>
      </w:r>
    </w:p>
    <w:p>
      <w:pPr>
        <w:pStyle w:val="Heading2"/>
        <w:spacing w:after="160" w:before="280"/>
      </w:pPr>
      <w:r>
        <w:rPr>
          <w:rFonts w:ascii="Calibri" w:cs="Calibri" w:eastAsia="Calibri" w:hAnsi="Calibri"/>
        </w:rPr>
        <w:t xml:space="preserve">11.2 The resulting system specification</w:t>
      </w:r>
    </w:p>
    <w:p>
      <w:pPr>
        <w:pStyle w:val="ListParagraph"/>
        <w:numPr>
          <w:ilvl w:val="0"/>
          <w:numId w:val="2"/>
        </w:numPr>
        <w:spacing w:after="100" w:line="276"/>
      </w:pPr>
      <w:r>
        <w:rPr>
          <w:rFonts w:ascii="Calibri" w:cs="Calibri" w:eastAsia="Calibri" w:hAnsi="Calibri"/>
          <w:sz w:val="22"/>
          <w:szCs w:val="22"/>
        </w:rPr>
        <w:t xml:space="preserve">Selection: nightly composite score over the universe — weights ≈3.0·(below 52-wk high) +2.0·(above 200-DMA) +1.5·(6-mo momentum) +1.5·(washed-out QQE) −1.5·(SPY extension) +1.0·(8-wk RS) +1.0·(Hull rising) + minor terms, applied to z-scored features; trade only the top decile (≈ top 60 names), which self-adjusts daily by rank.</w:t>
      </w:r>
    </w:p>
    <w:p>
      <w:pPr>
        <w:pStyle w:val="ListParagraph"/>
        <w:numPr>
          <w:ilvl w:val="0"/>
          <w:numId w:val="2"/>
        </w:numPr>
        <w:spacing w:after="100" w:line="276"/>
      </w:pPr>
      <w:r>
        <w:rPr>
          <w:rFonts w:ascii="Calibri" w:cs="Calibri" w:eastAsia="Calibri" w:hAnsi="Calibri"/>
          <w:sz w:val="22"/>
          <w:szCs w:val="22"/>
        </w:rPr>
        <w:t xml:space="preserve">Gate: SSI2 fundamental thesis review on every candidate — the only tool shown capable of separating recoveries from value traps.</w:t>
      </w:r>
    </w:p>
    <w:p>
      <w:pPr>
        <w:pStyle w:val="ListParagraph"/>
        <w:numPr>
          <w:ilvl w:val="0"/>
          <w:numId w:val="2"/>
        </w:numPr>
        <w:spacing w:after="100" w:line="276"/>
      </w:pPr>
      <w:r>
        <w:rPr>
          <w:rFonts w:ascii="Calibri" w:cs="Calibri" w:eastAsia="Calibri" w:hAnsi="Calibri"/>
          <w:sz w:val="22"/>
          <w:szCs w:val="22"/>
        </w:rPr>
        <w:t xml:space="preserve">Position sizing: 4–5% equal positions (≈20 names); this, not stops, is the risk control.</w:t>
      </w:r>
    </w:p>
    <w:p>
      <w:pPr>
        <w:pStyle w:val="ListParagraph"/>
        <w:numPr>
          <w:ilvl w:val="0"/>
          <w:numId w:val="2"/>
        </w:numPr>
        <w:spacing w:after="100" w:line="276"/>
      </w:pPr>
      <w:r>
        <w:rPr>
          <w:rFonts w:ascii="Calibri" w:cs="Calibri" w:eastAsia="Calibri" w:hAnsi="Calibri"/>
          <w:sz w:val="22"/>
          <w:szCs w:val="22"/>
        </w:rPr>
        <w:t xml:space="preserve">Stops: none within the noise band; a catastrophe-only line (≈−40% or thesis broken) as insurance against the survivorship-hidden tail.</w:t>
      </w:r>
    </w:p>
    <w:p>
      <w:pPr>
        <w:pStyle w:val="ListParagraph"/>
        <w:numPr>
          <w:ilvl w:val="0"/>
          <w:numId w:val="2"/>
        </w:numPr>
        <w:spacing w:after="100" w:line="276"/>
      </w:pPr>
      <w:r>
        <w:rPr>
          <w:rFonts w:ascii="Calibri" w:cs="Calibri" w:eastAsia="Calibri" w:hAnsi="Calibri"/>
          <w:sz w:val="22"/>
          <w:szCs w:val="22"/>
        </w:rPr>
        <w:t xml:space="preserve">Horizon: 12-week review-and-roll — hold while the name remains in the top deciles, recycle otherwise; momentum persists to at least 24 weeks.</w:t>
      </w:r>
    </w:p>
    <w:p>
      <w:pPr>
        <w:pStyle w:val="ListParagraph"/>
        <w:numPr>
          <w:ilvl w:val="0"/>
          <w:numId w:val="2"/>
        </w:numPr>
        <w:spacing w:after="100" w:line="276"/>
      </w:pPr>
      <w:r>
        <w:rPr>
          <w:rFonts w:ascii="Calibri" w:cs="Calibri" w:eastAsia="Calibri" w:hAnsi="Calibri"/>
          <w:sz w:val="22"/>
          <w:szCs w:val="22"/>
        </w:rPr>
        <w:t xml:space="preserve">Regime dial: SPY vs its 200-DMA modulates aggressiveness (sizing/new-entry count), used as a graded dial, never a veto — and gates the base-breakout lane specifically.</w:t>
      </w:r>
    </w:p>
    <w:p>
      <w:pPr>
        <w:pStyle w:val="ListParagraph"/>
        <w:numPr>
          <w:ilvl w:val="0"/>
          <w:numId w:val="2"/>
        </w:numPr>
        <w:spacing w:after="100" w:line="276"/>
      </w:pPr>
      <w:r>
        <w:rPr>
          <w:rFonts w:ascii="Calibri" w:cs="Calibri" w:eastAsia="Calibri" w:hAnsi="Calibri"/>
          <w:sz w:val="22"/>
          <w:szCs w:val="22"/>
        </w:rPr>
        <w:t xml:space="preserve">Lane B (crash recoveries): discretionary and SSI2-gated, small size, preferably during market-wide stress; explicitly not technical.</w:t>
      </w:r>
    </w:p>
    <w:p>
      <w:pPr>
        <w:pStyle w:val="Heading1"/>
        <w:spacing w:after="200" w:before="360"/>
      </w:pPr>
      <w:r>
        <w:rPr>
          <w:rFonts w:ascii="Calibri" w:cs="Calibri" w:eastAsia="Calibri" w:hAnsi="Calibri"/>
        </w:rPr>
        <w:t xml:space="preserve">12. Limitations</w:t>
      </w:r>
    </w:p>
    <w:p>
      <w:pPr>
        <w:pStyle w:val="ListParagraph"/>
        <w:numPr>
          <w:ilvl w:val="0"/>
          <w:numId w:val="2"/>
        </w:numPr>
        <w:spacing w:after="100" w:line="276"/>
      </w:pPr>
      <w:r>
        <w:rPr>
          <w:rFonts w:ascii="Calibri" w:cs="Calibri" w:eastAsia="Calibri" w:hAnsi="Calibri"/>
          <w:sz w:val="22"/>
          <w:szCs w:val="22"/>
        </w:rPr>
        <w:t xml:space="preserve">Survivorship bias pervades every result and is largest for deep-drawdown setups, no-stop rules, and longer horizons. All absolute win rates are ceilings.</w:t>
      </w:r>
    </w:p>
    <w:p>
      <w:pPr>
        <w:pStyle w:val="ListParagraph"/>
        <w:numPr>
          <w:ilvl w:val="0"/>
          <w:numId w:val="2"/>
        </w:numPr>
        <w:spacing w:after="100" w:line="276"/>
      </w:pPr>
      <w:r>
        <w:rPr>
          <w:rFonts w:ascii="Calibri" w:cs="Calibri" w:eastAsia="Calibri" w:hAnsi="Calibri"/>
          <w:sz w:val="22"/>
          <w:szCs w:val="22"/>
        </w:rPr>
        <w:t xml:space="preserve">Execution assumptions are optimistic: stop fills at the stop level, entries at the close, no transaction costs, slippage, or borrow considerations.</w:t>
      </w:r>
    </w:p>
    <w:p>
      <w:pPr>
        <w:pStyle w:val="ListParagraph"/>
        <w:numPr>
          <w:ilvl w:val="0"/>
          <w:numId w:val="2"/>
        </w:numPr>
        <w:spacing w:after="100" w:line="276"/>
      </w:pPr>
      <w:r>
        <w:rPr>
          <w:rFonts w:ascii="Calibri" w:cs="Calibri" w:eastAsia="Calibri" w:hAnsi="Calibri"/>
          <w:sz w:val="22"/>
          <w:szCs w:val="22"/>
        </w:rPr>
        <w:t xml:space="preserve">Overlapping observations: weekly sampling reduces but does not eliminate label overlap; consecutive same-ticker rows share most of their forward window, understating effective sample independence.</w:t>
      </w:r>
    </w:p>
    <w:p>
      <w:pPr>
        <w:pStyle w:val="ListParagraph"/>
        <w:numPr>
          <w:ilvl w:val="0"/>
          <w:numId w:val="2"/>
        </w:numPr>
        <w:spacing w:after="100" w:line="276"/>
      </w:pPr>
      <w:r>
        <w:rPr>
          <w:rFonts w:ascii="Calibri" w:cs="Calibri" w:eastAsia="Calibri" w:hAnsi="Calibri"/>
          <w:sz w:val="22"/>
          <w:szCs w:val="22"/>
        </w:rPr>
        <w:t xml:space="preserve">Regime concentration: much of the measured edge derives from 2020, 2023 and 2025; 2021-style chop was adverse for every configuration tested.</w:t>
      </w:r>
    </w:p>
    <w:p>
      <w:pPr>
        <w:pStyle w:val="ListParagraph"/>
        <w:numPr>
          <w:ilvl w:val="0"/>
          <w:numId w:val="2"/>
        </w:numPr>
        <w:spacing w:after="100" w:line="276"/>
      </w:pPr>
      <w:r>
        <w:rPr>
          <w:rFonts w:ascii="Calibri" w:cs="Calibri" w:eastAsia="Calibri" w:hAnsi="Calibri"/>
          <w:sz w:val="22"/>
          <w:szCs w:val="22"/>
        </w:rPr>
        <w:t xml:space="preserve">Multiple comparisons: seven sequential studies on one dataset invite data snooping despite walk-forward discipline and sign-consistency filters; the specification should be treated as a hypothesis.</w:t>
      </w:r>
    </w:p>
    <w:p>
      <w:pPr>
        <w:pStyle w:val="ListParagraph"/>
        <w:numPr>
          <w:ilvl w:val="0"/>
          <w:numId w:val="2"/>
        </w:numPr>
        <w:spacing w:after="100" w:line="276"/>
      </w:pPr>
      <w:r>
        <w:rPr>
          <w:rFonts w:ascii="Calibri" w:cs="Calibri" w:eastAsia="Calibri" w:hAnsi="Calibri"/>
          <w:sz w:val="22"/>
          <w:szCs w:val="22"/>
        </w:rPr>
        <w:t xml:space="preserve">The SSI2 fundamental gate is untestable historically (judgment-based) and enters the specification on the strength of a negative result — technicals cannot do the job — not a positive validation.</w:t>
      </w:r>
    </w:p>
    <w:p>
      <w:pPr>
        <w:spacing w:after="160" w:line="276"/>
        <w:jc w:val="both"/>
      </w:pPr>
      <w:r>
        <w:rPr>
          <w:rFonts w:ascii="Calibri" w:cs="Calibri" w:eastAsia="Calibri" w:hAnsi="Calibri"/>
          <w:sz w:val="22"/>
          <w:szCs w:val="22"/>
        </w:rPr>
        <w:t xml:space="preserve">For all these reasons the specification's true test is forward: a paper-tracking program of at least 100 closed trades on the live, survivorship-free market, with pre-committed reading rules, before capital deployment.</w:t>
      </w:r>
    </w:p>
    <w:p>
      <w:pPr>
        <w:pStyle w:val="Heading1"/>
        <w:spacing w:after="200" w:before="360"/>
      </w:pPr>
      <w:r>
        <w:rPr>
          <w:rFonts w:ascii="Calibri" w:cs="Calibri" w:eastAsia="Calibri" w:hAnsi="Calibri"/>
        </w:rPr>
        <w:t xml:space="preserve">13. Future Work</w:t>
      </w:r>
    </w:p>
    <w:p>
      <w:pPr>
        <w:pStyle w:val="ListParagraph"/>
        <w:numPr>
          <w:ilvl w:val="0"/>
          <w:numId w:val="2"/>
        </w:numPr>
        <w:spacing w:after="100" w:line="276"/>
      </w:pPr>
      <w:r>
        <w:rPr>
          <w:rFonts w:ascii="Calibri" w:cs="Calibri" w:eastAsia="Calibri" w:hAnsi="Calibri"/>
          <w:sz w:val="22"/>
          <w:szCs w:val="22"/>
        </w:rPr>
        <w:t xml:space="preserve">Nightly scanner implementing the composite score across the ~600-ticker universe with Telegram delivery of the ranked top decile and per-name feature breakdowns.</w:t>
      </w:r>
    </w:p>
    <w:p>
      <w:pPr>
        <w:pStyle w:val="ListParagraph"/>
        <w:numPr>
          <w:ilvl w:val="0"/>
          <w:numId w:val="2"/>
        </w:numPr>
        <w:spacing w:after="100" w:line="276"/>
      </w:pPr>
      <w:r>
        <w:rPr>
          <w:rFonts w:ascii="Calibri" w:cs="Calibri" w:eastAsia="Calibri" w:hAnsi="Calibri"/>
          <w:sz w:val="22"/>
          <w:szCs w:val="22"/>
        </w:rPr>
        <w:t xml:space="preserve">Paper tracker accumulation to a 100-trade sample with pre-committed evaluation rules; separate books for the momentum-pullback lane and the discretionary Lane B.</w:t>
      </w:r>
    </w:p>
    <w:p>
      <w:pPr>
        <w:pStyle w:val="ListParagraph"/>
        <w:numPr>
          <w:ilvl w:val="0"/>
          <w:numId w:val="2"/>
        </w:numPr>
        <w:spacing w:after="100" w:line="276"/>
      </w:pPr>
      <w:r>
        <w:rPr>
          <w:rFonts w:ascii="Calibri" w:cs="Calibri" w:eastAsia="Calibri" w:hAnsi="Calibri"/>
          <w:sz w:val="22"/>
          <w:szCs w:val="22"/>
        </w:rPr>
        <w:t xml:space="preserve">Review-and-roll exit test: formalize the week-12 re-ranking rule and compare against hard 12- and 24-week exits.</w:t>
      </w:r>
    </w:p>
    <w:p>
      <w:pPr>
        <w:pStyle w:val="ListParagraph"/>
        <w:numPr>
          <w:ilvl w:val="0"/>
          <w:numId w:val="2"/>
        </w:numPr>
        <w:spacing w:after="100" w:line="276"/>
      </w:pPr>
      <w:r>
        <w:rPr>
          <w:rFonts w:ascii="Calibri" w:cs="Calibri" w:eastAsia="Calibri" w:hAnsi="Calibri"/>
          <w:sz w:val="22"/>
          <w:szCs w:val="22"/>
        </w:rPr>
        <w:t xml:space="preserve">Survivorship-corrected re-estimation using a point-in-time universe (delisted tickers included), the single most valuable robustness upgrade available.</w:t>
      </w:r>
    </w:p>
    <w:p>
      <w:pPr>
        <w:pStyle w:val="ListParagraph"/>
        <w:numPr>
          <w:ilvl w:val="0"/>
          <w:numId w:val="2"/>
        </w:numPr>
        <w:spacing w:after="100" w:line="276"/>
      </w:pPr>
      <w:r>
        <w:rPr>
          <w:rFonts w:ascii="Calibri" w:cs="Calibri" w:eastAsia="Calibri" w:hAnsi="Calibri"/>
          <w:sz w:val="22"/>
          <w:szCs w:val="22"/>
        </w:rPr>
        <w:t xml:space="preserve">Volatility-aware sizing refinements (ATR-scaled position sizes at fixed dollar risk) as an alternative to equal weights.</w:t>
      </w:r>
    </w:p>
    <w:p>
      <w:pPr>
        <w:pStyle w:val="Heading1"/>
        <w:spacing w:after="200" w:before="360"/>
      </w:pPr>
      <w:r>
        <w:rPr>
          <w:rFonts w:ascii="Calibri" w:cs="Calibri" w:eastAsia="Calibri" w:hAnsi="Calibri"/>
        </w:rPr>
        <w:t xml:space="preserve">References</w:t>
      </w:r>
    </w:p>
    <w:p>
      <w:pPr>
        <w:spacing w:after="160" w:line="276"/>
        <w:jc w:val="both"/>
      </w:pPr>
      <w:r>
        <w:rPr>
          <w:rFonts w:ascii="Calibri" w:cs="Calibri" w:eastAsia="Calibri" w:hAnsi="Calibri"/>
          <w:sz w:val="22"/>
          <w:szCs w:val="22"/>
        </w:rPr>
        <w:t xml:space="preserve">Ehlers, J. F. (2004). Cybernetic Analysis for Stocks and Futures. Wiley. (Fisher Transform.)</w:t>
      </w:r>
    </w:p>
    <w:p>
      <w:pPr>
        <w:spacing w:after="160" w:line="276"/>
        <w:jc w:val="both"/>
      </w:pPr>
      <w:r>
        <w:rPr>
          <w:rFonts w:ascii="Calibri" w:cs="Calibri" w:eastAsia="Calibri" w:hAnsi="Calibri"/>
          <w:sz w:val="22"/>
          <w:szCs w:val="22"/>
        </w:rPr>
        <w:t xml:space="preserve">Faber, M. (2007). A Quantitative Approach to Tactical Asset Allocation. Journal of Wealth Management, 9(4). (200-day moving-average trend filters.)</w:t>
      </w:r>
    </w:p>
    <w:p>
      <w:pPr>
        <w:spacing w:after="160" w:line="276"/>
        <w:jc w:val="both"/>
      </w:pPr>
      <w:r>
        <w:rPr>
          <w:rFonts w:ascii="Calibri" w:cs="Calibri" w:eastAsia="Calibri" w:hAnsi="Calibri"/>
          <w:sz w:val="22"/>
          <w:szCs w:val="22"/>
        </w:rPr>
        <w:t xml:space="preserve">George, T. J., &amp; Hwang, C.-Y. (2004). The 52-Week High and Momentum Investing. Journal of Finance, 59(5), 2145–2176.</w:t>
      </w:r>
    </w:p>
    <w:p>
      <w:pPr>
        <w:spacing w:after="160" w:line="276"/>
        <w:jc w:val="both"/>
      </w:pPr>
      <w:r>
        <w:rPr>
          <w:rFonts w:ascii="Calibri" w:cs="Calibri" w:eastAsia="Calibri" w:hAnsi="Calibri"/>
          <w:sz w:val="22"/>
          <w:szCs w:val="22"/>
        </w:rPr>
        <w:t xml:space="preserve">Jegadeesh, N., &amp; Titman, S. (1993). Returns to Buying Winners and Selling Losers: Implications for Stock Market Efficiency. Journal of Finance, 48(1), 65–91.</w:t>
      </w:r>
    </w:p>
    <w:p>
      <w:pPr>
        <w:spacing w:after="160" w:line="276"/>
        <w:jc w:val="both"/>
      </w:pPr>
      <w:r>
        <w:rPr>
          <w:rFonts w:ascii="Calibri" w:cs="Calibri" w:eastAsia="Calibri" w:hAnsi="Calibri"/>
          <w:sz w:val="22"/>
          <w:szCs w:val="22"/>
        </w:rPr>
        <w:t xml:space="preserve">Weinstein, S. (1988). Secrets for Profiting in Bull and Bear Markets. McGraw-Hill. (Stage analysis; base breakouts.)</w:t>
      </w:r>
    </w:p>
    <w:p>
      <w:pPr>
        <w:pStyle w:val="Heading1"/>
        <w:spacing w:after="200" w:before="360"/>
      </w:pPr>
      <w:r>
        <w:rPr>
          <w:rFonts w:ascii="Calibri" w:cs="Calibri" w:eastAsia="Calibri" w:hAnsi="Calibri"/>
        </w:rPr>
        <w:t xml:space="preserve">Appendix A — Metric Glossary</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246"/>
        <w:gridCol w:w="7114"/>
      </w:tblGrid>
      <w:tr>
        <w:trPr>
          <w:tblHeader/>
        </w:trPr>
        <w:tc>
          <w:tcPr>
            <w:tcW w:type="dxa" w:w="2246"/>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Term</w:t>
            </w:r>
          </w:p>
        </w:tc>
        <w:tc>
          <w:tcPr>
            <w:tcW w:type="dxa" w:w="7114"/>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Definition</w:t>
            </w:r>
          </w:p>
        </w:tc>
      </w:tr>
      <w:tr>
        <w:tc>
          <w:tcPr>
            <w:tcW w:type="dxa" w:w="2246"/>
            <w:tcMar>
              <w:top w:type="dxa" w:w="50"/>
              <w:left w:type="dxa" w:w="100"/>
              <w:bottom w:type="dxa" w:w="50"/>
              <w:right w:type="dxa" w:w="100"/>
            </w:tcMar>
          </w:tcPr>
          <w:p>
            <w:r>
              <w:rPr>
                <w:rFonts w:ascii="Calibri" w:cs="Calibri" w:eastAsia="Calibri" w:hAnsi="Calibri"/>
                <w:sz w:val="18"/>
                <w:szCs w:val="18"/>
              </w:rPr>
              <w:t xml:space="preserve">Spearman IC</w:t>
            </w:r>
          </w:p>
        </w:tc>
        <w:tc>
          <w:tcPr>
            <w:tcW w:type="dxa" w:w="7114"/>
            <w:tcMar>
              <w:top w:type="dxa" w:w="50"/>
              <w:left w:type="dxa" w:w="100"/>
              <w:bottom w:type="dxa" w:w="50"/>
              <w:right w:type="dxa" w:w="100"/>
            </w:tcMar>
          </w:tcPr>
          <w:p>
            <w:r>
              <w:rPr>
                <w:rFonts w:ascii="Calibri" w:cs="Calibri" w:eastAsia="Calibri" w:hAnsi="Calibri"/>
                <w:sz w:val="18"/>
                <w:szCs w:val="18"/>
              </w:rPr>
              <w:t xml:space="preserve">Rank correlation between model score and realized outcome on unseen data. Grades whole-list ordering; ≈ 0 here outside 2020, while decile extremes carried the edge.</w:t>
            </w:r>
          </w:p>
        </w:tc>
      </w:tr>
      <w:tr>
        <w:tc>
          <w:tcPr>
            <w:tcW w:type="dxa" w:w="2246"/>
            <w:shd w:fill="F2F2F2" w:val="clear"/>
            <w:tcMar>
              <w:top w:type="dxa" w:w="50"/>
              <w:left w:type="dxa" w:w="100"/>
              <w:bottom w:type="dxa" w:w="50"/>
              <w:right w:type="dxa" w:w="100"/>
            </w:tcMar>
          </w:tcPr>
          <w:p>
            <w:r>
              <w:rPr>
                <w:rFonts w:ascii="Calibri" w:cs="Calibri" w:eastAsia="Calibri" w:hAnsi="Calibri"/>
                <w:sz w:val="18"/>
                <w:szCs w:val="18"/>
              </w:rPr>
              <w:t xml:space="preserve">Decile (D1–D10)</w:t>
            </w:r>
          </w:p>
        </w:tc>
        <w:tc>
          <w:tcPr>
            <w:tcW w:type="dxa" w:w="7114"/>
            <w:shd w:fill="F2F2F2" w:val="clear"/>
            <w:tcMar>
              <w:top w:type="dxa" w:w="50"/>
              <w:left w:type="dxa" w:w="100"/>
              <w:bottom w:type="dxa" w:w="50"/>
              <w:right w:type="dxa" w:w="100"/>
            </w:tcMar>
          </w:tcPr>
          <w:p>
            <w:r>
              <w:rPr>
                <w:rFonts w:ascii="Calibri" w:cs="Calibri" w:eastAsia="Calibri" w:hAnsi="Calibri"/>
                <w:sz w:val="18"/>
                <w:szCs w:val="18"/>
              </w:rPr>
              <w:t xml:space="preserve">Test bars ranked by score and split into tenths per fold; D10 = the model's favorite 10%. Operationally: rank the universe nightly, top ~10% = candidates.</w:t>
            </w:r>
          </w:p>
        </w:tc>
      </w:tr>
      <w:tr>
        <w:tc>
          <w:tcPr>
            <w:tcW w:type="dxa" w:w="2246"/>
            <w:tcMar>
              <w:top w:type="dxa" w:w="50"/>
              <w:left w:type="dxa" w:w="100"/>
              <w:bottom w:type="dxa" w:w="50"/>
              <w:right w:type="dxa" w:w="100"/>
            </w:tcMar>
          </w:tcPr>
          <w:p>
            <w:r>
              <w:rPr>
                <w:rFonts w:ascii="Calibri" w:cs="Calibri" w:eastAsia="Calibri" w:hAnsi="Calibri"/>
                <w:sz w:val="18"/>
                <w:szCs w:val="18"/>
              </w:rPr>
              <w:t xml:space="preserve">R (stop-adjusted return)</w:t>
            </w:r>
          </w:p>
        </w:tc>
        <w:tc>
          <w:tcPr>
            <w:tcW w:type="dxa" w:w="7114"/>
            <w:tcMar>
              <w:top w:type="dxa" w:w="50"/>
              <w:left w:type="dxa" w:w="100"/>
              <w:bottom w:type="dxa" w:w="50"/>
              <w:right w:type="dxa" w:w="100"/>
            </w:tcMar>
          </w:tcPr>
          <w:p>
            <w:r>
              <w:rPr>
                <w:rFonts w:ascii="Calibri" w:cs="Calibri" w:eastAsia="Calibri" w:hAnsi="Calibri"/>
                <w:sz w:val="18"/>
                <w:szCs w:val="18"/>
              </w:rPr>
              <w:t xml:space="preserve">Stop-loss value if the low breached the stop before the horizon, else the horizon return.</w:t>
            </w:r>
          </w:p>
        </w:tc>
      </w:tr>
      <w:tr>
        <w:tc>
          <w:tcPr>
            <w:tcW w:type="dxa" w:w="2246"/>
            <w:shd w:fill="F2F2F2" w:val="clear"/>
            <w:tcMar>
              <w:top w:type="dxa" w:w="50"/>
              <w:left w:type="dxa" w:w="100"/>
              <w:bottom w:type="dxa" w:w="50"/>
              <w:right w:type="dxa" w:w="100"/>
            </w:tcMar>
          </w:tcPr>
          <w:p>
            <w:r>
              <w:rPr>
                <w:rFonts w:ascii="Calibri" w:cs="Calibri" w:eastAsia="Calibri" w:hAnsi="Calibri"/>
                <w:sz w:val="18"/>
                <w:szCs w:val="18"/>
              </w:rPr>
              <w:t xml:space="preserve">R-multiple</w:t>
            </w:r>
          </w:p>
        </w:tc>
        <w:tc>
          <w:tcPr>
            <w:tcW w:type="dxa" w:w="7114"/>
            <w:shd w:fill="F2F2F2" w:val="clear"/>
            <w:tcMar>
              <w:top w:type="dxa" w:w="50"/>
              <w:left w:type="dxa" w:w="100"/>
              <w:bottom w:type="dxa" w:w="50"/>
              <w:right w:type="dxa" w:w="100"/>
            </w:tcMar>
          </w:tcPr>
          <w:p>
            <w:r>
              <w:rPr>
                <w:rFonts w:ascii="Calibri" w:cs="Calibri" w:eastAsia="Calibri" w:hAnsi="Calibri"/>
                <w:sz w:val="18"/>
                <w:szCs w:val="18"/>
              </w:rPr>
              <w:t xml:space="preserve">Return ÷ initial stop distance = profit per dollar risked; the fair metric across stop widths under equal-dollar-risk sizing.</w:t>
            </w:r>
          </w:p>
        </w:tc>
      </w:tr>
      <w:tr>
        <w:tc>
          <w:tcPr>
            <w:tcW w:type="dxa" w:w="2246"/>
            <w:tcMar>
              <w:top w:type="dxa" w:w="50"/>
              <w:left w:type="dxa" w:w="100"/>
              <w:bottom w:type="dxa" w:w="50"/>
              <w:right w:type="dxa" w:w="100"/>
            </w:tcMar>
          </w:tcPr>
          <w:p>
            <w:r>
              <w:rPr>
                <w:rFonts w:ascii="Calibri" w:cs="Calibri" w:eastAsia="Calibri" w:hAnsi="Calibri"/>
                <w:sz w:val="18"/>
                <w:szCs w:val="18"/>
              </w:rPr>
              <w:t xml:space="preserve">Win rate / WinA</w:t>
            </w:r>
          </w:p>
        </w:tc>
        <w:tc>
          <w:tcPr>
            <w:tcW w:type="dxa" w:w="7114"/>
            <w:tcMar>
              <w:top w:type="dxa" w:w="50"/>
              <w:left w:type="dxa" w:w="100"/>
              <w:bottom w:type="dxa" w:w="50"/>
              <w:right w:type="dxa" w:w="100"/>
            </w:tcMar>
          </w:tcPr>
          <w:p>
            <w:r>
              <w:rPr>
                <w:rFonts w:ascii="Calibri" w:cs="Calibri" w:eastAsia="Calibri" w:hAnsi="Calibri"/>
                <w:sz w:val="18"/>
                <w:szCs w:val="18"/>
              </w:rPr>
              <w:t xml:space="preserve">Share of trades with outcome &gt; 0.</w:t>
            </w:r>
          </w:p>
        </w:tc>
      </w:tr>
      <w:tr>
        <w:tc>
          <w:tcPr>
            <w:tcW w:type="dxa" w:w="2246"/>
            <w:shd w:fill="F2F2F2" w:val="clear"/>
            <w:tcMar>
              <w:top w:type="dxa" w:w="50"/>
              <w:left w:type="dxa" w:w="100"/>
              <w:bottom w:type="dxa" w:w="50"/>
              <w:right w:type="dxa" w:w="100"/>
            </w:tcMar>
          </w:tcPr>
          <w:p>
            <w:r>
              <w:rPr>
                <w:rFonts w:ascii="Calibri" w:cs="Calibri" w:eastAsia="Calibri" w:hAnsi="Calibri"/>
                <w:sz w:val="18"/>
                <w:szCs w:val="18"/>
              </w:rPr>
              <w:t xml:space="preserve">MFE / MAE</w:t>
            </w:r>
          </w:p>
        </w:tc>
        <w:tc>
          <w:tcPr>
            <w:tcW w:type="dxa" w:w="7114"/>
            <w:shd w:fill="F2F2F2" w:val="clear"/>
            <w:tcMar>
              <w:top w:type="dxa" w:w="50"/>
              <w:left w:type="dxa" w:w="100"/>
              <w:bottom w:type="dxa" w:w="50"/>
              <w:right w:type="dxa" w:w="100"/>
            </w:tcMar>
          </w:tcPr>
          <w:p>
            <w:r>
              <w:rPr>
                <w:rFonts w:ascii="Calibri" w:cs="Calibri" w:eastAsia="Calibri" w:hAnsi="Calibri"/>
                <w:sz w:val="18"/>
                <w:szCs w:val="18"/>
              </w:rPr>
              <w:t xml:space="preserve">Maximum favorable / adverse excursion vs entry within the window.</w:t>
            </w:r>
          </w:p>
        </w:tc>
      </w:tr>
      <w:tr>
        <w:tc>
          <w:tcPr>
            <w:tcW w:type="dxa" w:w="2246"/>
            <w:tcMar>
              <w:top w:type="dxa" w:w="50"/>
              <w:left w:type="dxa" w:w="100"/>
              <w:bottom w:type="dxa" w:w="50"/>
              <w:right w:type="dxa" w:w="100"/>
            </w:tcMar>
          </w:tcPr>
          <w:p>
            <w:r>
              <w:rPr>
                <w:rFonts w:ascii="Calibri" w:cs="Calibri" w:eastAsia="Calibri" w:hAnsi="Calibri"/>
                <w:sz w:val="18"/>
                <w:szCs w:val="18"/>
              </w:rPr>
              <w:t xml:space="preserve">Sign consistency</w:t>
            </w:r>
          </w:p>
        </w:tc>
        <w:tc>
          <w:tcPr>
            <w:tcW w:type="dxa" w:w="7114"/>
            <w:tcMar>
              <w:top w:type="dxa" w:w="50"/>
              <w:left w:type="dxa" w:w="100"/>
              <w:bottom w:type="dxa" w:w="50"/>
              <w:right w:type="dxa" w:w="100"/>
            </w:tcMar>
          </w:tcPr>
          <w:p>
            <w:r>
              <w:rPr>
                <w:rFonts w:ascii="Calibri" w:cs="Calibri" w:eastAsia="Calibri" w:hAnsi="Calibri"/>
                <w:sz w:val="18"/>
                <w:szCs w:val="18"/>
              </w:rPr>
              <w:t xml:space="preserve">Share of walk-forward folds where a weight kept its sign; ≥80% = trustworthy.</w:t>
            </w:r>
          </w:p>
        </w:tc>
      </w:tr>
      <w:tr>
        <w:tc>
          <w:tcPr>
            <w:tcW w:type="dxa" w:w="2246"/>
            <w:shd w:fill="F2F2F2" w:val="clear"/>
            <w:tcMar>
              <w:top w:type="dxa" w:w="50"/>
              <w:left w:type="dxa" w:w="100"/>
              <w:bottom w:type="dxa" w:w="50"/>
              <w:right w:type="dxa" w:w="100"/>
            </w:tcMar>
          </w:tcPr>
          <w:p>
            <w:r>
              <w:rPr>
                <w:rFonts w:ascii="Calibri" w:cs="Calibri" w:eastAsia="Calibri" w:hAnsi="Calibri"/>
                <w:sz w:val="18"/>
                <w:szCs w:val="18"/>
              </w:rPr>
              <w:t xml:space="preserve">Purge gap</w:t>
            </w:r>
          </w:p>
        </w:tc>
        <w:tc>
          <w:tcPr>
            <w:tcW w:type="dxa" w:w="7114"/>
            <w:shd w:fill="F2F2F2" w:val="clear"/>
            <w:tcMar>
              <w:top w:type="dxa" w:w="50"/>
              <w:left w:type="dxa" w:w="100"/>
              <w:bottom w:type="dxa" w:w="50"/>
              <w:right w:type="dxa" w:w="100"/>
            </w:tcMar>
          </w:tcPr>
          <w:p>
            <w:r>
              <w:rPr>
                <w:rFonts w:ascii="Calibri" w:cs="Calibri" w:eastAsia="Calibri" w:hAnsi="Calibri"/>
                <w:sz w:val="18"/>
                <w:szCs w:val="18"/>
              </w:rPr>
              <w:t xml:space="preserve">Calendar gap (90–200 days) between training cutoff and test start so training labels cannot overlap test outcomes.</w:t>
            </w:r>
          </w:p>
        </w:tc>
      </w:tr>
      <w:tr>
        <w:tc>
          <w:tcPr>
            <w:tcW w:type="dxa" w:w="2246"/>
            <w:tcMar>
              <w:top w:type="dxa" w:w="50"/>
              <w:left w:type="dxa" w:w="100"/>
              <w:bottom w:type="dxa" w:w="50"/>
              <w:right w:type="dxa" w:w="100"/>
            </w:tcMar>
          </w:tcPr>
          <w:p>
            <w:r>
              <w:rPr>
                <w:rFonts w:ascii="Calibri" w:cs="Calibri" w:eastAsia="Calibri" w:hAnsi="Calibri"/>
                <w:sz w:val="18"/>
                <w:szCs w:val="18"/>
              </w:rPr>
              <w:t xml:space="preserve">Walk-forward</w:t>
            </w:r>
          </w:p>
        </w:tc>
        <w:tc>
          <w:tcPr>
            <w:tcW w:type="dxa" w:w="7114"/>
            <w:tcMar>
              <w:top w:type="dxa" w:w="50"/>
              <w:left w:type="dxa" w:w="100"/>
              <w:bottom w:type="dxa" w:w="50"/>
              <w:right w:type="dxa" w:w="100"/>
            </w:tcMar>
          </w:tcPr>
          <w:p>
            <w:r>
              <w:rPr>
                <w:rFonts w:ascii="Calibri" w:cs="Calibri" w:eastAsia="Calibri" w:hAnsi="Calibri"/>
                <w:sz w:val="18"/>
                <w:szCs w:val="18"/>
              </w:rPr>
              <w:t xml:space="preserve">Expanding-window train → unseen-year test → slide → retrain; every reported result is out-of-sample.</w:t>
            </w:r>
          </w:p>
        </w:tc>
      </w:tr>
      <w:tr>
        <w:tc>
          <w:tcPr>
            <w:tcW w:type="dxa" w:w="2246"/>
            <w:shd w:fill="F2F2F2" w:val="clear"/>
            <w:tcMar>
              <w:top w:type="dxa" w:w="50"/>
              <w:left w:type="dxa" w:w="100"/>
              <w:bottom w:type="dxa" w:w="50"/>
              <w:right w:type="dxa" w:w="100"/>
            </w:tcMar>
          </w:tcPr>
          <w:p>
            <w:r>
              <w:rPr>
                <w:rFonts w:ascii="Calibri" w:cs="Calibri" w:eastAsia="Calibri" w:hAnsi="Calibri"/>
                <w:sz w:val="18"/>
                <w:szCs w:val="18"/>
              </w:rPr>
              <w:t xml:space="preserve">z-score</w:t>
            </w:r>
          </w:p>
        </w:tc>
        <w:tc>
          <w:tcPr>
            <w:tcW w:type="dxa" w:w="7114"/>
            <w:shd w:fill="F2F2F2" w:val="clear"/>
            <w:tcMar>
              <w:top w:type="dxa" w:w="50"/>
              <w:left w:type="dxa" w:w="100"/>
              <w:bottom w:type="dxa" w:w="50"/>
              <w:right w:type="dxa" w:w="100"/>
            </w:tcMar>
          </w:tcPr>
          <w:p>
            <w:r>
              <w:rPr>
                <w:rFonts w:ascii="Calibri" w:cs="Calibri" w:eastAsia="Calibri" w:hAnsi="Calibri"/>
                <w:sz w:val="18"/>
                <w:szCs w:val="18"/>
              </w:rPr>
              <w:t xml:space="preserve">(value − panel mean) ÷ panel standard deviation; puts all features on a comparable scale before weighting.</w:t>
            </w:r>
          </w:p>
        </w:tc>
      </w:tr>
      <w:tr>
        <w:tc>
          <w:tcPr>
            <w:tcW w:type="dxa" w:w="2246"/>
            <w:tcMar>
              <w:top w:type="dxa" w:w="50"/>
              <w:left w:type="dxa" w:w="100"/>
              <w:bottom w:type="dxa" w:w="50"/>
              <w:right w:type="dxa" w:w="100"/>
            </w:tcMar>
          </w:tcPr>
          <w:p>
            <w:r>
              <w:rPr>
                <w:rFonts w:ascii="Calibri" w:cs="Calibri" w:eastAsia="Calibri" w:hAnsi="Calibri"/>
                <w:sz w:val="18"/>
                <w:szCs w:val="18"/>
              </w:rPr>
              <w:t xml:space="preserve">Give-back</w:t>
            </w:r>
          </w:p>
        </w:tc>
        <w:tc>
          <w:tcPr>
            <w:tcW w:type="dxa" w:w="7114"/>
            <w:tcMar>
              <w:top w:type="dxa" w:w="50"/>
              <w:left w:type="dxa" w:w="100"/>
              <w:bottom w:type="dxa" w:w="50"/>
              <w:right w:type="dxa" w:w="100"/>
            </w:tcMar>
          </w:tcPr>
          <w:p>
            <w:r>
              <w:rPr>
                <w:rFonts w:ascii="Calibri" w:cs="Calibri" w:eastAsia="Calibri" w:hAnsi="Calibri"/>
                <w:sz w:val="18"/>
                <w:szCs w:val="18"/>
              </w:rPr>
              <w:t xml:space="preserve">Among losing trades, the share that had a given profit level available intra-trade (e.g., 56% of top-quintile losers touched +10%).</w:t>
            </w:r>
          </w:p>
        </w:tc>
      </w:tr>
      <w:tr>
        <w:tc>
          <w:tcPr>
            <w:tcW w:type="dxa" w:w="2246"/>
            <w:shd w:fill="F2F2F2" w:val="clear"/>
            <w:tcMar>
              <w:top w:type="dxa" w:w="50"/>
              <w:left w:type="dxa" w:w="100"/>
              <w:bottom w:type="dxa" w:w="50"/>
              <w:right w:type="dxa" w:w="100"/>
            </w:tcMar>
          </w:tcPr>
          <w:p>
            <w:r>
              <w:rPr>
                <w:rFonts w:ascii="Calibri" w:cs="Calibri" w:eastAsia="Calibri" w:hAnsi="Calibri"/>
                <w:sz w:val="18"/>
                <w:szCs w:val="18"/>
              </w:rPr>
              <w:t xml:space="preserve">Survivorship bias</w:t>
            </w:r>
          </w:p>
        </w:tc>
        <w:tc>
          <w:tcPr>
            <w:tcW w:type="dxa" w:w="7114"/>
            <w:shd w:fill="F2F2F2" w:val="clear"/>
            <w:tcMar>
              <w:top w:type="dxa" w:w="50"/>
              <w:left w:type="dxa" w:w="100"/>
              <w:bottom w:type="dxa" w:w="50"/>
              <w:right w:type="dxa" w:w="100"/>
            </w:tcMar>
          </w:tcPr>
          <w:p>
            <w:r>
              <w:rPr>
                <w:rFonts w:ascii="Calibri" w:cs="Calibri" w:eastAsia="Calibri" w:hAnsi="Calibri"/>
                <w:sz w:val="18"/>
                <w:szCs w:val="18"/>
              </w:rPr>
              <w:t xml:space="preserve">Absence of delisted/failed stocks from a present-day universe; inflates absolute results, especially for dip-buying and no-stop rules.</w:t>
            </w:r>
          </w:p>
        </w:tc>
      </w:tr>
    </w:tbl>
    <w:p>
      <w:pPr>
        <w:spacing w:after="240" w:before="60"/>
      </w:pPr>
      <w:r>
        <w:rPr>
          <w:rFonts w:ascii="Calibri" w:cs="Calibri" w:eastAsia="Calibri" w:hAnsi="Calibri"/>
          <w:i/>
          <w:iCs/>
          <w:color w:val="555555"/>
          <w:sz w:val="18"/>
          <w:szCs w:val="18"/>
        </w:rPr>
        <w:t xml:space="preserve">Table A1. Metrics used throughout the paper.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2E5496"/>
      <w:sz w:val="26"/>
      <w:szCs w:val="26"/>
    </w:rPr>
  </w:style>
  <w:style w:type="paragraph" w:styleId="Heading3">
    <w:name w:val="Heading 3"/>
    <w:basedOn w:val="Normal"/>
    <w:next w:val="Normal"/>
    <w:qFormat/>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2026-07-17T11:29:52.519Z</dcterms:created>
  <dcterms:modified xsi:type="dcterms:W3CDTF">2026-07-17T11:29:52.519Z</dcterms:modified>
</cp:coreProperties>
</file>

<file path=docProps/custom.xml><?xml version="1.0" encoding="utf-8"?>
<Properties xmlns="http://schemas.openxmlformats.org/officeDocument/2006/custom-properties" xmlns:vt="http://schemas.openxmlformats.org/officeDocument/2006/docPropsVTypes"/>
</file>