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Predictive Signals in Options Data</w:t>
      </w:r>
    </w:p>
    <w:p>
      <w:pPr/>
      <w:r>
        <w:t xml:space="preserve">Oct 1, 2026</w:t>
      </w:r>
      <w:r>
        <w:t xml:space="preserve"> · </w:t>
      </w:r>
      <w:r>
        <w:t xml:space="preserve">@Gagan</w:t>
      </w:r>
    </w:p>
    <w:p>
      <w:pPr>
        <w:pStyle w:val="Heading2"/>
      </w:pPr>
      <w:r>
        <w:t xml:space="preserve">Summary</w:t>
      </w:r>
    </w:p>
    <w:p>
      <w:pPr/>
      <w:r>
        <w:t xml:space="preserve">Yes, option data predicts, but the evidence splits cleanly by target. Prices of variance and tail risk predict index returns and future volatility with solid theory behind them; signed option flow and IV spreads predict single stock returns, though much of that overlaps with short sale costs; dealer gamma predicts volatility and autocorrelation, not direction.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Signal family</w:t>
            </w:r>
          </w:p>
        </w:tc>
        <w:tc>
          <w:tcPr>
            <w:tcW w:w="1872" w:type="dxa"/>
            <w:shd w:val="clear" w:color="auto" w:fill="F2F2F2"/>
          </w:tcPr>
          <w:p>
            <w:pPr/>
            <w:r>
              <w:t xml:space="preserve">Best target</w:t>
            </w:r>
          </w:p>
        </w:tc>
        <w:tc>
          <w:tcPr>
            <w:tcW w:w="1872" w:type="dxa"/>
            <w:shd w:val="clear" w:color="auto" w:fill="F2F2F2"/>
          </w:tcPr>
          <w:p>
            <w:pPr/>
            <w:r>
              <w:t xml:space="preserve">Horizon</w:t>
            </w:r>
          </w:p>
        </w:tc>
        <w:tc>
          <w:tcPr>
            <w:tcW w:w="1872" w:type="dxa"/>
            <w:shd w:val="clear" w:color="auto" w:fill="F2F2F2"/>
          </w:tcPr>
          <w:p>
            <w:pPr/>
            <w:r>
              <w:t xml:space="preserve">Evidence strength</w:t>
            </w:r>
          </w:p>
        </w:tc>
        <w:tc>
          <w:tcPr>
            <w:tcW w:w="1872" w:type="dxa"/>
            <w:shd w:val="clear" w:color="auto" w:fill="F2F2F2"/>
          </w:tcPr>
          <w:p>
            <w:pPr/>
            <w:r>
              <w:t xml:space="preserve">Main caveat</w:t>
            </w:r>
          </w:p>
        </w:tc>
      </w:tr>
      <w:tr>
        <w:tc>
          <w:tcPr>
            <w:tcW w:w="1872" w:type="dxa"/>
          </w:tcPr>
          <w:p>
            <w:pPr/>
            <w:r>
              <w:t xml:space="preserve">Implied vol vs future realized vol</w:t>
            </w:r>
          </w:p>
        </w:tc>
        <w:tc>
          <w:tcPr>
            <w:tcW w:w="1872" w:type="dxa"/>
          </w:tcPr>
          <w:p>
            <w:pPr/>
            <w:r>
              <w:t xml:space="preserve">Volatility</w:t>
            </w:r>
          </w:p>
        </w:tc>
        <w:tc>
          <w:tcPr>
            <w:tcW w:w="1872" w:type="dxa"/>
          </w:tcPr>
          <w:p>
            <w:pPr/>
            <w:r>
              <w:t xml:space="preserve">1 month</w:t>
            </w:r>
          </w:p>
        </w:tc>
        <w:tc>
          <w:tcPr>
            <w:tcW w:w="1872" w:type="dxa"/>
          </w:tcPr>
          <w:p>
            <w:pPr/>
            <w:r>
              <w:t xml:space="preserve">Strong, replicated</w:t>
            </w:r>
          </w:p>
        </w:tc>
        <w:tc>
          <w:tcPr>
            <w:tcW w:w="1872" w:type="dxa"/>
          </w:tcPr>
          <w:p>
            <w:pPr/>
            <w:r>
              <w:t xml:space="preserve">IV is biased upward by the variance premium</w:t>
            </w:r>
          </w:p>
        </w:tc>
      </w:tr>
      <w:tr>
        <w:tc>
          <w:tcPr>
            <w:tcW w:w="1872" w:type="dxa"/>
          </w:tcPr>
          <w:p>
            <w:pPr/>
            <w:r>
              <w:t xml:space="preserve">Variance risk premium, tail premium, SVIX</w:t>
            </w:r>
          </w:p>
        </w:tc>
        <w:tc>
          <w:tcPr>
            <w:tcW w:w="1872" w:type="dxa"/>
          </w:tcPr>
          <w:p>
            <w:pPr/>
            <w:r>
              <w:t xml:space="preserve">Index returns</w:t>
            </w:r>
          </w:p>
        </w:tc>
        <w:tc>
          <w:tcPr>
            <w:tcW w:w="1872" w:type="dxa"/>
          </w:tcPr>
          <w:p>
            <w:pPr/>
            <w:r>
              <w:t xml:space="preserve">1 to 12 months</w:t>
            </w:r>
          </w:p>
        </w:tc>
        <w:tc>
          <w:tcPr>
            <w:tcW w:w="1872" w:type="dxa"/>
          </w:tcPr>
          <w:p>
            <w:pPr/>
            <w:r>
              <w:t xml:space="preserve">Strong, theory backed</w:t>
            </w:r>
          </w:p>
        </w:tc>
        <w:tc>
          <w:tcPr>
            <w:tcW w:w="1872" w:type="dxa"/>
          </w:tcPr>
          <w:p>
            <w:pPr/>
            <w:r>
              <w:t xml:space="preserve">Low R squared month to month</w:t>
            </w:r>
          </w:p>
        </w:tc>
      </w:tr>
      <w:tr>
        <w:tc>
          <w:tcPr>
            <w:tcW w:w="1872" w:type="dxa"/>
          </w:tcPr>
          <w:p>
            <w:pPr/>
            <w:r>
              <w:t xml:space="preserve">Risk neutral variance (Martin and Wagner)</w:t>
            </w:r>
          </w:p>
        </w:tc>
        <w:tc>
          <w:tcPr>
            <w:tcW w:w="1872" w:type="dxa"/>
          </w:tcPr>
          <w:p>
            <w:pPr/>
            <w:r>
              <w:t xml:space="preserve">Single stock returns</w:t>
            </w:r>
          </w:p>
        </w:tc>
        <w:tc>
          <w:tcPr>
            <w:tcW w:w="1872" w:type="dxa"/>
          </w:tcPr>
          <w:p>
            <w:pPr/>
            <w:r>
              <w:t xml:space="preserve">6 to 12 months</w:t>
            </w:r>
          </w:p>
        </w:tc>
        <w:tc>
          <w:tcPr>
            <w:tcW w:w="1872" w:type="dxa"/>
          </w:tcPr>
          <w:p>
            <w:pPr/>
            <w:r>
              <w:t xml:space="preserve">Strong out of sample</w:t>
            </w:r>
          </w:p>
        </w:tc>
        <w:tc>
          <w:tcPr>
            <w:tcW w:w="1872" w:type="dxa"/>
          </w:tcPr>
          <w:p>
            <w:pPr/>
            <w:r>
              <w:t xml:space="preserve">Needs a full option strip</w:t>
            </w:r>
          </w:p>
        </w:tc>
      </w:tr>
      <w:tr>
        <w:tc>
          <w:tcPr>
            <w:tcW w:w="1872" w:type="dxa"/>
          </w:tcPr>
          <w:p>
            <w:pPr/>
            <w:r>
              <w:t xml:space="preserve">Signed open buy put call ratio</w:t>
            </w:r>
          </w:p>
        </w:tc>
        <w:tc>
          <w:tcPr>
            <w:tcW w:w="1872" w:type="dxa"/>
          </w:tcPr>
          <w:p>
            <w:pPr/>
            <w:r>
              <w:t xml:space="preserve">Single stock returns</w:t>
            </w:r>
          </w:p>
        </w:tc>
        <w:tc>
          <w:tcPr>
            <w:tcW w:w="1872" w:type="dxa"/>
          </w:tcPr>
          <w:p>
            <w:pPr/>
            <w:r>
              <w:t xml:space="preserve">1 day to 1 week</w:t>
            </w:r>
          </w:p>
        </w:tc>
        <w:tc>
          <w:tcPr>
            <w:tcW w:w="1872" w:type="dxa"/>
          </w:tcPr>
          <w:p>
            <w:pPr/>
            <w:r>
              <w:t xml:space="preserve">Strong with proprietary data</w:t>
            </w:r>
          </w:p>
        </w:tc>
        <w:tc>
          <w:tcPr>
            <w:tcW w:w="1872" w:type="dxa"/>
          </w:tcPr>
          <w:p>
            <w:pPr/>
            <w:r>
              <w:t xml:space="preserve">Weak with public data</w:t>
            </w:r>
          </w:p>
        </w:tc>
      </w:tr>
      <w:tr>
        <w:tc>
          <w:tcPr>
            <w:tcW w:w="1872" w:type="dxa"/>
          </w:tcPr>
          <w:p>
            <w:pPr/>
            <w:r>
              <w:t xml:space="preserve">O/S ratio</w:t>
            </w:r>
          </w:p>
        </w:tc>
        <w:tc>
          <w:tcPr>
            <w:tcW w:w="1872" w:type="dxa"/>
          </w:tcPr>
          <w:p>
            <w:pPr/>
            <w:r>
              <w:t xml:space="preserve">Single stock returns</w:t>
            </w:r>
          </w:p>
        </w:tc>
        <w:tc>
          <w:tcPr>
            <w:tcW w:w="1872" w:type="dxa"/>
          </w:tcPr>
          <w:p>
            <w:pPr/>
            <w:r>
              <w:t xml:space="preserve">Weekly to monthly</w:t>
            </w:r>
          </w:p>
        </w:tc>
        <w:tc>
          <w:tcPr>
            <w:tcW w:w="1872" w:type="dxa"/>
          </w:tcPr>
          <w:p>
            <w:pPr/>
            <w:r>
              <w:t xml:space="preserve">Moderate</w:t>
            </w:r>
          </w:p>
        </w:tc>
        <w:tc>
          <w:tcPr>
            <w:tcW w:w="1872" w:type="dxa"/>
          </w:tcPr>
          <w:p>
            <w:pPr/>
            <w:r>
              <w:t xml:space="preserve">Concentrated in hard to short stocks; loses significance against firm characteristic factors</w:t>
            </w:r>
          </w:p>
        </w:tc>
      </w:tr>
      <w:tr>
        <w:tc>
          <w:tcPr>
            <w:tcW w:w="1872" w:type="dxa"/>
          </w:tcPr>
          <w:p>
            <w:pPr/>
            <w:r>
              <w:t xml:space="preserve">Call put IV spread, smirk, IV changes</w:t>
            </w:r>
          </w:p>
        </w:tc>
        <w:tc>
          <w:tcPr>
            <w:tcW w:w="1872" w:type="dxa"/>
          </w:tcPr>
          <w:p>
            <w:pPr/>
            <w:r>
              <w:t xml:space="preserve">Single stock returns</w:t>
            </w:r>
          </w:p>
        </w:tc>
        <w:tc>
          <w:tcPr>
            <w:tcW w:w="1872" w:type="dxa"/>
          </w:tcPr>
          <w:p>
            <w:pPr/>
            <w:r>
              <w:t xml:space="preserve">Weekly to 6 months</w:t>
            </w:r>
          </w:p>
        </w:tc>
        <w:tc>
          <w:tcPr>
            <w:tcW w:w="1872" w:type="dxa"/>
          </w:tcPr>
          <w:p>
            <w:pPr/>
            <w:r>
              <w:t xml:space="preserve">Moderate, decaying</w:t>
            </w:r>
          </w:p>
        </w:tc>
        <w:tc>
          <w:tcPr>
            <w:tcW w:w="1872" w:type="dxa"/>
          </w:tcPr>
          <w:p>
            <w:pPr/>
            <w:r>
              <w:t xml:space="preserve">Borrow fees explain much, not all; only smirk signals survive 150 firm controls</w:t>
            </w:r>
          </w:p>
        </w:tc>
      </w:tr>
      <w:tr>
        <w:tc>
          <w:tcPr>
            <w:tcW w:w="1872" w:type="dxa"/>
          </w:tcPr>
          <w:p>
            <w:pPr/>
            <w:r>
              <w:t xml:space="preserve">Risk neutral skew and kurtosis</w:t>
            </w:r>
          </w:p>
        </w:tc>
        <w:tc>
          <w:tcPr>
            <w:tcW w:w="1872" w:type="dxa"/>
          </w:tcPr>
          <w:p>
            <w:pPr/>
            <w:r>
              <w:t xml:space="preserve">Single stock returns</w:t>
            </w:r>
          </w:p>
        </w:tc>
        <w:tc>
          <w:tcPr>
            <w:tcW w:w="1872" w:type="dxa"/>
          </w:tcPr>
          <w:p>
            <w:pPr/>
            <w:r>
              <w:t xml:space="preserve">Monthly</w:t>
            </w:r>
          </w:p>
        </w:tc>
        <w:tc>
          <w:tcPr>
            <w:tcW w:w="1872" w:type="dxa"/>
          </w:tcPr>
          <w:p>
            <w:pPr/>
            <w:r>
              <w:t xml:space="preserve">Mixed: sign depends on maturity and sample</w:t>
            </w:r>
          </w:p>
        </w:tc>
        <w:tc>
          <w:tcPr>
            <w:tcW w:w="1872" w:type="dxa"/>
          </w:tcPr>
          <w:p>
            <w:pPr/>
            <w:r>
              <w:t xml:space="preserve">Overlaps with short constraints</w:t>
            </w:r>
          </w:p>
        </w:tc>
      </w:tr>
      <w:tr>
        <w:tc>
          <w:tcPr>
            <w:tcW w:w="1872" w:type="dxa"/>
          </w:tcPr>
          <w:p>
            <w:pPr/>
            <w:r>
              <w:t xml:space="preserve">Index put order flow</w:t>
            </w:r>
          </w:p>
        </w:tc>
        <w:tc>
          <w:tcPr>
            <w:tcW w:w="1872" w:type="dxa"/>
          </w:tcPr>
          <w:p>
            <w:pPr/>
            <w:r>
              <w:t xml:space="preserve">Index returns</w:t>
            </w:r>
          </w:p>
        </w:tc>
        <w:tc>
          <w:tcPr>
            <w:tcW w:w="1872" w:type="dxa"/>
          </w:tcPr>
          <w:p>
            <w:pPr/>
            <w:r>
              <w:t xml:space="preserve">Weekly</w:t>
            </w:r>
          </w:p>
        </w:tc>
        <w:tc>
          <w:tcPr>
            <w:tcW w:w="1872" w:type="dxa"/>
          </w:tcPr>
          <w:p>
            <w:pPr/>
            <w:r>
              <w:t xml:space="preserve">Moderate</w:t>
            </w:r>
          </w:p>
        </w:tc>
        <w:tc>
          <w:tcPr>
            <w:tcW w:w="1872" w:type="dxa"/>
          </w:tcPr>
          <w:p>
            <w:pPr/>
            <w:r>
              <w:t xml:space="preserve">Contrarian sign</w:t>
            </w:r>
          </w:p>
        </w:tc>
      </w:tr>
      <w:tr>
        <w:tc>
          <w:tcPr>
            <w:tcW w:w="1872" w:type="dxa"/>
          </w:tcPr>
          <w:p>
            <w:pPr/>
            <w:r>
              <w:t xml:space="preserve">Dealer gamma, pinning</w:t>
            </w:r>
          </w:p>
        </w:tc>
        <w:tc>
          <w:tcPr>
            <w:tcW w:w="1872" w:type="dxa"/>
          </w:tcPr>
          <w:p>
            <w:pPr/>
            <w:r>
              <w:t xml:space="preserve">Intraday volatility, momentum vs reversal</w:t>
            </w:r>
          </w:p>
        </w:tc>
        <w:tc>
          <w:tcPr>
            <w:tcW w:w="1872" w:type="dxa"/>
          </w:tcPr>
          <w:p>
            <w:pPr/>
            <w:r>
              <w:t xml:space="preserve">Intraday to expiration</w:t>
            </w:r>
          </w:p>
        </w:tc>
        <w:tc>
          <w:tcPr>
            <w:tcW w:w="1872" w:type="dxa"/>
          </w:tcPr>
          <w:p>
            <w:pPr/>
            <w:r>
              <w:t xml:space="preserve">Moderate</w:t>
            </w:r>
          </w:p>
        </w:tc>
        <w:tc>
          <w:tcPr>
            <w:tcW w:w="1872" w:type="dxa"/>
          </w:tcPr>
          <w:p>
            <w:pPr/>
            <w:r>
              <w:t xml:space="preserve">GEX sign assumptions are noisy</w:t>
            </w:r>
          </w:p>
        </w:tc>
      </w:tr>
      <w:tr>
        <w:tc>
          <w:tcPr>
            <w:tcW w:w="1872" w:type="dxa"/>
          </w:tcPr>
          <w:p>
            <w:pPr/>
            <w:r>
              <w:t xml:space="preserve">Skew as crash timer</w:t>
            </w:r>
          </w:p>
        </w:tc>
        <w:tc>
          <w:tcPr>
            <w:tcW w:w="1872" w:type="dxa"/>
          </w:tcPr>
          <w:p>
            <w:pPr/>
            <w:r>
              <w:t xml:space="preserve">Crashes</w:t>
            </w:r>
          </w:p>
        </w:tc>
        <w:tc>
          <w:tcPr>
            <w:tcW w:w="1872" w:type="dxa"/>
          </w:tcPr>
          <w:p>
            <w:pPr/>
            <w:r>
              <w:t xml:space="preserve">Any</w:t>
            </w:r>
          </w:p>
        </w:tc>
        <w:tc>
          <w:tcPr>
            <w:tcW w:w="1872" w:type="dxa"/>
          </w:tcPr>
          <w:p>
            <w:pPr/>
            <w:r>
              <w:t xml:space="preserve">Weak</w:t>
            </w:r>
          </w:p>
        </w:tc>
        <w:tc>
          <w:tcPr>
            <w:tcW w:w="1872" w:type="dxa"/>
          </w:tcPr>
          <w:p>
            <w:pPr/>
            <w:r>
              <w:t xml:space="preserve">Prices insurance demand, not crash odds</w:t>
            </w:r>
          </w:p>
        </w:tc>
      </w:tr>
    </w:tbl>
    <w:p>
      <w:pPr/>
      <w:r>
        <w:t xml:space="preserve">Volume versus IV imbalances, the specific combination asked about, works mainly through two channels: signed volume tells you who is trading, and the IV spread tells you which side is paying up. Neither is reliable from unsigned volume or open interest alone.</w:t>
      </w:r>
    </w:p>
    <w:p>
      <w:pPr>
        <w:pStyle w:val="Heading2"/>
      </w:pPr>
      <w:r>
        <w:t xml:space="preserve">Volume and order flow</w:t>
      </w:r>
    </w:p>
    <w:p>
      <w:pPr/>
      <w:r>
        <w:t xml:space="preserve">Signed, position opening option volume is the most robust flow signal; raw volume and raw put call ratios are much weaker. The key is knowing who initiated the trade and whether it opened a new position.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Signal</w:t>
            </w:r>
          </w:p>
        </w:tc>
        <w:tc>
          <w:tcPr>
            <w:tcW w:w="2340" w:type="dxa"/>
            <w:shd w:val="clear" w:color="auto" w:fill="F2F2F2"/>
          </w:tcPr>
          <w:p>
            <w:pPr/>
            <w:r>
              <w:t xml:space="preserve">Paper</w:t>
            </w:r>
          </w:p>
        </w:tc>
        <w:tc>
          <w:tcPr>
            <w:tcW w:w="2340" w:type="dxa"/>
            <w:shd w:val="clear" w:color="auto" w:fill="F2F2F2"/>
          </w:tcPr>
          <w:p>
            <w:pPr/>
            <w:r>
              <w:t xml:space="preserve">Finding</w:t>
            </w:r>
          </w:p>
        </w:tc>
        <w:tc>
          <w:tcPr>
            <w:tcW w:w="2340" w:type="dxa"/>
            <w:shd w:val="clear" w:color="auto" w:fill="F2F2F2"/>
          </w:tcPr>
          <w:p>
            <w:pPr/>
            <w:r>
              <w:t xml:space="preserve">Horizon</w:t>
            </w:r>
          </w:p>
        </w:tc>
      </w:tr>
      <w:tr>
        <w:tc>
          <w:tcPr>
            <w:tcW w:w="2340" w:type="dxa"/>
          </w:tcPr>
          <w:p>
            <w:pPr/>
            <w:r>
              <w:t xml:space="preserve">Open buy put call ratio</w:t>
            </w:r>
          </w:p>
        </w:tc>
        <w:tc>
          <w:tcPr>
            <w:tcW w:w="2340" w:type="dxa"/>
          </w:tcPr>
          <w:p>
            <w:pPr/>
            <w:hyperlink r:id="rId3" w:history="1">
              <w:r>
                <w:rPr>
                  <w:rStyle w:val="Hyperlink"/>
                </w:rPr>
                <w:t xml:space="preserve">Pan and Poteshman (2006), RFS</w:t>
              </w:r>
            </w:hyperlink>
          </w:p>
        </w:tc>
        <w:tc>
          <w:tcPr>
            <w:tcW w:w="2340" w:type="dxa"/>
          </w:tcPr>
          <w:p>
            <w:pPr/>
            <w:r>
              <w:t xml:space="preserve">Low ratio stocks beat high ratio stocks by over 40 bp next day and over 1% next week; stronger where informed traders concentrate</w:t>
            </w:r>
          </w:p>
        </w:tc>
        <w:tc>
          <w:tcPr>
            <w:tcW w:w="2340" w:type="dxa"/>
          </w:tcPr>
          <w:p>
            <w:pPr/>
            <w:r>
              <w:t xml:space="preserve">Daily to weekly</w:t>
            </w:r>
          </w:p>
        </w:tc>
      </w:tr>
      <w:tr>
        <w:tc>
          <w:tcPr>
            <w:tcW w:w="2340" w:type="dxa"/>
          </w:tcPr>
          <w:p>
            <w:pPr/>
            <w:r>
              <w:t xml:space="preserve">Option to stock volume (O/S)</w:t>
            </w:r>
          </w:p>
        </w:tc>
        <w:tc>
          <w:tcPr>
            <w:tcW w:w="2340" w:type="dxa"/>
          </w:tcPr>
          <w:p>
            <w:pPr/>
            <w:hyperlink r:id="rId4" w:history="1">
              <w:r>
                <w:rPr>
                  <w:rStyle w:val="Hyperlink"/>
                </w:rPr>
                <w:t xml:space="preserve">Johnson and So (2012), JFE</w:t>
              </w:r>
            </w:hyperlink>
          </w:p>
        </w:tc>
        <w:tc>
          <w:tcPr>
            <w:tcW w:w="2340" w:type="dxa"/>
          </w:tcPr>
          <w:p>
            <w:pPr/>
            <w:r>
              <w:t xml:space="preserve">Lowest O/S decile beats highest by 1.47% per month risk adjusted; stronger when short sale costs are high; predicts earnings surprises</w:t>
            </w:r>
          </w:p>
        </w:tc>
        <w:tc>
          <w:tcPr>
            <w:tcW w:w="2340" w:type="dxa"/>
          </w:tcPr>
          <w:p>
            <w:pPr/>
            <w:r>
              <w:t xml:space="preserve">Weekly to monthly</w:t>
            </w:r>
          </w:p>
        </w:tc>
      </w:tr>
      <w:tr>
        <w:tc>
          <w:tcPr>
            <w:tcW w:w="2340" w:type="dxa"/>
          </w:tcPr>
          <w:p>
            <w:pPr/>
            <w:r>
              <w:t xml:space="preserve">Decomposed O/S</w:t>
            </w:r>
          </w:p>
        </w:tc>
        <w:tc>
          <w:tcPr>
            <w:tcW w:w="2340" w:type="dxa"/>
          </w:tcPr>
          <w:p>
            <w:pPr/>
            <w:hyperlink r:id="rId5" w:history="1">
              <w:r>
                <w:rPr>
                  <w:rStyle w:val="Hyperlink"/>
                </w:rPr>
                <w:t xml:space="preserve">Ge, Lin and Pearson (2016), JFE</w:t>
              </w:r>
            </w:hyperlink>
          </w:p>
        </w:tc>
        <w:tc>
          <w:tcPr>
            <w:tcW w:w="2340" w:type="dxa"/>
          </w:tcPr>
          <w:p>
            <w:pPr/>
            <w:r>
              <w:t xml:space="preserve">Opening call purchases are the strongest predictor; embedded leverage, not synthetic shorting, drives it</w:t>
            </w:r>
          </w:p>
        </w:tc>
        <w:tc>
          <w:tcPr>
            <w:tcW w:w="2340" w:type="dxa"/>
          </w:tcPr>
          <w:p>
            <w:pPr/>
            <w:r>
              <w:t xml:space="preserve">Weekly</w:t>
            </w:r>
          </w:p>
        </w:tc>
      </w:tr>
      <w:tr>
        <w:tc>
          <w:tcPr>
            <w:tcW w:w="2340" w:type="dxa"/>
          </w:tcPr>
          <w:p>
            <w:pPr/>
            <w:r>
              <w:t xml:space="preserve">Option induced stock order imbalance</w:t>
            </w:r>
          </w:p>
        </w:tc>
        <w:tc>
          <w:tcPr>
            <w:tcW w:w="2340" w:type="dxa"/>
          </w:tcPr>
          <w:p>
            <w:pPr/>
            <w:hyperlink r:id="rId6" w:history="1">
              <w:r>
                <w:rPr>
                  <w:rStyle w:val="Hyperlink"/>
                </w:rPr>
                <w:t xml:space="preserve">Hu (2014), JFE</w:t>
              </w:r>
            </w:hyperlink>
          </w:p>
        </w:tc>
        <w:tc>
          <w:tcPr>
            <w:tcW w:w="2340" w:type="dxa"/>
          </w:tcPr>
          <w:p>
            <w:pPr/>
            <w:r>
              <w:t xml:space="preserve">Delta hedge flow from option trades predicts cross sectional returns; stock only imbalance is transitory</w:t>
            </w:r>
          </w:p>
        </w:tc>
        <w:tc>
          <w:tcPr>
            <w:tcW w:w="2340" w:type="dxa"/>
          </w:tcPr>
          <w:p>
            <w:pPr/>
            <w:r>
              <w:t xml:space="preserve">Daily</w:t>
            </w:r>
          </w:p>
        </w:tc>
      </w:tr>
      <w:tr>
        <w:tc>
          <w:tcPr>
            <w:tcW w:w="2340" w:type="dxa"/>
          </w:tcPr>
          <w:p>
            <w:pPr/>
            <w:r>
              <w:t xml:space="preserve">Index put order flow</w:t>
            </w:r>
          </w:p>
        </w:tc>
        <w:tc>
          <w:tcPr>
            <w:tcW w:w="2340" w:type="dxa"/>
          </w:tcPr>
          <w:p>
            <w:pPr/>
            <w:hyperlink r:id="rId7" w:history="1">
              <w:r>
                <w:rPr>
                  <w:rStyle w:val="Hyperlink"/>
                </w:rPr>
                <w:t xml:space="preserve">Chordia, Kurov, Muravyev and Subrahmanyam (2021), MS</w:t>
              </w:r>
            </w:hyperlink>
          </w:p>
        </w:tc>
        <w:tc>
          <w:tcPr>
            <w:tcW w:w="2340" w:type="dxa"/>
          </w:tcPr>
          <w:p>
            <w:pPr/>
            <w:r>
              <w:t xml:space="preserve">Weekly ISE index put flow positively predicts next week S&amp;P 500 returns (contrarian, retail hedging)</w:t>
            </w:r>
          </w:p>
        </w:tc>
        <w:tc>
          <w:tcPr>
            <w:tcW w:w="2340" w:type="dxa"/>
          </w:tcPr>
          <w:p>
            <w:pPr/>
            <w:r>
              <w:t xml:space="preserve">Weekly, index</w:t>
            </w:r>
          </w:p>
        </w:tc>
      </w:tr>
      <w:tr>
        <w:tc>
          <w:tcPr>
            <w:tcW w:w="2340" w:type="dxa"/>
          </w:tcPr>
          <w:p>
            <w:pPr/>
            <w:r>
              <w:t xml:space="preserve">Informed trading before events</w:t>
            </w:r>
          </w:p>
        </w:tc>
        <w:tc>
          <w:tcPr>
            <w:tcW w:w="2340" w:type="dxa"/>
          </w:tcPr>
          <w:p>
            <w:pPr/>
            <w:hyperlink r:id="rId8" w:history="1">
              <w:r>
                <w:rPr>
                  <w:rStyle w:val="Hyperlink"/>
                </w:rPr>
                <w:t xml:space="preserve">Augustin and Subrahmanyam (2020), Annual Review</w:t>
              </w:r>
            </w:hyperlink>
          </w:p>
        </w:tc>
        <w:tc>
          <w:tcPr>
            <w:tcW w:w="2340" w:type="dxa"/>
          </w:tcPr>
          <w:p>
            <w:pPr/>
            <w:r>
              <w:t xml:space="preserve">Abnormal option volume ahead of M&amp;A and earnings is pervasive</w:t>
            </w:r>
          </w:p>
        </w:tc>
        <w:tc>
          <w:tcPr>
            <w:tcW w:w="2340" w:type="dxa"/>
          </w:tcPr>
          <w:p>
            <w:pPr/>
            <w:r>
              <w:t xml:space="preserve">Event driven</w:t>
            </w:r>
          </w:p>
        </w:tc>
      </w:tr>
    </w:tbl>
    <w:p>
      <w:pPr/>
      <w:r>
        <w:t xml:space="preserve">The foundational theory is </w:t>
      </w:r>
      <w:hyperlink r:id="rId9" w:history="1">
        <w:r>
          <w:rPr>
            <w:rStyle w:val="Hyperlink"/>
          </w:rPr>
          <w:t xml:space="preserve">Easley, O'Hara and Srinivas (1998), JF</w:t>
        </w:r>
      </w:hyperlink>
      <w:r>
        <w:t xml:space="preserve">: informed traders go to options when leverage is high and liquidity is adequate. Note the direction flip in index options: heavy index put buying is a contrarian bullish signal, while heavy single stock put buying is bearish.</w:t>
      </w:r>
    </w:p>
    <w:p>
      <w:pPr/>
      <w:r>
        <w:t xml:space="preserve">The data caveat matters most here. Pan and Poteshman used proprietary CBOE open/close codes. A public Lee Ready signed ratio earned 30 bp next day versus 46 bp for the proprietary measure, became insignificant when both were included, and partly reversed later, which points to price pressure rather than information.</w:t>
      </w:r>
    </w:p>
    <w:p>
      <w:pPr>
        <w:pStyle w:val="Heading2"/>
      </w:pPr>
      <w:r>
        <w:t xml:space="preserve">Implied volatility spreads and skew</w:t>
      </w:r>
    </w:p>
    <w:p>
      <w:pPr/>
      <w:r>
        <w:t xml:space="preserve">The IV based signals are the best documented family for stock returns, but a 2025 JFE paper shows most of their power comes from stock borrow fees. Treat them as partly a short sale constraint signal.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Signal</w:t>
            </w:r>
          </w:p>
        </w:tc>
        <w:tc>
          <w:tcPr>
            <w:tcW w:w="2340" w:type="dxa"/>
            <w:shd w:val="clear" w:color="auto" w:fill="F2F2F2"/>
          </w:tcPr>
          <w:p>
            <w:pPr/>
            <w:r>
              <w:t xml:space="preserve">Paper</w:t>
            </w:r>
          </w:p>
        </w:tc>
        <w:tc>
          <w:tcPr>
            <w:tcW w:w="2340" w:type="dxa"/>
            <w:shd w:val="clear" w:color="auto" w:fill="F2F2F2"/>
          </w:tcPr>
          <w:p>
            <w:pPr/>
            <w:r>
              <w:t xml:space="preserve">Finding</w:t>
            </w:r>
          </w:p>
        </w:tc>
        <w:tc>
          <w:tcPr>
            <w:tcW w:w="2340" w:type="dxa"/>
            <w:shd w:val="clear" w:color="auto" w:fill="F2F2F2"/>
          </w:tcPr>
          <w:p>
            <w:pPr/>
            <w:r>
              <w:t xml:space="preserve">Horizon</w:t>
            </w:r>
          </w:p>
        </w:tc>
      </w:tr>
      <w:tr>
        <w:tc>
          <w:tcPr>
            <w:tcW w:w="2340" w:type="dxa"/>
          </w:tcPr>
          <w:p>
            <w:pPr/>
            <w:r>
              <w:t xml:space="preserve">Call minus put IV (put call parity deviation)</w:t>
            </w:r>
          </w:p>
        </w:tc>
        <w:tc>
          <w:tcPr>
            <w:tcW w:w="2340" w:type="dxa"/>
          </w:tcPr>
          <w:p>
            <w:pPr/>
            <w:hyperlink r:id="rId10" w:history="1">
              <w:r>
                <w:rPr>
                  <w:rStyle w:val="Hyperlink"/>
                </w:rPr>
                <w:t xml:space="preserve">Cremers and Weinbaum (2010), JFQA</w:t>
              </w:r>
            </w:hyperlink>
          </w:p>
        </w:tc>
        <w:tc>
          <w:tcPr>
            <w:tcW w:w="2340" w:type="dxa"/>
          </w:tcPr>
          <w:p>
            <w:pPr/>
            <w:r>
              <w:t xml:space="preserve">Relatively expensive calls beat expensive puts by 51 bp per week; effect declined over the sample</w:t>
            </w:r>
          </w:p>
        </w:tc>
        <w:tc>
          <w:tcPr>
            <w:tcW w:w="2340" w:type="dxa"/>
          </w:tcPr>
          <w:p>
            <w:pPr/>
            <w:r>
              <w:t xml:space="preserve">Weekly</w:t>
            </w:r>
          </w:p>
        </w:tc>
      </w:tr>
      <w:tr>
        <w:tc>
          <w:tcPr>
            <w:tcW w:w="2340" w:type="dxa"/>
          </w:tcPr>
          <w:p>
            <w:pPr/>
            <w:r>
              <w:t xml:space="preserve">Smirk: OTM put IV minus ATM call IV</w:t>
            </w:r>
          </w:p>
        </w:tc>
        <w:tc>
          <w:tcPr>
            <w:tcW w:w="2340" w:type="dxa"/>
          </w:tcPr>
          <w:p>
            <w:pPr/>
            <w:hyperlink r:id="rId11" w:history="1">
              <w:r>
                <w:rPr>
                  <w:rStyle w:val="Hyperlink"/>
                </w:rPr>
                <w:t xml:space="preserve">Xing, Zhang and Zhao (2010), JFQA</w:t>
              </w:r>
            </w:hyperlink>
          </w:p>
        </w:tc>
        <w:tc>
          <w:tcPr>
            <w:tcW w:w="2340" w:type="dxa"/>
          </w:tcPr>
          <w:p>
            <w:pPr/>
            <w:r>
              <w:t xml:space="preserve">Steepest smirk stocks underperform flattest by 10.9% per year risk adjusted; persists 6 months; predicts earnings shocks</w:t>
            </w:r>
          </w:p>
        </w:tc>
        <w:tc>
          <w:tcPr>
            <w:tcW w:w="2340" w:type="dxa"/>
          </w:tcPr>
          <w:p>
            <w:pPr/>
            <w:r>
              <w:t xml:space="preserve">Monthly to 6 months</w:t>
            </w:r>
          </w:p>
        </w:tc>
      </w:tr>
      <w:tr>
        <w:tc>
          <w:tcPr>
            <w:tcW w:w="2340" w:type="dxa"/>
          </w:tcPr>
          <w:p>
            <w:pPr/>
            <w:r>
              <w:t xml:space="preserve">Realized minus implied vol; call put IV spread</w:t>
            </w:r>
          </w:p>
        </w:tc>
        <w:tc>
          <w:tcPr>
            <w:tcW w:w="2340" w:type="dxa"/>
          </w:tcPr>
          <w:p>
            <w:pPr/>
            <w:hyperlink r:id="rId12" w:history="1">
              <w:r>
                <w:rPr>
                  <w:rStyle w:val="Hyperlink"/>
                </w:rPr>
                <w:t xml:space="preserve">Bali and Hovakimian (2009), MS</w:t>
              </w:r>
            </w:hyperlink>
          </w:p>
        </w:tc>
        <w:tc>
          <w:tcPr>
            <w:tcW w:w="2340" w:type="dxa"/>
          </w:tcPr>
          <w:p>
            <w:pPr/>
            <w:r>
              <w:t xml:space="preserve">RV minus IV predicts negatively, call put spread positively; IV level alone has no power</w:t>
            </w:r>
          </w:p>
        </w:tc>
        <w:tc>
          <w:tcPr>
            <w:tcW w:w="2340" w:type="dxa"/>
          </w:tcPr>
          <w:p>
            <w:pPr/>
            <w:r>
              <w:t xml:space="preserve">Monthly</w:t>
            </w:r>
          </w:p>
        </w:tc>
      </w:tr>
      <w:tr>
        <w:tc>
          <w:tcPr>
            <w:tcW w:w="2340" w:type="dxa"/>
          </w:tcPr>
          <w:p>
            <w:pPr/>
            <w:r>
              <w:t xml:space="preserve">Change in call and put IV</w:t>
            </w:r>
          </w:p>
        </w:tc>
        <w:tc>
          <w:tcPr>
            <w:tcW w:w="2340" w:type="dxa"/>
          </w:tcPr>
          <w:p>
            <w:pPr/>
            <w:hyperlink r:id="rId13" w:history="1">
              <w:r>
                <w:rPr>
                  <w:rStyle w:val="Hyperlink"/>
                </w:rPr>
                <w:t xml:space="preserve">An, Ang, Bali and Cakici (2014), JF</w:t>
              </w:r>
            </w:hyperlink>
          </w:p>
        </w:tc>
        <w:tc>
          <w:tcPr>
            <w:tcW w:w="2340" w:type="dxa"/>
          </w:tcPr>
          <w:p>
            <w:pPr/>
            <w:r>
              <w:t xml:space="preserve">Rising call IV predicts high returns, rising put IV low returns; about 1% per month decile spread lasting up to 6 months</w:t>
            </w:r>
          </w:p>
        </w:tc>
        <w:tc>
          <w:tcPr>
            <w:tcW w:w="2340" w:type="dxa"/>
          </w:tcPr>
          <w:p>
            <w:pPr/>
            <w:r>
              <w:t xml:space="preserve">Monthly</w:t>
            </w:r>
          </w:p>
        </w:tc>
      </w:tr>
      <w:tr>
        <w:tc>
          <w:tcPr>
            <w:tcW w:w="2340" w:type="dxa"/>
          </w:tcPr>
          <w:p>
            <w:pPr/>
            <w:r>
              <w:t xml:space="preserve">RV minus IV for option returns</w:t>
            </w:r>
          </w:p>
        </w:tc>
        <w:tc>
          <w:tcPr>
            <w:tcW w:w="2340" w:type="dxa"/>
          </w:tcPr>
          <w:p>
            <w:pPr/>
            <w:hyperlink r:id="rId14" w:history="1">
              <w:r>
                <w:rPr>
                  <w:rStyle w:val="Hyperlink"/>
                </w:rPr>
                <w:t xml:space="preserve">Goyal and Saretto (2009), JFE</w:t>
              </w:r>
            </w:hyperlink>
          </w:p>
        </w:tc>
        <w:tc>
          <w:tcPr>
            <w:tcW w:w="2340" w:type="dxa"/>
          </w:tcPr>
          <w:p>
            <w:pPr/>
            <w:r>
              <w:t xml:space="preserve">Straddles on high RV minus IV stocks beat low ones, about 22.7% per month gross; costs absorb much of it</w:t>
            </w:r>
          </w:p>
        </w:tc>
        <w:tc>
          <w:tcPr>
            <w:tcW w:w="2340" w:type="dxa"/>
          </w:tcPr>
          <w:p>
            <w:pPr/>
            <w:r>
              <w:t xml:space="preserve">Monthly, option returns</w:t>
            </w:r>
          </w:p>
        </w:tc>
      </w:tr>
      <w:tr>
        <w:tc>
          <w:tcPr>
            <w:tcW w:w="2340" w:type="dxa"/>
          </w:tcPr>
          <w:p>
            <w:pPr/>
            <w:r>
              <w:t xml:space="preserve">Borrow fee explanation</w:t>
            </w:r>
          </w:p>
        </w:tc>
        <w:tc>
          <w:tcPr>
            <w:tcW w:w="2340" w:type="dxa"/>
          </w:tcPr>
          <w:p>
            <w:pPr/>
            <w:hyperlink r:id="rId15" w:history="1">
              <w:r>
                <w:rPr>
                  <w:rStyle w:val="Hyperlink"/>
                </w:rPr>
                <w:t xml:space="preserve">Muravyev, Pearson and Pollet (2025), JFE</w:t>
              </w:r>
            </w:hyperlink>
          </w:p>
        </w:tc>
        <w:tc>
          <w:tcPr>
            <w:tcW w:w="2340" w:type="dxa"/>
          </w:tcPr>
          <w:p>
            <w:pPr/>
            <w:r>
              <w:t xml:space="preserve">Excluding high fee stocks cuts IV spread and skew predictability by at least two thirds</w:t>
            </w:r>
          </w:p>
        </w:tc>
        <w:tc>
          <w:tcPr>
            <w:tcW w:w="2340" w:type="dxa"/>
          </w:tcPr>
          <w:p>
            <w:pPr/>
            <w:r>
              <w:t xml:space="preserve">Critique</w:t>
            </w:r>
          </w:p>
        </w:tc>
      </w:tr>
    </w:tbl>
    <w:p>
      <w:pPr/>
      <w:r>
        <w:t xml:space="preserve">The practical reading: when a stock is hard to borrow, puts get bid up and calls look cheap, so the IV spread and skew flag stocks that short sellers are pressing. Much of the information overlaps with the lending market, but not all of it. Neuhierl et al. (2024) find the OTM smirk signals still earn alpha among the easiest to short stocks, and most of the return comes from the long leg, which points to informed trading as well as frictions (see Robustness).</w:t>
      </w:r>
    </w:p>
    <w:p>
      <w:pPr>
        <w:pStyle w:val="Heading2"/>
      </w:pPr>
      <w:r>
        <w:t xml:space="preserve">Risk neutral densities and implied moments</w:t>
      </w:r>
    </w:p>
    <w:p>
      <w:pPr/>
      <w:r>
        <w:t xml:space="preserve">Risk neutral variance is the strongest theory backed predictor of expected returns at the market and stock level; the sign of implied skewness depends on the measure and sample, so it is the least settled signal here.</w:t>
      </w:r>
    </w:p>
    <w:p>
      <w:pPr/>
      <w:r>
        <w:rPr>
          <w:b/>
        </w:rPr>
        <w:t xml:space="preserve">Model free implied moments.</w:t>
      </w:r>
      <w:r>
        <w:t xml:space="preserve"> </w:t>
      </w:r>
      <w:hyperlink r:id="rId16" w:history="1">
        <w:r>
          <w:rPr>
            <w:rStyle w:val="Hyperlink"/>
          </w:rPr>
          <w:t xml:space="preserve">Bakshi, Kapadia and Madan (2003), RFS</w:t>
        </w:r>
      </w:hyperlink>
      <w:r>
        <w:t xml:space="preserve"> show how to compute risk neutral variance, skewness and kurtosis from a strip of OTM calls and puts with no pricing model. Individual stock densities are far less negatively skewed than the index. Almost every paper below builds on this estimator.</w:t>
      </w:r>
    </w:p>
    <w:p>
      <w:pPr/>
      <w:r>
        <w:rPr>
          <w:b/>
        </w:rPr>
        <w:t xml:space="preserve">The implied skewness sign conflict.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Paper</w:t>
            </w:r>
          </w:p>
        </w:tc>
        <w:tc>
          <w:tcPr>
            <w:tcW w:w="2340" w:type="dxa"/>
            <w:shd w:val="clear" w:color="auto" w:fill="F2F2F2"/>
          </w:tcPr>
          <w:p>
            <w:pPr/>
            <w:r>
              <w:t xml:space="preserve">Sample</w:t>
            </w:r>
          </w:p>
        </w:tc>
        <w:tc>
          <w:tcPr>
            <w:tcW w:w="2340" w:type="dxa"/>
            <w:shd w:val="clear" w:color="auto" w:fill="F2F2F2"/>
          </w:tcPr>
          <w:p>
            <w:pPr/>
            <w:r>
              <w:t xml:space="preserve">Sign of RN skew to future returns</w:t>
            </w:r>
          </w:p>
        </w:tc>
        <w:tc>
          <w:tcPr>
            <w:tcW w:w="2340" w:type="dxa"/>
            <w:shd w:val="clear" w:color="auto" w:fill="F2F2F2"/>
          </w:tcPr>
          <w:p>
            <w:pPr/>
            <w:r>
              <w:t xml:space="preserve">Detail</w:t>
            </w:r>
          </w:p>
        </w:tc>
      </w:tr>
      <w:tr>
        <w:tc>
          <w:tcPr>
            <w:tcW w:w="2340" w:type="dxa"/>
          </w:tcPr>
          <w:p>
            <w:pPr/>
            <w:hyperlink r:id="rId17" w:history="1">
              <w:r>
                <w:rPr>
                  <w:rStyle w:val="Hyperlink"/>
                </w:rPr>
                <w:t xml:space="preserve">Conrad, Dittmar and Ghysels (2013), JF</w:t>
              </w:r>
            </w:hyperlink>
          </w:p>
        </w:tc>
        <w:tc>
          <w:tcPr>
            <w:tcW w:w="2340" w:type="dxa"/>
          </w:tcPr>
          <w:p>
            <w:pPr/>
            <w:r>
              <w:t xml:space="preserve">Longer dated options, BKM estimator</w:t>
            </w:r>
          </w:p>
        </w:tc>
        <w:tc>
          <w:tcPr>
            <w:tcW w:w="2340" w:type="dxa"/>
          </w:tcPr>
          <w:p>
            <w:pPr/>
            <w:r>
              <w:t xml:space="preserve">Negative: more negative skew, higher returns</w:t>
            </w:r>
          </w:p>
        </w:tc>
        <w:tc>
          <w:tcPr>
            <w:tcW w:w="2340" w:type="dxa"/>
          </w:tcPr>
          <w:p>
            <w:pPr/>
            <w:r>
              <w:t xml:space="preserve">Kurtosis positive, volatility negative</w:t>
            </w:r>
          </w:p>
        </w:tc>
      </w:tr>
      <w:tr>
        <w:tc>
          <w:tcPr>
            <w:tcW w:w="2340" w:type="dxa"/>
          </w:tcPr>
          <w:p>
            <w:pPr/>
            <w:hyperlink r:id="rId18" w:history="1">
              <w:r>
                <w:rPr>
                  <w:rStyle w:val="Hyperlink"/>
                </w:rPr>
                <w:t xml:space="preserve">Stilger, Kostakis and Poon (2017), MS</w:t>
              </w:r>
            </w:hyperlink>
          </w:p>
        </w:tc>
        <w:tc>
          <w:tcPr>
            <w:tcW w:w="2340" w:type="dxa"/>
          </w:tcPr>
          <w:p>
            <w:pPr/>
            <w:r>
              <w:t xml:space="preserve">1996 to 2012, short maturity</w:t>
            </w:r>
          </w:p>
        </w:tc>
        <w:tc>
          <w:tcPr>
            <w:tcW w:w="2340" w:type="dxa"/>
          </w:tcPr>
          <w:p>
            <w:pPr/>
            <w:r>
              <w:t xml:space="preserve">Positive: high RNS quintile beats low by 55 bp per month alpha</w:t>
            </w:r>
          </w:p>
        </w:tc>
        <w:tc>
          <w:tcPr>
            <w:tcW w:w="2340" w:type="dxa"/>
          </w:tcPr>
          <w:p>
            <w:pPr/>
            <w:r>
              <w:t xml:space="preserve">Driven by overpriced, hard to short stocks</w:t>
            </w:r>
          </w:p>
        </w:tc>
      </w:tr>
      <w:tr>
        <w:tc>
          <w:tcPr>
            <w:tcW w:w="2340" w:type="dxa"/>
          </w:tcPr>
          <w:p>
            <w:pPr/>
            <w:hyperlink r:id="rId19" w:history="1">
              <w:r>
                <w:rPr>
                  <w:rStyle w:val="Hyperlink"/>
                </w:rPr>
                <w:t xml:space="preserve">Bali, Hu and Murray (2019 WP)</w:t>
              </w:r>
            </w:hyperlink>
          </w:p>
        </w:tc>
        <w:tc>
          <w:tcPr>
            <w:tcW w:w="2340" w:type="dxa"/>
          </w:tcPr>
          <w:p>
            <w:pPr/>
            <w:r>
              <w:t xml:space="preserve">Analyst target implied expected returns</w:t>
            </w:r>
          </w:p>
        </w:tc>
        <w:tc>
          <w:tcPr>
            <w:tcW w:w="2340" w:type="dxa"/>
          </w:tcPr>
          <w:p>
            <w:pPr/>
            <w:r>
              <w:t xml:space="preserve">Positive for vol, skew and kurtosis</w:t>
            </w:r>
          </w:p>
        </w:tc>
        <w:tc>
          <w:tcPr>
            <w:tcW w:w="2340" w:type="dxa"/>
          </w:tcPr>
          <w:p>
            <w:pPr/>
            <w:r>
              <w:t xml:space="preserve">Only idiosyncratic skew and kurtosis matter</w:t>
            </w:r>
          </w:p>
        </w:tc>
      </w:tr>
    </w:tbl>
    <w:p>
      <w:pPr/>
      <w:r>
        <w:t xml:space="preserve">One common reconciliation (not a settled result): short maturity skew carries informed and hedging demand (positive sign), while longer maturity skew behaves more like a lottery preference or risk characteristic. Like the IV spreads, very negative skew overlaps heavily with short sale constraints.</w:t>
      </w:r>
    </w:p>
    <w:p>
      <w:pPr/>
      <w:r>
        <w:rPr>
          <w:b/>
        </w:rPr>
        <w:t xml:space="preserve">Market level moments as risk factors.</w:t>
      </w:r>
      <w:r>
        <w:t xml:space="preserve"> </w:t>
      </w:r>
      <w:hyperlink r:id="rId20" w:history="1">
        <w:r>
          <w:rPr>
            <w:rStyle w:val="Hyperlink"/>
          </w:rPr>
          <w:t xml:space="preserve">Chang, Christoffersen and Jacobs (2013), JFE</w:t>
        </w:r>
      </w:hyperlink>
      <w:r>
        <w:t xml:space="preserve"> estimate daily S&amp;P 500 implied skew and kurtosis. Stocks with high sensitivity to innovations in market skew earn lower returns; the premium is about 3.7% to 5.8% per year. </w:t>
      </w:r>
      <w:hyperlink r:id="rId21" w:history="1">
        <w:r>
          <w:rPr>
            <w:rStyle w:val="Hyperlink"/>
          </w:rPr>
          <w:t xml:space="preserve">Kozhan, Neuberger and Schneider (2013), RFS</w:t>
        </w:r>
      </w:hyperlink>
      <w:r>
        <w:t xml:space="preserve"> find the skew premium explains over 40% of the S&amp;P 500 IV slope, and skew and variance risk are nearly the same risk.</w:t>
      </w:r>
    </w:p>
    <w:p>
      <w:pPr/>
      <w:r>
        <w:rPr>
          <w:b/>
        </w:rPr>
        <w:t xml:space="preserve">Expected return bounds from option prices.</w:t>
      </w:r>
      <w:r>
        <w:t xml:space="preserve"> </w:t>
      </w:r>
      <w:hyperlink r:id="rId22" w:history="1">
        <w:r>
          <w:rPr>
            <w:rStyle w:val="Hyperlink"/>
          </w:rPr>
          <w:t xml:space="preserve">Martin (2017), QJE</w:t>
        </w:r>
      </w:hyperlink>
      <w:r>
        <w:t xml:space="preserve"> derives a lower bound on the equity premium from SVIX, a variance index computed from index options:</w:t>
      </w:r>
    </w:p>
    <w:p>
      <w:pPr>
        <w:pStyle w:val="Code"/>
      </w:pPr>
      <w:bookmarkStart w:id="1" w:name="bongo_lang_latex_1"/>
      <w:bookmarkEnd w:id="1"/>
      <w:r>
        <w:t xml:space="preserve">E_t[R_{m,t+1}] - R_{f,t+1} \geq R_{f,t+1} \cdot \mathrm{SVIX}_t^2</w:t>
      </w:r>
    </w:p>
    <w:p>
      <w:pPr/>
      <w:r>
        <w:t xml:space="preserve">The bound averages about 5% and exceeded 20% in late 2008; regressions do not reject that it is tight. </w:t>
      </w:r>
      <w:hyperlink r:id="rId23" w:history="1">
        <w:r>
          <w:rPr>
            <w:rStyle w:val="Hyperlink"/>
          </w:rPr>
          <w:t xml:space="preserve">Martin and Wagner (2019), JF</w:t>
        </w:r>
      </w:hyperlink>
      <w:r>
        <w:t xml:space="preserve"> extend it to single stocks using market risk neutral variance plus the stock's excess risk neutral variance. It has no free parameters, works at 6 and 12 month horizons, drives out beta, size, value and momentum, and wins out of sample. </w:t>
      </w:r>
      <w:hyperlink r:id="rId24" w:history="1">
        <w:r>
          <w:rPr>
            <w:rStyle w:val="Hyperlink"/>
          </w:rPr>
          <w:t xml:space="preserve">Kadan and Tang (2020), RFS</w:t>
        </w:r>
      </w:hyperlink>
      <w:r>
        <w:t xml:space="preserve"> give a related bound for stocks.</w:t>
      </w:r>
    </w:p>
    <w:p>
      <w:pPr/>
      <w:r>
        <w:rPr>
          <w:b/>
        </w:rPr>
        <w:t xml:space="preserve">Recovering real world probabilities.</w:t>
      </w:r>
      <w:r>
        <w:t xml:space="preserve"> Ross's Recovery Theorem (JF 2015) claimed the physical density could be backed out of the risk neutral one. </w:t>
      </w:r>
      <w:hyperlink r:id="rId25" w:history="1">
        <w:r>
          <w:rPr>
            <w:rStyle w:val="Hyperlink"/>
          </w:rPr>
          <w:t xml:space="preserve">Borovička, Hansen and Scheinkman (2016), JF</w:t>
        </w:r>
      </w:hyperlink>
      <w:r>
        <w:t xml:space="preserve"> show the recovered measure is generally misspecified and would differ substantially from true probabilities. Treat an RND as prices of states, not forecasts of them.</w:t>
      </w:r>
    </w:p>
    <w:p>
      <w:pPr>
        <w:pStyle w:val="Heading2"/>
      </w:pPr>
      <w:r>
        <w:t xml:space="preserve">Open interest and dealer gamma</w:t>
      </w:r>
    </w:p>
    <w:p>
      <w:pPr/>
      <w:r>
        <w:t xml:space="preserve">Dealer gamma predicts volatility and return autocorrelation, not direction. Positive dealer gamma dampens moves and favors reversals; negative gamma amplifies them and favors momentum.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Effect</w:t>
            </w:r>
          </w:p>
        </w:tc>
        <w:tc>
          <w:tcPr>
            <w:tcW w:w="2340" w:type="dxa"/>
            <w:shd w:val="clear" w:color="auto" w:fill="F2F2F2"/>
          </w:tcPr>
          <w:p>
            <w:pPr/>
            <w:r>
              <w:t xml:space="preserve">Paper</w:t>
            </w:r>
          </w:p>
        </w:tc>
        <w:tc>
          <w:tcPr>
            <w:tcW w:w="2340" w:type="dxa"/>
            <w:shd w:val="clear" w:color="auto" w:fill="F2F2F2"/>
          </w:tcPr>
          <w:p>
            <w:pPr/>
            <w:r>
              <w:t xml:space="preserve">Finding</w:t>
            </w:r>
          </w:p>
        </w:tc>
        <w:tc>
          <w:tcPr>
            <w:tcW w:w="2340" w:type="dxa"/>
            <w:shd w:val="clear" w:color="auto" w:fill="F2F2F2"/>
          </w:tcPr>
          <w:p>
            <w:pPr/>
            <w:r>
              <w:t xml:space="preserve">Horizon</w:t>
            </w:r>
          </w:p>
        </w:tc>
      </w:tr>
      <w:tr>
        <w:tc>
          <w:tcPr>
            <w:tcW w:w="2340" w:type="dxa"/>
          </w:tcPr>
          <w:p>
            <w:pPr/>
            <w:r>
              <w:t xml:space="preserve">Pinning at expiration</w:t>
            </w:r>
          </w:p>
        </w:tc>
        <w:tc>
          <w:tcPr>
            <w:tcW w:w="2340" w:type="dxa"/>
          </w:tcPr>
          <w:p>
            <w:pPr/>
            <w:hyperlink r:id="rId26" w:history="1">
              <w:r>
                <w:rPr>
                  <w:rStyle w:val="Hyperlink"/>
                </w:rPr>
                <w:t xml:space="preserve">Ni, Pearson and Poteshman (2005), JFE</w:t>
              </w:r>
            </w:hyperlink>
          </w:p>
        </w:tc>
        <w:tc>
          <w:tcPr>
            <w:tcW w:w="2340" w:type="dxa"/>
          </w:tcPr>
          <w:p>
            <w:pPr/>
            <w:r>
              <w:t xml:space="preserve">Optionable stocks close clustered at strikes on expiration; returns shifted at least 16.5 bp per expiration, about $9B in market cap</w:t>
            </w:r>
          </w:p>
        </w:tc>
        <w:tc>
          <w:tcPr>
            <w:tcW w:w="2340" w:type="dxa"/>
          </w:tcPr>
          <w:p>
            <w:pPr/>
            <w:r>
              <w:t xml:space="preserve">Expiration day</w:t>
            </w:r>
          </w:p>
        </w:tc>
      </w:tr>
      <w:tr>
        <w:tc>
          <w:tcPr>
            <w:tcW w:w="2340" w:type="dxa"/>
          </w:tcPr>
          <w:p>
            <w:pPr/>
            <w:r>
              <w:t xml:space="preserve">Index pinning</w:t>
            </w:r>
          </w:p>
        </w:tc>
        <w:tc>
          <w:tcPr>
            <w:tcW w:w="2340" w:type="dxa"/>
          </w:tcPr>
          <w:p>
            <w:pPr/>
            <w:hyperlink r:id="rId27" w:history="1">
              <w:r>
                <w:rPr>
                  <w:rStyle w:val="Hyperlink"/>
                </w:rPr>
                <w:t xml:space="preserve">Golez and Jackwerth (2012), JFE</w:t>
              </w:r>
            </w:hyperlink>
          </w:p>
        </w:tc>
        <w:tc>
          <w:tcPr>
            <w:tcW w:w="2340" w:type="dxa"/>
          </w:tcPr>
          <w:p>
            <w:pPr/>
            <w:r>
              <w:t xml:space="preserve">S&amp;P 500 futures pinned to ATM strikes on serial expirations, pushed away before index expirations</w:t>
            </w:r>
          </w:p>
        </w:tc>
        <w:tc>
          <w:tcPr>
            <w:tcW w:w="2340" w:type="dxa"/>
          </w:tcPr>
          <w:p>
            <w:pPr/>
            <w:r>
              <w:t xml:space="preserve">Expiration day</w:t>
            </w:r>
          </w:p>
        </w:tc>
      </w:tr>
      <w:tr>
        <w:tc>
          <w:tcPr>
            <w:tcW w:w="2340" w:type="dxa"/>
          </w:tcPr>
          <w:p>
            <w:pPr/>
            <w:r>
              <w:t xml:space="preserve">Hedge rebalancing and volatility</w:t>
            </w:r>
          </w:p>
        </w:tc>
        <w:tc>
          <w:tcPr>
            <w:tcW w:w="2340" w:type="dxa"/>
          </w:tcPr>
          <w:p>
            <w:pPr/>
            <w:hyperlink r:id="rId28" w:history="1">
              <w:r>
                <w:rPr>
                  <w:rStyle w:val="Hyperlink"/>
                </w:rPr>
                <w:t xml:space="preserve">Ni, Pearson, Poteshman and White (2021), RFS</w:t>
              </w:r>
            </w:hyperlink>
          </w:p>
        </w:tc>
        <w:tc>
          <w:tcPr>
            <w:tcW w:w="2340" w:type="dxa"/>
          </w:tcPr>
          <w:p>
            <w:pPr/>
            <w:r>
              <w:t xml:space="preserve">Market maker rebalancing changes stock volatility and the odds of large moves, a non informational channel</w:t>
            </w:r>
          </w:p>
        </w:tc>
        <w:tc>
          <w:tcPr>
            <w:tcW w:w="2340" w:type="dxa"/>
          </w:tcPr>
          <w:p>
            <w:pPr/>
            <w:r>
              <w:t xml:space="preserve">Daily</w:t>
            </w:r>
          </w:p>
        </w:tc>
      </w:tr>
      <w:tr>
        <w:tc>
          <w:tcPr>
            <w:tcW w:w="2340" w:type="dxa"/>
          </w:tcPr>
          <w:p>
            <w:pPr/>
            <w:r>
              <w:t xml:space="preserve">Intraday momentum</w:t>
            </w:r>
          </w:p>
        </w:tc>
        <w:tc>
          <w:tcPr>
            <w:tcW w:w="2340" w:type="dxa"/>
          </w:tcPr>
          <w:p>
            <w:pPr/>
            <w:hyperlink r:id="rId29" w:history="1">
              <w:r>
                <w:rPr>
                  <w:rStyle w:val="Hyperlink"/>
                </w:rPr>
                <w:t xml:space="preserve">Baltussen, Da, Lammers and Martens (2021), JFE</w:t>
              </w:r>
            </w:hyperlink>
          </w:p>
        </w:tc>
        <w:tc>
          <w:tcPr>
            <w:tcW w:w="2340" w:type="dxa"/>
          </w:tcPr>
          <w:p>
            <w:pPr/>
            <w:r>
              <w:t xml:space="preserve">Across 60+ futures since 1974, rest of day return predicts the last 30 minutes; much stronger when dealers are net short gamma; reverts over following days</w:t>
            </w:r>
          </w:p>
        </w:tc>
        <w:tc>
          <w:tcPr>
            <w:tcW w:w="2340" w:type="dxa"/>
          </w:tcPr>
          <w:p>
            <w:pPr/>
            <w:r>
              <w:t xml:space="preserve">Intraday</w:t>
            </w:r>
          </w:p>
        </w:tc>
      </w:tr>
      <w:tr>
        <w:tc>
          <w:tcPr>
            <w:tcW w:w="2340" w:type="dxa"/>
          </w:tcPr>
          <w:p>
            <w:pPr/>
            <w:r>
              <w:t xml:space="preserve">Gamma imbalance and fragility</w:t>
            </w:r>
          </w:p>
        </w:tc>
        <w:tc>
          <w:tcPr>
            <w:tcW w:w="2340" w:type="dxa"/>
          </w:tcPr>
          <w:p>
            <w:pPr/>
            <w:hyperlink r:id="rId30" w:history="1">
              <w:r>
                <w:rPr>
                  <w:rStyle w:val="Hyperlink"/>
                </w:rPr>
                <w:t xml:space="preserve">Barbon and Buraschi (2021 WP)</w:t>
              </w:r>
            </w:hyperlink>
          </w:p>
        </w:tc>
        <w:tc>
          <w:tcPr>
            <w:tcW w:w="2340" w:type="dxa"/>
          </w:tcPr>
          <w:p>
            <w:pPr/>
            <w:r>
              <w:t xml:space="preserve">Negative stock level gamma plus illiquidity explains intraday momentum; positive explains reversal; linked to flash crash frequency</w:t>
            </w:r>
          </w:p>
        </w:tc>
        <w:tc>
          <w:tcPr>
            <w:tcW w:w="2340" w:type="dxa"/>
          </w:tcPr>
          <w:p>
            <w:pPr/>
            <w:r>
              <w:t xml:space="preserve">Intraday</w:t>
            </w:r>
          </w:p>
        </w:tc>
      </w:tr>
      <w:tr>
        <w:tc>
          <w:tcPr>
            <w:tcW w:w="2340" w:type="dxa"/>
          </w:tcPr>
          <w:p>
            <w:pPr/>
            <w:r>
              <w:t xml:space="preserve">0DTE gamma</w:t>
            </w:r>
          </w:p>
        </w:tc>
        <w:tc>
          <w:tcPr>
            <w:tcW w:w="2340" w:type="dxa"/>
          </w:tcPr>
          <w:p>
            <w:pPr/>
            <w:hyperlink r:id="rId31" w:history="1">
              <w:r>
                <w:rPr>
                  <w:rStyle w:val="Hyperlink"/>
                </w:rPr>
                <w:t xml:space="preserve">Dim, Eraker and Vilkov (2024 WP)</w:t>
              </w:r>
            </w:hyperlink>
          </w:p>
        </w:tc>
        <w:tc>
          <w:tcPr>
            <w:tcW w:w="2340" w:type="dxa"/>
          </w:tcPr>
          <w:p>
            <w:pPr/>
            <w:r>
              <w:t xml:space="preserve">SPX 0DTE market maker gamma is on average positive and lowers future intraday volatility; no evidence 0DTEs destabilize</w:t>
            </w:r>
          </w:p>
        </w:tc>
        <w:tc>
          <w:tcPr>
            <w:tcW w:w="2340" w:type="dxa"/>
          </w:tcPr>
          <w:p>
            <w:pPr/>
            <w:r>
              <w:t xml:space="preserve">Intraday</w:t>
            </w:r>
          </w:p>
        </w:tc>
      </w:tr>
    </w:tbl>
    <w:p>
      <w:pPr/>
      <w:r>
        <w:t xml:space="preserve">The measurement problem is central. Open interest has no sign. Popular GEX numbers assume dealers are long calls and short puts, which is often wrong for single stocks and for periods of heavy retail call buying. The academic papers use CBOE or ISE data that identify customer versus market maker positions; public GEX estimates should be treated as noisy proxies.</w:t>
      </w:r>
    </w:p>
    <w:p>
      <w:pPr/>
      <w:r>
        <w:t xml:space="preserve">Open interest changes on their own have weaker evidence than signed volume; most of the information in OI is better captured by the opening volume measures in the flow section.</w:t>
      </w:r>
    </w:p>
    <w:p>
      <w:pPr>
        <w:pStyle w:val="Heading2"/>
      </w:pPr>
      <w:r>
        <w:t xml:space="preserve">Volatility and crash risk prediction</w:t>
      </w:r>
    </w:p>
    <w:p>
      <w:pPr/>
      <w:r>
        <w:t xml:space="preserve">Implied volatility is the best single forecaster of future realized volatility, and the gap between implied and expected realized variance (the variance risk premium) predicts index returns at a roughly quarterly horizon. Options are much weaker at timing crashes than at pricing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Target</w:t>
            </w:r>
          </w:p>
        </w:tc>
        <w:tc>
          <w:tcPr>
            <w:tcW w:w="3120" w:type="dxa"/>
            <w:shd w:val="clear" w:color="auto" w:fill="F2F2F2"/>
          </w:tcPr>
          <w:p>
            <w:pPr/>
            <w:r>
              <w:t xml:space="preserve">Paper</w:t>
            </w:r>
          </w:p>
        </w:tc>
        <w:tc>
          <w:tcPr>
            <w:tcW w:w="3120" w:type="dxa"/>
            <w:shd w:val="clear" w:color="auto" w:fill="F2F2F2"/>
          </w:tcPr>
          <w:p>
            <w:pPr/>
            <w:r>
              <w:t xml:space="preserve">Finding</w:t>
            </w:r>
          </w:p>
        </w:tc>
      </w:tr>
      <w:tr>
        <w:tc>
          <w:tcPr>
            <w:tcW w:w="3120" w:type="dxa"/>
          </w:tcPr>
          <w:p>
            <w:pPr/>
            <w:r>
              <w:t xml:space="preserve">Future realized volatility</w:t>
            </w:r>
          </w:p>
        </w:tc>
        <w:tc>
          <w:tcPr>
            <w:tcW w:w="3120" w:type="dxa"/>
          </w:tcPr>
          <w:p>
            <w:pPr/>
            <w:hyperlink r:id="rId32" w:history="1">
              <w:r>
                <w:rPr>
                  <w:rStyle w:val="Hyperlink"/>
                </w:rPr>
                <w:t xml:space="preserve">Christensen and Prabhala (1998), JFE</w:t>
              </w:r>
            </w:hyperlink>
          </w:p>
        </w:tc>
        <w:tc>
          <w:tcPr>
            <w:tcW w:w="3120" w:type="dxa"/>
          </w:tcPr>
          <w:p>
            <w:pPr/>
            <w:r>
              <w:t xml:space="preserve">S&amp;P 100 implied vol beats past realized vol and sometimes subsumes it; earlier contrary results came from overlapping data and the 1987 regime shift</w:t>
            </w:r>
          </w:p>
        </w:tc>
      </w:tr>
      <w:tr>
        <w:tc>
          <w:tcPr>
            <w:tcW w:w="3120" w:type="dxa"/>
          </w:tcPr>
          <w:p>
            <w:pPr/>
            <w:r>
              <w:t xml:space="preserve">Index returns via VRP</w:t>
            </w:r>
          </w:p>
        </w:tc>
        <w:tc>
          <w:tcPr>
            <w:tcW w:w="3120" w:type="dxa"/>
          </w:tcPr>
          <w:p>
            <w:pPr/>
            <w:hyperlink r:id="rId33" w:history="1">
              <w:r>
                <w:rPr>
                  <w:rStyle w:val="Hyperlink"/>
                </w:rPr>
                <w:t xml:space="preserve">Bollerslev, Tauchen and Zhou (2009), RFS</w:t>
              </w:r>
            </w:hyperlink>
          </w:p>
        </w:tc>
        <w:tc>
          <w:tcPr>
            <w:tcW w:w="3120" w:type="dxa"/>
          </w:tcPr>
          <w:p>
            <w:pPr/>
            <w:r>
              <w:t xml:space="preserve">High VRP predicts high returns, strongest at the quarterly horizon; needs model free IV and intraday realized variance</w:t>
            </w:r>
          </w:p>
        </w:tc>
      </w:tr>
      <w:tr>
        <w:tc>
          <w:tcPr>
            <w:tcW w:w="3120" w:type="dxa"/>
          </w:tcPr>
          <w:p>
            <w:pPr/>
            <w:r>
              <w:t xml:space="preserve">Returns vs real activity</w:t>
            </w:r>
          </w:p>
        </w:tc>
        <w:tc>
          <w:tcPr>
            <w:tcW w:w="3120" w:type="dxa"/>
          </w:tcPr>
          <w:p>
            <w:pPr/>
            <w:hyperlink r:id="rId34" w:history="1">
              <w:r>
                <w:rPr>
                  <w:rStyle w:val="Hyperlink"/>
                </w:rPr>
                <w:t xml:space="preserve">Bekaert and Hoerova (2014), J. Econometrics</w:t>
              </w:r>
            </w:hyperlink>
          </w:p>
        </w:tc>
        <w:tc>
          <w:tcPr>
            <w:tcW w:w="3120" w:type="dxa"/>
          </w:tcPr>
          <w:p>
            <w:pPr/>
            <w:r>
              <w:t xml:space="preserve">Splitting VIX squared: the variance premium predicts returns; the conditional variance predicts economic activity and financial instability</w:t>
            </w:r>
          </w:p>
        </w:tc>
      </w:tr>
      <w:tr>
        <w:tc>
          <w:tcPr>
            <w:tcW w:w="3120" w:type="dxa"/>
          </w:tcPr>
          <w:p>
            <w:pPr/>
            <w:r>
              <w:t xml:space="preserve">Index returns via tail premium</w:t>
            </w:r>
          </w:p>
        </w:tc>
        <w:tc>
          <w:tcPr>
            <w:tcW w:w="3120" w:type="dxa"/>
          </w:tcPr>
          <w:p>
            <w:pPr/>
            <w:hyperlink r:id="rId35" w:history="1">
              <w:r>
                <w:rPr>
                  <w:rStyle w:val="Hyperlink"/>
                </w:rPr>
                <w:t xml:space="preserve">Bollerslev, Todorov and Xu (2015), JFE</w:t>
              </w:r>
            </w:hyperlink>
          </w:p>
        </w:tc>
        <w:tc>
          <w:tcPr>
            <w:tcW w:w="3120" w:type="dxa"/>
          </w:tcPr>
          <w:p>
            <w:pPr/>
            <w:r>
              <w:t xml:space="preserve">Most of VRP predictability comes from the jump tail component, a measure of market fear</w:t>
            </w:r>
          </w:p>
        </w:tc>
      </w:tr>
      <w:tr>
        <w:tc>
          <w:tcPr>
            <w:tcW w:w="3120" w:type="dxa"/>
          </w:tcPr>
          <w:p>
            <w:pPr/>
            <w:r>
              <w:t xml:space="preserve">Equity and variance premia</w:t>
            </w:r>
          </w:p>
        </w:tc>
        <w:tc>
          <w:tcPr>
            <w:tcW w:w="3120" w:type="dxa"/>
          </w:tcPr>
          <w:p>
            <w:pPr/>
            <w:hyperlink r:id="rId36" w:history="1">
              <w:r>
                <w:rPr>
                  <w:rStyle w:val="Hyperlink"/>
                </w:rPr>
                <w:t xml:space="preserve">Andersen, Fusari and Todorov (2015), JFE</w:t>
              </w:r>
            </w:hyperlink>
          </w:p>
        </w:tc>
        <w:tc>
          <w:tcPr>
            <w:tcW w:w="3120" w:type="dxa"/>
          </w:tcPr>
          <w:p>
            <w:pPr/>
            <w:r>
              <w:t xml:space="preserve">A left tail factor from the option surface adds nothing for forecasting volatility or jumps, but is critical for forecasting equity and variance risk premia</w:t>
            </w:r>
          </w:p>
        </w:tc>
      </w:tr>
      <w:tr>
        <w:tc>
          <w:tcPr>
            <w:tcW w:w="3120" w:type="dxa"/>
          </w:tcPr>
          <w:p>
            <w:pPr/>
            <w:r>
              <w:t xml:space="preserve">Crash probability</w:t>
            </w:r>
          </w:p>
        </w:tc>
        <w:tc>
          <w:tcPr>
            <w:tcW w:w="3120" w:type="dxa"/>
          </w:tcPr>
          <w:p>
            <w:pPr/>
            <w:hyperlink r:id="rId22" w:history="1">
              <w:r>
                <w:rPr>
                  <w:rStyle w:val="Hyperlink"/>
                </w:rPr>
                <w:t xml:space="preserve">Martin (2017), QJE</w:t>
              </w:r>
            </w:hyperlink>
          </w:p>
        </w:tc>
        <w:tc>
          <w:tcPr>
            <w:tcW w:w="3120" w:type="dxa"/>
          </w:tcPr>
          <w:p>
            <w:pPr/>
            <w:r>
              <w:t xml:space="preserve">Provides an option implied probability of a market crash alongside the SVIX bound</w:t>
            </w:r>
          </w:p>
        </w:tc>
      </w:tr>
      <w:tr>
        <w:tc>
          <w:tcPr>
            <w:tcW w:w="3120" w:type="dxa"/>
          </w:tcPr>
          <w:p>
            <w:pPr/>
            <w:r>
              <w:t xml:space="preserve">Anticipating 1987</w:t>
            </w:r>
          </w:p>
        </w:tc>
        <w:tc>
          <w:tcPr>
            <w:tcW w:w="3120" w:type="dxa"/>
          </w:tcPr>
          <w:p>
            <w:pPr/>
            <w:hyperlink r:id="rId37" w:history="1">
              <w:r>
                <w:rPr>
                  <w:rStyle w:val="Hyperlink"/>
                </w:rPr>
                <w:t xml:space="preserve">Bates (1991), JF</w:t>
              </w:r>
            </w:hyperlink>
          </w:p>
        </w:tc>
        <w:tc>
          <w:tcPr>
            <w:tcW w:w="3120" w:type="dxa"/>
          </w:tcPr>
          <w:p>
            <w:pPr/>
            <w:r>
              <w:t xml:space="preserve">OTM puts were unusually expensive in the year before the crash, but showed no strong crash fear in the final two months</w:t>
            </w:r>
          </w:p>
        </w:tc>
      </w:tr>
      <w:tr>
        <w:tc>
          <w:tcPr>
            <w:tcW w:w="3120" w:type="dxa"/>
          </w:tcPr>
          <w:p>
            <w:pPr/>
            <w:r>
              <w:t xml:space="preserve">Intermediary constraints</w:t>
            </w:r>
          </w:p>
        </w:tc>
        <w:tc>
          <w:tcPr>
            <w:tcW w:w="3120" w:type="dxa"/>
          </w:tcPr>
          <w:p>
            <w:pPr/>
            <w:hyperlink r:id="rId38" w:history="1">
              <w:r>
                <w:rPr>
                  <w:rStyle w:val="Hyperlink"/>
                </w:rPr>
                <w:t xml:space="preserve">Chen, Joslin and Ni (2019), RFS</w:t>
              </w:r>
            </w:hyperlink>
          </w:p>
        </w:tc>
        <w:tc>
          <w:tcPr>
            <w:tcW w:w="3120" w:type="dxa"/>
          </w:tcPr>
          <w:p>
            <w:pPr/>
            <w:r>
              <w:t xml:space="preserve">Net deep OTM SPX put trading between dealers and public reveals tight dealer constraints, which precede higher risk premia across assets</w:t>
            </w:r>
          </w:p>
        </w:tc>
      </w:tr>
    </w:tbl>
    <w:p>
      <w:pPr/>
      <w:r>
        <w:t xml:space="preserve">The structural reason skew is a poor crash timer: </w:t>
      </w:r>
      <w:hyperlink r:id="rId39" w:history="1">
        <w:r>
          <w:rPr>
            <w:rStyle w:val="Hyperlink"/>
          </w:rPr>
          <w:t xml:space="preserve">Garleanu, Pedersen and Poteshman (2009), RFS</w:t>
        </w:r>
      </w:hyperlink>
      <w:r>
        <w:t xml:space="preserve"> show end users are net long index OTM puts, so dealers charge for unhedgeable risk. Put prices therefore mix crash beliefs with dealer balance sheet capacity and hedging demand. A rich skew tells you insurance is expensive, which forecasts higher future returns for sellers of that insurance more reliably than it forecasts the crash itself.</w:t>
      </w:r>
    </w:p>
    <w:p>
      <w:pPr>
        <w:pStyle w:val="Heading2"/>
      </w:pPr>
      <w:r>
        <w:t xml:space="preserve">Robustness, decay and replication</w:t>
      </w:r>
    </w:p>
    <w:p>
      <w:pPr/>
      <w:r>
        <w:t xml:space="preserve">Treat every published effect size below as an upper bound. Four separate forces erode it.</w:t>
      </w:r>
    </w:p>
    <w:p>
      <w:pPr>
        <w:pStyle w:val="ListParagraph"/>
        <w:numPr>
          <w:ilvl w:val="0"/>
          <w:numId w:val="2"/>
        </w:numPr>
      </w:pPr>
      <w:r>
        <w:rPr>
          <w:b/>
        </w:rPr>
        <w:t xml:space="preserve">Publication decay.</w:t>
      </w:r>
      <w:r>
        <w:t xml:space="preserve"> Across 97 stock predictors, returns are 26% lower out of sample and 58% lower after publication (</w:t>
      </w:r>
      <w:hyperlink r:id="rId40" w:history="1">
        <w:r>
          <w:rPr>
            <w:rStyle w:val="Hyperlink"/>
          </w:rPr>
          <w:t xml:space="preserve">McLean and Pontiff (2016), JF</w:t>
        </w:r>
      </w:hyperlink>
      <w:r>
        <w:t xml:space="preserve">). Cremers and Weinbaum already saw their put call parity signal weaken within their own sample.</w:t>
      </w:r>
    </w:p>
    <w:p>
      <w:pPr>
        <w:pStyle w:val="ListParagraph"/>
        <w:numPr>
          <w:ilvl w:val="0"/>
          <w:numId w:val="2"/>
        </w:numPr>
      </w:pPr>
      <w:r>
        <w:rPr>
          <w:b/>
        </w:rPr>
        <w:t xml:space="preserve">Borrow fees.</w:t>
      </w:r>
      <w:r>
        <w:t xml:space="preserve"> Excluding high fee stocks cuts IV spread and skew predictability by at least two thirds (</w:t>
      </w:r>
      <w:hyperlink r:id="rId15" w:history="1">
        <w:r>
          <w:rPr>
            <w:rStyle w:val="Hyperlink"/>
          </w:rPr>
          <w:t xml:space="preserve">Muravyev, Pearson and Pollet (2025), JFE</w:t>
        </w:r>
      </w:hyperlink>
      <w:r>
        <w:t xml:space="preserve">). The same caution applies to O/S and very negative RN skew, whose papers show the effect is concentrated in costly to short stocks.</w:t>
      </w:r>
    </w:p>
    <w:p>
      <w:pPr>
        <w:pStyle w:val="ListParagraph"/>
        <w:numPr>
          <w:ilvl w:val="0"/>
          <w:numId w:val="2"/>
        </w:numPr>
      </w:pPr>
      <w:r>
        <w:rPr>
          <w:b/>
        </w:rPr>
        <w:t xml:space="preserve">Proprietary data.</w:t>
      </w:r>
      <w:r>
        <w:t xml:space="preserve"> The strongest flow and gamma results rely on CBOE or ISE open/close and customer type codes. Public proxies are weaker and partly reflect price pressure that reverses.</w:t>
      </w:r>
    </w:p>
    <w:p>
      <w:pPr>
        <w:pStyle w:val="ListParagraph"/>
        <w:numPr>
          <w:ilvl w:val="0"/>
          <w:numId w:val="2"/>
        </w:numPr>
      </w:pPr>
      <w:r>
        <w:rPr>
          <w:b/>
        </w:rPr>
        <w:t xml:space="preserve">Trading costs.</w:t>
      </w:r>
      <w:r>
        <w:t xml:space="preserve"> Option bid ask spreads are wide; Goyal and Saretto's straddle strategy is large before costs and much smaller after quoted spreads. Stock return signals avoid this only if you trade the stock rather than the option.</w:t>
      </w:r>
    </w:p>
    <w:p>
      <w:pPr/>
      <w:r>
        <w:rPr>
          <w:b/>
        </w:rPr>
        <w:t xml:space="preserve">The most demanding test so far.</w:t>
      </w:r>
      <w:r>
        <w:t xml:space="preserve"> </w:t>
      </w:r>
      <w:hyperlink r:id="rId41" w:history="1">
        <w:r>
          <w:rPr>
            <w:rStyle w:val="Hyperlink"/>
          </w:rPr>
          <w:t xml:space="preserve">Neuhierl, Tang, Varneskov and Zhou (2024), MS</w:t>
        </w:r>
      </w:hyperlink>
      <w:r>
        <w:t xml:space="preserve"> run 29 published option characteristics from 1996 to 2021 against 150 firm characteristics, physical tail risk controls and up to seven statistical factors. The results:</w:t>
      </w:r>
    </w:p>
    <w:p>
      <w:pPr>
        <w:pStyle w:val="ListParagraph"/>
        <w:numPr>
          <w:ilvl w:val="0"/>
          <w:numId w:val="3"/>
        </w:numPr>
      </w:pPr>
      <w:r>
        <w:t xml:space="preserve">16 of 29 earn significant alpha under CAPM, FF3 and FF4, matching the literature. Only 6 survive every test, and all 6 measure the shape of the IV smirk: the ATM and OTM put minus call IV spreads, their monthly changes, risk neutral skew, and variance asymmetry.</w:t>
      </w:r>
    </w:p>
    <w:p>
      <w:pPr>
        <w:pStyle w:val="ListParagraph"/>
        <w:numPr>
          <w:ilvl w:val="0"/>
          <w:numId w:val="3"/>
        </w:numPr>
      </w:pPr>
      <w:r>
        <w:t xml:space="preserve">Surviving alphas run about 0.35% to 1.10% per month against the seven factor PCA model. Stock level VRP, O/S, the change in call IV, and put IV lose significance once firm characteristic factors are included.</w:t>
      </w:r>
    </w:p>
    <w:p>
      <w:pPr>
        <w:pStyle w:val="ListParagraph"/>
        <w:numPr>
          <w:ilvl w:val="0"/>
          <w:numId w:val="3"/>
        </w:numPr>
      </w:pPr>
      <w:r>
        <w:t xml:space="preserve">A steep smirk and high left jump intensity predict lower future returns, the opposite of a risk premium. The authors read this as information about future tail outcomes, not compensation.</w:t>
      </w:r>
    </w:p>
    <w:p>
      <w:pPr>
        <w:pStyle w:val="ListParagraph"/>
        <w:numPr>
          <w:ilvl w:val="0"/>
          <w:numId w:val="3"/>
        </w:numPr>
      </w:pPr>
      <w:r>
        <w:t xml:space="preserve">Most of the return comes from the long leg (flat smirk stocks). In the easiest to short stocks, with leverage, volatility and left jump controls, alphas are explained for all but the OTM spread and its change. Both informed trading and limits to arbitrage are at work.</w:t>
      </w:r>
    </w:p>
    <w:p>
      <w:pPr>
        <w:pStyle w:val="ListParagraph"/>
        <w:numPr>
          <w:ilvl w:val="0"/>
          <w:numId w:val="3"/>
        </w:numPr>
      </w:pPr>
      <w:r>
        <w:t xml:space="preserve">They reconcile the conflict with Muravyev et al.: Cremers and Weinbaum and Xing et al. used 1996 to 2005, Muravyev et al. used 2006 to 2015, and the short leg dominated mainly in 2008 to 2009 and March 2020.</w:t>
      </w:r>
    </w:p>
    <w:p>
      <w:pPr/>
      <w:hyperlink r:id="rId42" w:history="1">
        <w:r>
          <w:rPr>
            <w:rStyle w:val="Hyperlink"/>
          </w:rPr>
          <w:t xml:space="preserve">Bali, Beckmeyer, Moerke and Weigert (2023), RFS</w:t>
        </w:r>
      </w:hyperlink>
      <w:r>
        <w:t xml:space="preserve"> show nonlinear machine learning on 12 million observations from 1996 to 2020 predicts option returns out of sample, profitable after costs. Together these suggest the information is real but narrow: it sits in the IV smirk and in hard to arbitrage names.</w:t>
      </w:r>
    </w:p>
    <w:p>
      <w:pPr>
        <w:pStyle w:val="Heading2"/>
      </w:pPr>
      <w:r>
        <w:t xml:space="preserve">References</w:t>
      </w:r>
    </w:p>
    <w:p>
      <w:pPr/>
      <w:r>
        <w:t xml:space="preserve">Links go to each paper or its abstract page; quoted figures come from the abstracts or paper text.</w:t>
      </w:r>
    </w:p>
    <w:p>
      <w:pPr>
        <w:pStyle w:val="ListParagraph"/>
        <w:numPr>
          <w:ilvl w:val="0"/>
          <w:numId w:val="4"/>
        </w:numPr>
      </w:pPr>
      <w:hyperlink r:id="rId36" w:history="1">
        <w:r>
          <w:rPr>
            <w:rStyle w:val="Hyperlink"/>
          </w:rPr>
          <w:t xml:space="preserve">Andersen, Fusari and Todorov (2015)</w:t>
        </w:r>
      </w:hyperlink>
      <w:r>
        <w:t xml:space="preserve">, The Risk Premia Embedded in Index Options, JFE</w:t>
      </w:r>
    </w:p>
    <w:p>
      <w:pPr>
        <w:pStyle w:val="ListParagraph"/>
        <w:numPr>
          <w:ilvl w:val="0"/>
          <w:numId w:val="4"/>
        </w:numPr>
      </w:pPr>
      <w:hyperlink r:id="rId13" w:history="1">
        <w:r>
          <w:rPr>
            <w:rStyle w:val="Hyperlink"/>
          </w:rPr>
          <w:t xml:space="preserve">An, Ang, Bali and Cakici (2014)</w:t>
        </w:r>
      </w:hyperlink>
      <w:r>
        <w:t xml:space="preserve">, The Joint Cross Section of Stocks and Options, JF</w:t>
      </w:r>
    </w:p>
    <w:p>
      <w:pPr>
        <w:pStyle w:val="ListParagraph"/>
        <w:numPr>
          <w:ilvl w:val="0"/>
          <w:numId w:val="4"/>
        </w:numPr>
      </w:pPr>
      <w:hyperlink r:id="rId8" w:history="1">
        <w:r>
          <w:rPr>
            <w:rStyle w:val="Hyperlink"/>
          </w:rPr>
          <w:t xml:space="preserve">Augustin and Subrahmanyam (2020)</w:t>
        </w:r>
      </w:hyperlink>
      <w:r>
        <w:t xml:space="preserve">, Informed Options Trading Before Corporate Events, Annual Review of Financial Economics</w:t>
      </w:r>
    </w:p>
    <w:p>
      <w:pPr>
        <w:pStyle w:val="ListParagraph"/>
        <w:numPr>
          <w:ilvl w:val="0"/>
          <w:numId w:val="4"/>
        </w:numPr>
      </w:pPr>
      <w:hyperlink r:id="rId16" w:history="1">
        <w:r>
          <w:rPr>
            <w:rStyle w:val="Hyperlink"/>
          </w:rPr>
          <w:t xml:space="preserve">Bakshi, Kapadia and Madan (2003)</w:t>
        </w:r>
      </w:hyperlink>
      <w:r>
        <w:t xml:space="preserve">, Stock Return Characteristics, Skew Laws, and the Differential Pricing of Individual Equity Options, RFS</w:t>
      </w:r>
    </w:p>
    <w:p>
      <w:pPr>
        <w:pStyle w:val="ListParagraph"/>
        <w:numPr>
          <w:ilvl w:val="0"/>
          <w:numId w:val="4"/>
        </w:numPr>
      </w:pPr>
      <w:hyperlink r:id="rId42" w:history="1">
        <w:r>
          <w:rPr>
            <w:rStyle w:val="Hyperlink"/>
          </w:rPr>
          <w:t xml:space="preserve">Bali, Beckmeyer, Moerke and Weigert (2023)</w:t>
        </w:r>
      </w:hyperlink>
      <w:r>
        <w:t xml:space="preserve">, Option Return Predictability with Machine Learning and Big Data, RFS</w:t>
      </w:r>
    </w:p>
    <w:p>
      <w:pPr>
        <w:pStyle w:val="ListParagraph"/>
        <w:numPr>
          <w:ilvl w:val="0"/>
          <w:numId w:val="4"/>
        </w:numPr>
      </w:pPr>
      <w:hyperlink r:id="rId12" w:history="1">
        <w:r>
          <w:rPr>
            <w:rStyle w:val="Hyperlink"/>
          </w:rPr>
          <w:t xml:space="preserve">Bali and Hovakimian (2009)</w:t>
        </w:r>
      </w:hyperlink>
      <w:r>
        <w:t xml:space="preserve">, Volatility Spreads and Expected Stock Returns, MS</w:t>
      </w:r>
    </w:p>
    <w:p>
      <w:pPr>
        <w:pStyle w:val="ListParagraph"/>
        <w:numPr>
          <w:ilvl w:val="0"/>
          <w:numId w:val="4"/>
        </w:numPr>
      </w:pPr>
      <w:hyperlink r:id="rId19" w:history="1">
        <w:r>
          <w:rPr>
            <w:rStyle w:val="Hyperlink"/>
          </w:rPr>
          <w:t xml:space="preserve">Bali, Hu and Murray (WP)</w:t>
        </w:r>
      </w:hyperlink>
      <w:r>
        <w:t xml:space="preserve">, Option Implied Volatility, Skewness, and Kurtosis and the Cross Section of Expected Stock Returns</w:t>
      </w:r>
    </w:p>
    <w:p>
      <w:pPr>
        <w:pStyle w:val="ListParagraph"/>
        <w:numPr>
          <w:ilvl w:val="0"/>
          <w:numId w:val="4"/>
        </w:numPr>
      </w:pPr>
      <w:hyperlink r:id="rId29" w:history="1">
        <w:r>
          <w:rPr>
            <w:rStyle w:val="Hyperlink"/>
          </w:rPr>
          <w:t xml:space="preserve">Baltussen, Da, Lammers and Martens (2021)</w:t>
        </w:r>
      </w:hyperlink>
      <w:r>
        <w:t xml:space="preserve">, Hedging Demand and Market Intraday Momentum, JFE</w:t>
      </w:r>
    </w:p>
    <w:p>
      <w:pPr>
        <w:pStyle w:val="ListParagraph"/>
        <w:numPr>
          <w:ilvl w:val="0"/>
          <w:numId w:val="4"/>
        </w:numPr>
      </w:pPr>
      <w:hyperlink r:id="rId30" w:history="1">
        <w:r>
          <w:rPr>
            <w:rStyle w:val="Hyperlink"/>
          </w:rPr>
          <w:t xml:space="preserve">Barbon and Buraschi (WP)</w:t>
        </w:r>
      </w:hyperlink>
      <w:r>
        <w:t xml:space="preserve">, Gamma Fragility</w:t>
      </w:r>
    </w:p>
    <w:p>
      <w:pPr>
        <w:pStyle w:val="ListParagraph"/>
        <w:numPr>
          <w:ilvl w:val="0"/>
          <w:numId w:val="4"/>
        </w:numPr>
      </w:pPr>
      <w:hyperlink r:id="rId37" w:history="1">
        <w:r>
          <w:rPr>
            <w:rStyle w:val="Hyperlink"/>
          </w:rPr>
          <w:t xml:space="preserve">Bates (1991)</w:t>
        </w:r>
      </w:hyperlink>
      <w:r>
        <w:t xml:space="preserve">, The Crash of '87: Was It Expected? JF</w:t>
      </w:r>
    </w:p>
    <w:p>
      <w:pPr>
        <w:pStyle w:val="ListParagraph"/>
        <w:numPr>
          <w:ilvl w:val="0"/>
          <w:numId w:val="4"/>
        </w:numPr>
      </w:pPr>
      <w:hyperlink r:id="rId34" w:history="1">
        <w:r>
          <w:rPr>
            <w:rStyle w:val="Hyperlink"/>
          </w:rPr>
          <w:t xml:space="preserve">Bekaert and Hoerova (2014)</w:t>
        </w:r>
      </w:hyperlink>
      <w:r>
        <w:t xml:space="preserve">, The VIX, the Variance Premium and Stock Market Volatility, J. Econometrics</w:t>
      </w:r>
    </w:p>
    <w:p>
      <w:pPr>
        <w:pStyle w:val="ListParagraph"/>
        <w:numPr>
          <w:ilvl w:val="0"/>
          <w:numId w:val="4"/>
        </w:numPr>
      </w:pPr>
      <w:hyperlink r:id="rId33" w:history="1">
        <w:r>
          <w:rPr>
            <w:rStyle w:val="Hyperlink"/>
          </w:rPr>
          <w:t xml:space="preserve">Bollerslev, Tauchen and Zhou (2009)</w:t>
        </w:r>
      </w:hyperlink>
      <w:r>
        <w:t xml:space="preserve">, Expected Stock Returns and Variance Risk Premia, RFS</w:t>
      </w:r>
    </w:p>
    <w:p>
      <w:pPr>
        <w:pStyle w:val="ListParagraph"/>
        <w:numPr>
          <w:ilvl w:val="0"/>
          <w:numId w:val="4"/>
        </w:numPr>
      </w:pPr>
      <w:hyperlink r:id="rId35" w:history="1">
        <w:r>
          <w:rPr>
            <w:rStyle w:val="Hyperlink"/>
          </w:rPr>
          <w:t xml:space="preserve">Bollerslev, Todorov and Xu (2015)</w:t>
        </w:r>
      </w:hyperlink>
      <w:r>
        <w:t xml:space="preserve">, Tail Risk Premia and Return Predictability, JFE</w:t>
      </w:r>
    </w:p>
    <w:p>
      <w:pPr>
        <w:pStyle w:val="ListParagraph"/>
        <w:numPr>
          <w:ilvl w:val="0"/>
          <w:numId w:val="4"/>
        </w:numPr>
      </w:pPr>
      <w:hyperlink r:id="rId25" w:history="1">
        <w:r>
          <w:rPr>
            <w:rStyle w:val="Hyperlink"/>
          </w:rPr>
          <w:t xml:space="preserve">Borovička, Hansen and Scheinkman (2016)</w:t>
        </w:r>
      </w:hyperlink>
      <w:r>
        <w:t xml:space="preserve">, Misspecified Recovery, JF</w:t>
      </w:r>
    </w:p>
    <w:p>
      <w:pPr>
        <w:pStyle w:val="ListParagraph"/>
        <w:numPr>
          <w:ilvl w:val="0"/>
          <w:numId w:val="4"/>
        </w:numPr>
      </w:pPr>
      <w:hyperlink r:id="rId20" w:history="1">
        <w:r>
          <w:rPr>
            <w:rStyle w:val="Hyperlink"/>
          </w:rPr>
          <w:t xml:space="preserve">Chang, Christoffersen and Jacobs (2013)</w:t>
        </w:r>
      </w:hyperlink>
      <w:r>
        <w:t xml:space="preserve">, Market Skewness Risk and the Cross Section of Stock Returns, JFE</w:t>
      </w:r>
    </w:p>
    <w:p>
      <w:pPr>
        <w:pStyle w:val="ListParagraph"/>
        <w:numPr>
          <w:ilvl w:val="0"/>
          <w:numId w:val="4"/>
        </w:numPr>
      </w:pPr>
      <w:hyperlink r:id="rId38" w:history="1">
        <w:r>
          <w:rPr>
            <w:rStyle w:val="Hyperlink"/>
          </w:rPr>
          <w:t xml:space="preserve">Chen, Joslin and Ni (2019)</w:t>
        </w:r>
      </w:hyperlink>
      <w:r>
        <w:t xml:space="preserve">, Demand for Crash Insurance, Intermediary Constraints, and Risk Premia, RFS</w:t>
      </w:r>
    </w:p>
    <w:p>
      <w:pPr>
        <w:pStyle w:val="ListParagraph"/>
        <w:numPr>
          <w:ilvl w:val="0"/>
          <w:numId w:val="4"/>
        </w:numPr>
      </w:pPr>
      <w:hyperlink r:id="rId7" w:history="1">
        <w:r>
          <w:rPr>
            <w:rStyle w:val="Hyperlink"/>
          </w:rPr>
          <w:t xml:space="preserve">Chordia, Kurov, Muravyev and Subrahmanyam (2021)</w:t>
        </w:r>
      </w:hyperlink>
      <w:r>
        <w:t xml:space="preserve">, Index Option Trading Activity and Market Returns, MS</w:t>
      </w:r>
    </w:p>
    <w:p>
      <w:pPr>
        <w:pStyle w:val="ListParagraph"/>
        <w:numPr>
          <w:ilvl w:val="0"/>
          <w:numId w:val="4"/>
        </w:numPr>
      </w:pPr>
      <w:hyperlink r:id="rId32" w:history="1">
        <w:r>
          <w:rPr>
            <w:rStyle w:val="Hyperlink"/>
          </w:rPr>
          <w:t xml:space="preserve">Christensen and Prabhala (1998)</w:t>
        </w:r>
      </w:hyperlink>
      <w:r>
        <w:t xml:space="preserve">, The Relation Between Implied and Realized Volatility, JFE</w:t>
      </w:r>
    </w:p>
    <w:p>
      <w:pPr>
        <w:pStyle w:val="ListParagraph"/>
        <w:numPr>
          <w:ilvl w:val="0"/>
          <w:numId w:val="4"/>
        </w:numPr>
      </w:pPr>
      <w:hyperlink r:id="rId17" w:history="1">
        <w:r>
          <w:rPr>
            <w:rStyle w:val="Hyperlink"/>
          </w:rPr>
          <w:t xml:space="preserve">Conrad, Dittmar and Ghysels (2013)</w:t>
        </w:r>
      </w:hyperlink>
      <w:r>
        <w:t xml:space="preserve">, Ex Ante Skewness and Expected Stock Returns, JF</w:t>
      </w:r>
    </w:p>
    <w:p>
      <w:pPr>
        <w:pStyle w:val="ListParagraph"/>
        <w:numPr>
          <w:ilvl w:val="0"/>
          <w:numId w:val="4"/>
        </w:numPr>
      </w:pPr>
      <w:hyperlink r:id="rId10" w:history="1">
        <w:r>
          <w:rPr>
            <w:rStyle w:val="Hyperlink"/>
          </w:rPr>
          <w:t xml:space="preserve">Cremers and Weinbaum (2010)</w:t>
        </w:r>
      </w:hyperlink>
      <w:r>
        <w:t xml:space="preserve">, Deviations from Put Call Parity and Stock Return Predictability, JFQA</w:t>
      </w:r>
    </w:p>
    <w:p>
      <w:pPr>
        <w:pStyle w:val="ListParagraph"/>
        <w:numPr>
          <w:ilvl w:val="0"/>
          <w:numId w:val="4"/>
        </w:numPr>
      </w:pPr>
      <w:hyperlink r:id="rId31" w:history="1">
        <w:r>
          <w:rPr>
            <w:rStyle w:val="Hyperlink"/>
          </w:rPr>
          <w:t xml:space="preserve">Dim, Eraker and Vilkov (WP)</w:t>
        </w:r>
      </w:hyperlink>
      <w:r>
        <w:t xml:space="preserve">, 0DTEs: Trading, Gamma Risk and Volatility Propagation</w:t>
      </w:r>
    </w:p>
    <w:p>
      <w:pPr>
        <w:pStyle w:val="ListParagraph"/>
        <w:numPr>
          <w:ilvl w:val="0"/>
          <w:numId w:val="4"/>
        </w:numPr>
      </w:pPr>
      <w:hyperlink r:id="rId9" w:history="1">
        <w:r>
          <w:rPr>
            <w:rStyle w:val="Hyperlink"/>
          </w:rPr>
          <w:t xml:space="preserve">Easley, O'Hara and Srinivas (1998)</w:t>
        </w:r>
      </w:hyperlink>
      <w:r>
        <w:t xml:space="preserve">, Option Volume and Stock Prices, JF</w:t>
      </w:r>
    </w:p>
    <w:p>
      <w:pPr>
        <w:pStyle w:val="ListParagraph"/>
        <w:numPr>
          <w:ilvl w:val="0"/>
          <w:numId w:val="4"/>
        </w:numPr>
      </w:pPr>
      <w:hyperlink r:id="rId39" w:history="1">
        <w:r>
          <w:rPr>
            <w:rStyle w:val="Hyperlink"/>
          </w:rPr>
          <w:t xml:space="preserve">Garleanu, Pedersen and Poteshman (2009)</w:t>
        </w:r>
      </w:hyperlink>
      <w:r>
        <w:t xml:space="preserve">, Demand Based Option Pricing, RFS</w:t>
      </w:r>
    </w:p>
    <w:p>
      <w:pPr>
        <w:pStyle w:val="ListParagraph"/>
        <w:numPr>
          <w:ilvl w:val="0"/>
          <w:numId w:val="4"/>
        </w:numPr>
      </w:pPr>
      <w:hyperlink r:id="rId5" w:history="1">
        <w:r>
          <w:rPr>
            <w:rStyle w:val="Hyperlink"/>
          </w:rPr>
          <w:t xml:space="preserve">Ge, Lin and Pearson (2016)</w:t>
        </w:r>
      </w:hyperlink>
      <w:r>
        <w:t xml:space="preserve">, Why Does the Option to Stock Volume Ratio Predict Stock Returns? JFE</w:t>
      </w:r>
    </w:p>
    <w:p>
      <w:pPr>
        <w:pStyle w:val="ListParagraph"/>
        <w:numPr>
          <w:ilvl w:val="0"/>
          <w:numId w:val="4"/>
        </w:numPr>
      </w:pPr>
      <w:hyperlink r:id="rId27" w:history="1">
        <w:r>
          <w:rPr>
            <w:rStyle w:val="Hyperlink"/>
          </w:rPr>
          <w:t xml:space="preserve">Golez and Jackwerth (2012)</w:t>
        </w:r>
      </w:hyperlink>
      <w:r>
        <w:t xml:space="preserve">, Pinning in the S&amp;P 500 Futures, JFE</w:t>
      </w:r>
    </w:p>
    <w:p>
      <w:pPr>
        <w:pStyle w:val="ListParagraph"/>
        <w:numPr>
          <w:ilvl w:val="0"/>
          <w:numId w:val="4"/>
        </w:numPr>
      </w:pPr>
      <w:hyperlink r:id="rId14" w:history="1">
        <w:r>
          <w:rPr>
            <w:rStyle w:val="Hyperlink"/>
          </w:rPr>
          <w:t xml:space="preserve">Goyal and Saretto (2009)</w:t>
        </w:r>
      </w:hyperlink>
      <w:r>
        <w:t xml:space="preserve">, Cross Section of Option Returns and Volatility, JFE</w:t>
      </w:r>
    </w:p>
    <w:p>
      <w:pPr>
        <w:pStyle w:val="ListParagraph"/>
        <w:numPr>
          <w:ilvl w:val="0"/>
          <w:numId w:val="4"/>
        </w:numPr>
      </w:pPr>
      <w:hyperlink r:id="rId6" w:history="1">
        <w:r>
          <w:rPr>
            <w:rStyle w:val="Hyperlink"/>
          </w:rPr>
          <w:t xml:space="preserve">Hu (2014)</w:t>
        </w:r>
      </w:hyperlink>
      <w:r>
        <w:t xml:space="preserve">, Does Option Trading Convey Stock Price Information? JFE</w:t>
      </w:r>
    </w:p>
    <w:p>
      <w:pPr>
        <w:pStyle w:val="ListParagraph"/>
        <w:numPr>
          <w:ilvl w:val="0"/>
          <w:numId w:val="4"/>
        </w:numPr>
      </w:pPr>
      <w:hyperlink r:id="rId4" w:history="1">
        <w:r>
          <w:rPr>
            <w:rStyle w:val="Hyperlink"/>
          </w:rPr>
          <w:t xml:space="preserve">Johnson and So (2012)</w:t>
        </w:r>
      </w:hyperlink>
      <w:r>
        <w:t xml:space="preserve">, The Option to Stock Volume Ratio and Future Returns, JFE</w:t>
      </w:r>
    </w:p>
    <w:p>
      <w:pPr>
        <w:pStyle w:val="ListParagraph"/>
        <w:numPr>
          <w:ilvl w:val="0"/>
          <w:numId w:val="4"/>
        </w:numPr>
      </w:pPr>
      <w:hyperlink r:id="rId24" w:history="1">
        <w:r>
          <w:rPr>
            <w:rStyle w:val="Hyperlink"/>
          </w:rPr>
          <w:t xml:space="preserve">Kadan and Tang (2020)</w:t>
        </w:r>
      </w:hyperlink>
      <w:r>
        <w:t xml:space="preserve">, A Bound on Expected Stock Returns, RFS</w:t>
      </w:r>
    </w:p>
    <w:p>
      <w:pPr>
        <w:pStyle w:val="ListParagraph"/>
        <w:numPr>
          <w:ilvl w:val="0"/>
          <w:numId w:val="4"/>
        </w:numPr>
      </w:pPr>
      <w:hyperlink r:id="rId21" w:history="1">
        <w:r>
          <w:rPr>
            <w:rStyle w:val="Hyperlink"/>
          </w:rPr>
          <w:t xml:space="preserve">Kozhan, Neuberger and Schneider (2013)</w:t>
        </w:r>
      </w:hyperlink>
      <w:r>
        <w:t xml:space="preserve">, The Skew Risk Premium in the Equity Index Market, RFS</w:t>
      </w:r>
    </w:p>
    <w:p>
      <w:pPr>
        <w:pStyle w:val="ListParagraph"/>
        <w:numPr>
          <w:ilvl w:val="0"/>
          <w:numId w:val="4"/>
        </w:numPr>
      </w:pPr>
      <w:hyperlink r:id="rId22" w:history="1">
        <w:r>
          <w:rPr>
            <w:rStyle w:val="Hyperlink"/>
          </w:rPr>
          <w:t xml:space="preserve">Martin (2017)</w:t>
        </w:r>
      </w:hyperlink>
      <w:r>
        <w:t xml:space="preserve">, What Is the Expected Return on the Market? QJE</w:t>
      </w:r>
    </w:p>
    <w:p>
      <w:pPr>
        <w:pStyle w:val="ListParagraph"/>
        <w:numPr>
          <w:ilvl w:val="0"/>
          <w:numId w:val="4"/>
        </w:numPr>
      </w:pPr>
      <w:hyperlink r:id="rId23" w:history="1">
        <w:r>
          <w:rPr>
            <w:rStyle w:val="Hyperlink"/>
          </w:rPr>
          <w:t xml:space="preserve">Martin and Wagner (2019)</w:t>
        </w:r>
      </w:hyperlink>
      <w:r>
        <w:t xml:space="preserve">, What Is the Expected Return on a Stock? JF</w:t>
      </w:r>
    </w:p>
    <w:p>
      <w:pPr>
        <w:pStyle w:val="ListParagraph"/>
        <w:numPr>
          <w:ilvl w:val="0"/>
          <w:numId w:val="4"/>
        </w:numPr>
      </w:pPr>
      <w:hyperlink r:id="rId40" w:history="1">
        <w:r>
          <w:rPr>
            <w:rStyle w:val="Hyperlink"/>
          </w:rPr>
          <w:t xml:space="preserve">McLean and Pontiff (2016)</w:t>
        </w:r>
      </w:hyperlink>
      <w:r>
        <w:t xml:space="preserve">, Does Academic Research Destroy Stock Return Predictability? JF</w:t>
      </w:r>
    </w:p>
    <w:p>
      <w:pPr>
        <w:pStyle w:val="ListParagraph"/>
        <w:numPr>
          <w:ilvl w:val="0"/>
          <w:numId w:val="4"/>
        </w:numPr>
      </w:pPr>
      <w:hyperlink r:id="rId15" w:history="1">
        <w:r>
          <w:rPr>
            <w:rStyle w:val="Hyperlink"/>
          </w:rPr>
          <w:t xml:space="preserve">Muravyev, Pearson and Pollet (2025)</w:t>
        </w:r>
      </w:hyperlink>
      <w:r>
        <w:t xml:space="preserve">, Why Does Options Market Information Predict Stock Returns? JFE</w:t>
      </w:r>
    </w:p>
    <w:p>
      <w:pPr>
        <w:pStyle w:val="ListParagraph"/>
        <w:numPr>
          <w:ilvl w:val="0"/>
          <w:numId w:val="4"/>
        </w:numPr>
      </w:pPr>
      <w:hyperlink r:id="rId41" w:history="1">
        <w:r>
          <w:rPr>
            <w:rStyle w:val="Hyperlink"/>
          </w:rPr>
          <w:t xml:space="preserve">Neuhierl, Tang, Varneskov and Zhou (2024)</w:t>
        </w:r>
      </w:hyperlink>
      <w:r>
        <w:t xml:space="preserve">, Do Option Characteristics Predict the Underlying Stock Returns in the Cross Section? MS</w:t>
      </w:r>
    </w:p>
    <w:p>
      <w:pPr>
        <w:pStyle w:val="ListParagraph"/>
        <w:numPr>
          <w:ilvl w:val="0"/>
          <w:numId w:val="4"/>
        </w:numPr>
      </w:pPr>
      <w:hyperlink r:id="rId26" w:history="1">
        <w:r>
          <w:rPr>
            <w:rStyle w:val="Hyperlink"/>
          </w:rPr>
          <w:t xml:space="preserve">Ni, Pearson and Poteshman (2005)</w:t>
        </w:r>
      </w:hyperlink>
      <w:r>
        <w:t xml:space="preserve">, Stock Price Clustering on Option Expiration Dates, JFE</w:t>
      </w:r>
    </w:p>
    <w:p>
      <w:pPr>
        <w:pStyle w:val="ListParagraph"/>
        <w:numPr>
          <w:ilvl w:val="0"/>
          <w:numId w:val="4"/>
        </w:numPr>
      </w:pPr>
      <w:hyperlink r:id="rId28" w:history="1">
        <w:r>
          <w:rPr>
            <w:rStyle w:val="Hyperlink"/>
          </w:rPr>
          <w:t xml:space="preserve">Ni, Pearson, Poteshman and White (2021)</w:t>
        </w:r>
      </w:hyperlink>
      <w:r>
        <w:t xml:space="preserve">, Does Option Trading Have a Pervasive Impact on Underlying Stock Prices? RFS</w:t>
      </w:r>
    </w:p>
    <w:p>
      <w:pPr>
        <w:pStyle w:val="ListParagraph"/>
        <w:numPr>
          <w:ilvl w:val="0"/>
          <w:numId w:val="4"/>
        </w:numPr>
      </w:pPr>
      <w:hyperlink r:id="rId3" w:history="1">
        <w:r>
          <w:rPr>
            <w:rStyle w:val="Hyperlink"/>
          </w:rPr>
          <w:t xml:space="preserve">Pan and Poteshman (2006)</w:t>
        </w:r>
      </w:hyperlink>
      <w:r>
        <w:t xml:space="preserve">, The Information in Option Volume for Future Stock Prices, RFS</w:t>
      </w:r>
    </w:p>
    <w:p>
      <w:pPr>
        <w:pStyle w:val="ListParagraph"/>
        <w:numPr>
          <w:ilvl w:val="0"/>
          <w:numId w:val="4"/>
        </w:numPr>
      </w:pPr>
      <w:hyperlink r:id="rId18" w:history="1">
        <w:r>
          <w:rPr>
            <w:rStyle w:val="Hyperlink"/>
          </w:rPr>
          <w:t xml:space="preserve">Stilger, Kostakis and Poon (2017)</w:t>
        </w:r>
      </w:hyperlink>
      <w:r>
        <w:t xml:space="preserve">, What Does Risk Neutral Skewness Tell Us About Future Stock Returns? MS</w:t>
      </w:r>
    </w:p>
    <w:p>
      <w:pPr>
        <w:pStyle w:val="ListParagraph"/>
        <w:numPr>
          <w:ilvl w:val="0"/>
          <w:numId w:val="4"/>
        </w:numPr>
      </w:pPr>
      <w:hyperlink r:id="rId11" w:history="1">
        <w:r>
          <w:rPr>
            <w:rStyle w:val="Hyperlink"/>
          </w:rPr>
          <w:t xml:space="preserve">Xing, Zhang and Zhao (2010)</w:t>
        </w:r>
      </w:hyperlink>
      <w:r>
        <w:t xml:space="preserve">, What Does the Individual Option Volatility Smirk Tell Us About Future Equity Returns? JFQA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ideas.repec.org/a/oup/rfinst/v19y2006i3p871-908.html" TargetMode="External"/><Relationship Id="rId4" Type="http://schemas.openxmlformats.org/officeDocument/2006/relationships/hyperlink" Target="https://papers.ssrn.com/sol3/papers.cfm?abstract_id=1624062" TargetMode="External"/><Relationship Id="rId5" Type="http://schemas.openxmlformats.org/officeDocument/2006/relationships/hyperlink" Target="https://papers.ssrn.com/sol3/papers.cfm?abstract_id=2329714" TargetMode="External"/><Relationship Id="rId6" Type="http://schemas.openxmlformats.org/officeDocument/2006/relationships/hyperlink" Target="https://ideas.repec.org/a/eee/jfinec/v111y2014i3p625-645.html" TargetMode="External"/><Relationship Id="rId7" Type="http://schemas.openxmlformats.org/officeDocument/2006/relationships/hyperlink" Target="https://papers.ssrn.com/sol3/papers.cfm?abstract_id=2798390" TargetMode="External"/><Relationship Id="rId8" Type="http://schemas.openxmlformats.org/officeDocument/2006/relationships/hyperlink" Target="https://www.annualreviews.org/doi/10.1146/annurev-financial-012820-033052" TargetMode="External"/><Relationship Id="rId9" Type="http://schemas.openxmlformats.org/officeDocument/2006/relationships/hyperlink" Target="https://onlinelibrary.wiley.com/doi/abs/10.1111/0022-1082.194060" TargetMode="External"/><Relationship Id="rId10" Type="http://schemas.openxmlformats.org/officeDocument/2006/relationships/hyperlink" Target="https://papers.ssrn.com/sol3/papers.cfm?abstract_id=968237" TargetMode="External"/><Relationship Id="rId11" Type="http://schemas.openxmlformats.org/officeDocument/2006/relationships/hyperlink" Target="https://www.cambridge.org/core/journals/journal-of-financial-and-quantitative-analysis/article/abs/what-does-the-individual-option-volatility-smirk-tell-us-about-future-equity-returns/ECFD16BA9ACBDC8D577D1BD866FBEA72" TargetMode="External"/><Relationship Id="rId12" Type="http://schemas.openxmlformats.org/officeDocument/2006/relationships/hyperlink" Target="https://econpapers.repec.org/RePEc:inm:ormnsc:v:55:y:2009:i:11:p:1797-1812" TargetMode="External"/><Relationship Id="rId13" Type="http://schemas.openxmlformats.org/officeDocument/2006/relationships/hyperlink" Target="https://ideas.repec.org/a/bla/jfinan/v69y2014i5p2279-2337.html" TargetMode="External"/><Relationship Id="rId14" Type="http://schemas.openxmlformats.org/officeDocument/2006/relationships/hyperlink" Target="https://www.sciencedirect.com/science/article/abs/pii/S0304405X09001251" TargetMode="External"/><Relationship Id="rId15" Type="http://schemas.openxmlformats.org/officeDocument/2006/relationships/hyperlink" Target="https://ideas.repec.org/a/eee/jfinec/v172y2025ics0304405x25001618.html" TargetMode="External"/><Relationship Id="rId16" Type="http://schemas.openxmlformats.org/officeDocument/2006/relationships/hyperlink" Target="https://ideas.repec.org/a/oup/rfinst/v16y2003i1p101-143.html" TargetMode="External"/><Relationship Id="rId17" Type="http://schemas.openxmlformats.org/officeDocument/2006/relationships/hyperlink" Target="https://papers.ssrn.com/sol3/papers.cfm?abstract_id=1522218" TargetMode="External"/><Relationship Id="rId18" Type="http://schemas.openxmlformats.org/officeDocument/2006/relationships/hyperlink" Target="https://ideas.repec.org/a/inm/ormnsc/v63y2017i6p1814-1834.html" TargetMode="External"/><Relationship Id="rId19" Type="http://schemas.openxmlformats.org/officeDocument/2006/relationships/hyperlink" Target="https://papers.ssrn.com/sol3/papers.cfm?abstract_id=2322945" TargetMode="External"/><Relationship Id="rId20" Type="http://schemas.openxmlformats.org/officeDocument/2006/relationships/hyperlink" Target="https://ideas.repec.org/p/ecl/upafin/11-18.html" TargetMode="External"/><Relationship Id="rId21" Type="http://schemas.openxmlformats.org/officeDocument/2006/relationships/hyperlink" Target="https://openaccess.city.ac.uk/15209/" TargetMode="External"/><Relationship Id="rId22" Type="http://schemas.openxmlformats.org/officeDocument/2006/relationships/hyperlink" Target="https://ideas.repec.org/a/oup/qjecon/v132y2017i1p367-433..html" TargetMode="External"/><Relationship Id="rId23" Type="http://schemas.openxmlformats.org/officeDocument/2006/relationships/hyperlink" Target="https://ideas.repec.org/p/ehl/lserod/118957.html" TargetMode="External"/><Relationship Id="rId24" Type="http://schemas.openxmlformats.org/officeDocument/2006/relationships/hyperlink" Target="https://academic.oup.com/rfs/article-abstract/33/4/1565/5530607" TargetMode="External"/><Relationship Id="rId25" Type="http://schemas.openxmlformats.org/officeDocument/2006/relationships/hyperlink" Target="https://ideas.repec.org/p/nbr/nberwo/20209.html" TargetMode="External"/><Relationship Id="rId26" Type="http://schemas.openxmlformats.org/officeDocument/2006/relationships/hyperlink" Target="https://www.sciencedirect.com/science/article/abs/pii/S0304405X05000577" TargetMode="External"/><Relationship Id="rId27" Type="http://schemas.openxmlformats.org/officeDocument/2006/relationships/hyperlink" Target="https://ideas.repec.org/a/eee/jfinec/v106y2012i3p566-585.html" TargetMode="External"/><Relationship Id="rId28" Type="http://schemas.openxmlformats.org/officeDocument/2006/relationships/hyperlink" Target="https://econpapers.repec.org/article/ouprfinst/v_3a34_3ay_3a2021_3ai_3a4_3ap_3a1952-1986..htm" TargetMode="External"/><Relationship Id="rId29" Type="http://schemas.openxmlformats.org/officeDocument/2006/relationships/hyperlink" Target="https://academicweb.nd.edu/~zda/intramom.pdf" TargetMode="External"/><Relationship Id="rId30" Type="http://schemas.openxmlformats.org/officeDocument/2006/relationships/hyperlink" Target="https://papers.ssrn.com/sol3/papers.cfm?abstract_id=3725454" TargetMode="External"/><Relationship Id="rId31" Type="http://schemas.openxmlformats.org/officeDocument/2006/relationships/hyperlink" Target="https://papers.ssrn.com/sol3/papers.cfm?abstract_id=4692190" TargetMode="External"/><Relationship Id="rId32" Type="http://schemas.openxmlformats.org/officeDocument/2006/relationships/hyperlink" Target="https://www.sciencedirect.com/science/article/pii/S0304405X98000348" TargetMode="External"/><Relationship Id="rId33" Type="http://schemas.openxmlformats.org/officeDocument/2006/relationships/hyperlink" Target="https://econpapers.repec.org/article/ouprfinst/v_3a22_3ay_3a2009_3ai_3a11_3ap_3a4463-4492.htm" TargetMode="External"/><Relationship Id="rId34" Type="http://schemas.openxmlformats.org/officeDocument/2006/relationships/hyperlink" Target="https://econpapers.repec.org/repec:eee:econom:v:183:y:2014:i:2:p:181-192" TargetMode="External"/><Relationship Id="rId35" Type="http://schemas.openxmlformats.org/officeDocument/2006/relationships/hyperlink" Target="https://econpapers.repec.org/RePEc:eee:jfinec:v:118:y:2015:i:1:p:113-134" TargetMode="External"/><Relationship Id="rId36" Type="http://schemas.openxmlformats.org/officeDocument/2006/relationships/hyperlink" Target="https://ideas.repec.org/a/eee/jfinec/v117y2015i3p558-584.html" TargetMode="External"/><Relationship Id="rId37" Type="http://schemas.openxmlformats.org/officeDocument/2006/relationships/hyperlink" Target="https://www.icpsr.umich.edu/web/ICPSR/studies/1187" TargetMode="External"/><Relationship Id="rId38" Type="http://schemas.openxmlformats.org/officeDocument/2006/relationships/hyperlink" Target="https://www.nber.org/papers/w25573" TargetMode="External"/><Relationship Id="rId39" Type="http://schemas.openxmlformats.org/officeDocument/2006/relationships/hyperlink" Target="https://www.nber.org/papers/w11843" TargetMode="External"/><Relationship Id="rId40" Type="http://schemas.openxmlformats.org/officeDocument/2006/relationships/hyperlink" Target="https://scixindex.com/external-research-anthology/r-david-mclean-jeffrey-pontiff-2016/does-academic-research-destroy-stock-return-predictability/" TargetMode="External"/><Relationship Id="rId41" Type="http://schemas.openxmlformats.org/officeDocument/2006/relationships/hyperlink" Target="https://papers.ssrn.com/sol3/papers.cfm?abstract_id=3795486" TargetMode="External"/><Relationship Id="rId42" Type="http://schemas.openxmlformats.org/officeDocument/2006/relationships/hyperlink" Target="https://ideas.repec.org/a/oup/rfinst/v36y2023i9p3548-3602..htm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Predictive Signals in Options Data</dc:title>
  <dc:description>Claude Docs node/956491fb-4c60@17 docx-w6</dc:description>
  <cp:revision>17</cp:revision>
</cp:coreProperties>
</file>