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B40000"/>
          <w:sz w:val="20"/>
        </w:rPr>
        <w:t>MANUAL CONCEITUAL E METODOLOGIA EXECUTIVA</w:t>
        <w:br/>
      </w:r>
      <w:r>
        <w:rPr>
          <w:rFonts w:ascii="Arial" w:hAnsi="Arial"/>
          <w:b/>
          <w:color w:val="1A1A1A"/>
          <w:sz w:val="44"/>
        </w:rPr>
        <w:t>Open Order Control: Métricas, Indicadores e Tomada de Decisão</w:t>
      </w:r>
    </w:p>
    <w:p>
      <w:pPr>
        <w:spacing w:after="320"/>
      </w:pPr>
      <w:r>
        <w:rPr>
          <w:color w:val="666666"/>
          <w:sz w:val="18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Arial" w:hAnsi="Arial"/>
          <w:b/>
          <w:color w:val="1A1A1A"/>
          <w:sz w:val="28"/>
        </w:rPr>
        <w:t>1. Visão Geral e Concepção do Sistema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O Open Order Control é uma ferramenta web de inteligência logística e suprimentos projetada para o acompanhamento rigoroso de pedidos em aberto (open orders). O objetivo central do sistema é automatizar a comparação semanal de planilhas de pedidos enviadas por fornecedores ou ERPs, rastreando desvios nas previsões de entrega, quantificando alterações e fornecendo uma base sólida para a tomada de decisão executiva.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Em ambientes industriais e de cadeia de suprimentos, a oscilação constante nas datas de entrega compromete o planejamento de produção e o atendimento ao cliente. O sistema resolve essa dor ao consolidar o histórico de cada item com base em uma chave estável composta por Endereço (Ship To), Código do Item e Ordem de Compra do Cliente (Customer PO).</w:t>
      </w:r>
    </w:p>
    <w:p>
      <w:pPr>
        <w:keepNext/>
        <w:spacing w:before="360" w:after="120"/>
      </w:pPr>
      <w:r>
        <w:rPr>
          <w:rFonts w:ascii="Arial" w:hAnsi="Arial"/>
          <w:b/>
          <w:color w:val="1A1A1A"/>
          <w:sz w:val="28"/>
        </w:rPr>
        <w:t>2. O Ciclo Semanal e a Lógica de Comparação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O fluxo operacional baseia-se no upload semanal de planilhas nos formatos Excel (.xlsx ou .xls). A cada nova importação, o sistema processa milhares de linhas em segundos, realizando um cruzamento inteligente com o histórico acumulado.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Para cada linha da nova planilha, o sistema localiza o item correspondente e compara a data de previsão informada (coluna 'Previsão') com a última previsão registrada no banco de dados. Caso haja divergência na data, a ocorrência é gravada na tabela de histórico, o contador de alterações do item é incrementado e a nova data passa a ser o padrão vigente.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B40000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i/>
                <w:color w:val="1A1A1A"/>
                <w:sz w:val="19"/>
              </w:rPr>
              <w:t>Regra de Ouro do Histórico: O sistema diferencia rigorosamente o comportamento do ciclo mais recente (quantos itens mudaram no último upload) do acumulado histórico (quantas vezes o item sofreu alterações ao longo de toda a sua vida útil).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A1A1A"/>
          <w:sz w:val="28"/>
        </w:rPr>
        <w:t>3. Dicionário de Indicadores e Fórmulas de Cálculo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Para apoiar a diretoria e os gestores de suprimentos, o painel gerencial consolida os dados em métricas acionáveis. Abaixo estão detalhadas as fórmulas matemáticas e lógicas que alimentam os cartões e gráficos do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1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Métrica Executiva</w:t>
            </w:r>
          </w:p>
        </w:tc>
        <w:tc>
          <w:tcPr>
            <w:tcW w:type="dxa" w:w="3120"/>
            <w:shd w:fill="1A1A1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Fórmula / Lógica de Cálculo</w:t>
            </w:r>
          </w:p>
        </w:tc>
        <w:tc>
          <w:tcPr>
            <w:tcW w:type="dxa" w:w="3120"/>
            <w:shd w:fill="1A1A1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Interpretação para Decisão</w:t>
            </w:r>
          </w:p>
        </w:tc>
      </w:tr>
      <w:tr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Estabilidade do Último Ciclo</w:t>
            </w:r>
          </w:p>
        </w:tc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max(0, 100 - (Itens Alterados no Último Upload / Total de Itens Ativos) × 100)</w:t>
            </w:r>
          </w:p>
        </w:tc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Mede o percentual da carteira que manteve os prazos inalterados na virada de semana mais recente.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Índice de Risco Executivo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min(100, (Taxa Alteração × 0.35) + (Taxa Vencidos × 0.25) + (Taxa Sem Fornecedor × 0.20) + (Taxa Prioridade Alta × 0.10) + (Taxa Financeira Sob Risco × 0.10))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Nota de 0 a 100 que pondera a pressão operacional da carteira ou filial selecionada.</w:t>
            </w:r>
          </w:p>
        </w:tc>
      </w:tr>
      <w:tr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Valor Sob Risco Acumulado</w:t>
            </w:r>
          </w:p>
        </w:tc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Somatório do Preço Estendido (Extended Price) de todos os itens que possuem 1 ou mais alterações registradas.</w:t>
            </w:r>
          </w:p>
        </w:tc>
        <w:tc>
          <w:tcPr>
            <w:tcW w:type="dxa" w:w="312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Volume financeiro alocado em pedidos que já sofreram instabilidade de cronograma.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Taxa de Risco da Carteira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(Itens com Alterações Acumuladas / Total de Itens Ativos) × 100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18"/>
              </w:rPr>
              <w:t>Percentual histórico de itens que apresentaram pelo menos uma oscilação de prazo desde o primeiro upload.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A1A1A"/>
          <w:sz w:val="28"/>
        </w:rPr>
        <w:t>4. O Índice de Risco Executivo: Detalhadamente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O Índice de Risco Executivo é o coração do centro de comando do sistema. Ele resume a saúde da carteira em um único número ponderado, permitindo que o gestor saiba imediatamente se a operação está controlada ou sob forte estresse.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A composição do índice reflete cinco pilares logísticos com pesos calibrados para a realidade industrial: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• Alterações Recentes (Peso 35%): Avalia a volatilidade imediata no último upload semanal.</w:t>
        <w:br/>
        <w:t>• Previsões Vencidas (Peso 25%): Mede o volume de itens cuja data de entrega já passou e ainda não foram faturados.</w:t>
        <w:br/>
        <w:t>• Itens Sem Fornecedor (Peso 20%): Identifica gargalos críticos onde o abastecimento está desamparado.</w:t>
        <w:br/>
        <w:t>• Prioridade Alta (Peso 10%): Pondera pedidos marcados como críticos pelo cliente ou pela operação.</w:t>
        <w:br/>
        <w:t>• Exposição Financeira (Peso 10%): Considera a proporção do valor financeiro afetado em relação ao total da carteira.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As faixas de classificação do índice orientam a postura gerencial: Abaixo de 25 pontos = Controlado (rotina de acompanhamento); Entre 25 e 49.9 pontos = Atenção (cobrança de fornecedores e revisão de prazos); 50 pontos ou mais = Crítico (reunião de alinhamento com diretoria e planos de contingência).</w:t>
      </w:r>
    </w:p>
    <w:p>
      <w:pPr>
        <w:keepNext/>
        <w:spacing w:before="360" w:after="120"/>
      </w:pPr>
      <w:r>
        <w:rPr>
          <w:rFonts w:ascii="Arial" w:hAnsi="Arial"/>
          <w:b/>
          <w:color w:val="1A1A1A"/>
          <w:sz w:val="28"/>
        </w:rPr>
        <w:t>5. Alertas, Tendências e Consolidação por Filial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O sistema conta com um motor de alertas configurável pelo usuário. Definindo um limiar de dias (por exemplo, 7 dias), o sistema categoriza automaticamente as variações de prazo em duas severidades: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1. Alerta de Atenção: Variações moderadas de prazo que exigem monitoramento preventivo.</w:t>
        <w:br/>
        <w:t>2. Alerta Crítico: Adiamentos severos que ultrapassam o limiar configurado, impactando diretamente o compromisso com o cliente.</w:t>
      </w:r>
    </w:p>
    <w:p>
      <w:pPr>
        <w:spacing w:after="120" w:line="276" w:lineRule="auto"/>
      </w:pPr>
      <w:r>
        <w:rPr>
          <w:rFonts w:ascii="Arial" w:hAnsi="Arial"/>
          <w:color w:val="333333"/>
          <w:sz w:val="20"/>
        </w:rPr>
        <w:t>Além disso, a consolidação por filial (Ship To) permite que empresas com múltiplas unidades ou centros de distribuição filtresm os dados para analisar a pressão específica de cada filial, garantindo que problemas locais não fiquem mascarados pela média geral da corporação.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