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40C" w:rsidRDefault="003D78DE" w:rsidP="003D78DE">
      <w:pPr>
        <w:jc w:val="center"/>
      </w:pPr>
      <w:r>
        <w:rPr>
          <w:rFonts w:hint="eastAsia"/>
        </w:rPr>
        <w:t>养老</w:t>
      </w:r>
      <w:r>
        <w:t>院</w:t>
      </w:r>
      <w:r>
        <w:rPr>
          <w:rFonts w:hint="eastAsia"/>
        </w:rPr>
        <w:t>纠纷庭</w:t>
      </w:r>
      <w:r>
        <w:t>审理由</w:t>
      </w:r>
      <w:r>
        <w:rPr>
          <w:rFonts w:hint="eastAsia"/>
        </w:rPr>
        <w:t>辩</w:t>
      </w:r>
      <w:r>
        <w:t>述</w:t>
      </w:r>
    </w:p>
    <w:p w:rsidR="003D78DE" w:rsidRDefault="003D78DE"/>
    <w:p w:rsidR="00C3061E" w:rsidRDefault="00C3061E">
      <w:r>
        <w:rPr>
          <w:rFonts w:hint="eastAsia"/>
        </w:rPr>
        <w:t>费用计算</w:t>
      </w:r>
      <w:r>
        <w:t>说明：</w:t>
      </w:r>
    </w:p>
    <w:p w:rsidR="00C3061E" w:rsidRDefault="00C3061E" w:rsidP="00C3061E">
      <w:pPr>
        <w:pStyle w:val="a6"/>
        <w:numPr>
          <w:ilvl w:val="0"/>
          <w:numId w:val="3"/>
        </w:numPr>
      </w:pPr>
      <w:r>
        <w:rPr>
          <w:rFonts w:hint="eastAsia"/>
        </w:rPr>
        <w:t>全部医疗</w:t>
      </w:r>
      <w:r>
        <w:t>费用</w:t>
      </w:r>
      <w:r>
        <w:rPr>
          <w:rFonts w:hint="eastAsia"/>
        </w:rPr>
        <w:t>2713</w:t>
      </w:r>
      <w:r>
        <w:rPr>
          <w:rFonts w:hint="eastAsia"/>
        </w:rPr>
        <w:t>元</w:t>
      </w:r>
      <w:r>
        <w:t>，</w:t>
      </w:r>
      <w:r w:rsidR="00FC5BFD">
        <w:rPr>
          <w:rFonts w:hint="eastAsia"/>
        </w:rPr>
        <w:t>适用</w:t>
      </w:r>
      <w:r w:rsidR="00FC5BFD">
        <w:rPr>
          <w:rFonts w:hint="eastAsia"/>
        </w:rPr>
        <w:t>《</w:t>
      </w:r>
      <w:r w:rsidR="00FC5BFD" w:rsidRPr="00C3061E">
        <w:t>最高人民法院关于审理人身损害赔偿案件适用法律若干问题的解</w:t>
      </w:r>
      <w:r w:rsidR="00FC5BFD" w:rsidRPr="00C3061E">
        <w:rPr>
          <w:rFonts w:hint="eastAsia"/>
        </w:rPr>
        <w:t>释</w:t>
      </w:r>
      <w:r w:rsidR="00FC5BFD">
        <w:rPr>
          <w:rFonts w:hint="eastAsia"/>
        </w:rPr>
        <w:t>》第</w:t>
      </w:r>
      <w:r w:rsidR="00FC5BFD">
        <w:t>十七条</w:t>
      </w:r>
      <w:r w:rsidR="00FC5BFD">
        <w:rPr>
          <w:rFonts w:hint="eastAsia"/>
        </w:rPr>
        <w:t>规定</w:t>
      </w:r>
      <w:r w:rsidR="00FC5BFD">
        <w:t>，</w:t>
      </w:r>
      <w:r>
        <w:t>有详细发票为证；</w:t>
      </w:r>
    </w:p>
    <w:p w:rsidR="00C3061E" w:rsidRDefault="00C3061E" w:rsidP="00C3061E">
      <w:pPr>
        <w:pStyle w:val="a6"/>
        <w:numPr>
          <w:ilvl w:val="0"/>
          <w:numId w:val="3"/>
        </w:numPr>
      </w:pPr>
      <w:r>
        <w:rPr>
          <w:rFonts w:hint="eastAsia"/>
        </w:rPr>
        <w:t>交通</w:t>
      </w:r>
      <w:r>
        <w:t>费未开具发票，</w:t>
      </w:r>
      <w:r>
        <w:rPr>
          <w:rFonts w:hint="eastAsia"/>
        </w:rPr>
        <w:t>未</w:t>
      </w:r>
      <w:r>
        <w:t>予追究；</w:t>
      </w:r>
    </w:p>
    <w:p w:rsidR="00C3061E" w:rsidRPr="00C3061E" w:rsidRDefault="00C3061E" w:rsidP="00C3061E">
      <w:pPr>
        <w:pStyle w:val="a6"/>
        <w:numPr>
          <w:ilvl w:val="0"/>
          <w:numId w:val="3"/>
        </w:numPr>
      </w:pPr>
      <w:r>
        <w:rPr>
          <w:rFonts w:hint="eastAsia"/>
        </w:rPr>
        <w:t>精神</w:t>
      </w:r>
      <w:r>
        <w:t>损失赔偿费，按</w:t>
      </w:r>
      <w:r>
        <w:rPr>
          <w:rFonts w:hint="eastAsia"/>
        </w:rPr>
        <w:t>《</w:t>
      </w:r>
      <w:r w:rsidRPr="00C3061E">
        <w:t>最高人民法院关于确定民事侵权精神损害赔偿责任若干问题的解</w:t>
      </w:r>
      <w:r w:rsidRPr="00C3061E">
        <w:rPr>
          <w:rFonts w:hint="eastAsia"/>
        </w:rPr>
        <w:t>释</w:t>
      </w:r>
      <w:r>
        <w:rPr>
          <w:rFonts w:hint="eastAsia"/>
        </w:rPr>
        <w:t>》的</w:t>
      </w:r>
      <w:r>
        <w:t>规定，</w:t>
      </w:r>
      <w:r>
        <w:rPr>
          <w:rFonts w:hint="eastAsia"/>
        </w:rPr>
        <w:t>需要</w:t>
      </w:r>
      <w:r>
        <w:t>赔偿</w:t>
      </w:r>
      <w:r>
        <w:rPr>
          <w:rFonts w:hint="eastAsia"/>
        </w:rPr>
        <w:t>残疾</w:t>
      </w:r>
      <w:r>
        <w:t>赔偿金，</w:t>
      </w:r>
      <w:r>
        <w:rPr>
          <w:rFonts w:hint="eastAsia"/>
        </w:rPr>
        <w:t>要求</w:t>
      </w:r>
      <w:r>
        <w:t>确定为</w:t>
      </w:r>
      <w:r>
        <w:rPr>
          <w:rFonts w:hint="eastAsia"/>
        </w:rPr>
        <w:t>2000</w:t>
      </w:r>
      <w:r>
        <w:rPr>
          <w:rFonts w:hint="eastAsia"/>
        </w:rPr>
        <w:t>元</w:t>
      </w:r>
      <w:r>
        <w:t>；</w:t>
      </w:r>
    </w:p>
    <w:p w:rsidR="00C3061E" w:rsidRDefault="00C3061E" w:rsidP="00B60F50">
      <w:pPr>
        <w:pStyle w:val="a6"/>
        <w:numPr>
          <w:ilvl w:val="0"/>
          <w:numId w:val="3"/>
        </w:numPr>
      </w:pPr>
      <w:r>
        <w:rPr>
          <w:rFonts w:hint="eastAsia"/>
        </w:rPr>
        <w:t>护理</w:t>
      </w:r>
      <w:r>
        <w:t>费赔偿，按照</w:t>
      </w:r>
      <w:r>
        <w:rPr>
          <w:rFonts w:hint="eastAsia"/>
        </w:rPr>
        <w:t>《</w:t>
      </w:r>
      <w:r w:rsidRPr="00C3061E">
        <w:t>最高人民法院关于审理人身损害赔偿案件适用法律若干问题的解</w:t>
      </w:r>
      <w:r w:rsidRPr="00C3061E">
        <w:rPr>
          <w:rFonts w:hint="eastAsia"/>
        </w:rPr>
        <w:t>释</w:t>
      </w:r>
      <w:r>
        <w:rPr>
          <w:rFonts w:hint="eastAsia"/>
        </w:rPr>
        <w:t>》</w:t>
      </w:r>
      <w:r>
        <w:t>的</w:t>
      </w:r>
      <w:r w:rsidR="00B60F50">
        <w:rPr>
          <w:rFonts w:hint="eastAsia"/>
        </w:rPr>
        <w:t>第</w:t>
      </w:r>
      <w:r w:rsidR="00B60F50">
        <w:t>二十一条</w:t>
      </w:r>
      <w:r>
        <w:t>规定，</w:t>
      </w:r>
      <w:r w:rsidR="00B60F50" w:rsidRPr="00B60F50">
        <w:rPr>
          <w:rFonts w:hint="eastAsia"/>
        </w:rPr>
        <w:t>护理期限应计算至受害人恢复生活自理能力时止。受害人因残疾不能恢复生活自理能力的，可以根据其年龄、健康状况等因素确定合理的护理期限，但最长不超过二十年。</w:t>
      </w:r>
      <w:r>
        <w:rPr>
          <w:rFonts w:hint="eastAsia"/>
        </w:rPr>
        <w:t>要求</w:t>
      </w:r>
      <w:r>
        <w:t>护理期限</w:t>
      </w:r>
      <w:r>
        <w:rPr>
          <w:rFonts w:hint="eastAsia"/>
        </w:rPr>
        <w:t>至少</w:t>
      </w:r>
      <w:r>
        <w:t>为</w:t>
      </w:r>
      <w:r w:rsidR="00B60F50">
        <w:rPr>
          <w:rFonts w:hint="eastAsia"/>
        </w:rPr>
        <w:t>5</w:t>
      </w:r>
      <w:r>
        <w:rPr>
          <w:rFonts w:hint="eastAsia"/>
        </w:rPr>
        <w:t>年即</w:t>
      </w:r>
      <w:r w:rsidR="00B60F50">
        <w:rPr>
          <w:rFonts w:hint="eastAsia"/>
        </w:rPr>
        <w:t>60</w:t>
      </w:r>
      <w:r>
        <w:rPr>
          <w:rFonts w:hint="eastAsia"/>
        </w:rPr>
        <w:t>个</w:t>
      </w:r>
      <w:r>
        <w:t>月，</w:t>
      </w:r>
      <w:r>
        <w:rPr>
          <w:rFonts w:hint="eastAsia"/>
        </w:rPr>
        <w:t>护理</w:t>
      </w:r>
      <w:r>
        <w:t>标准按</w:t>
      </w:r>
      <w:r>
        <w:rPr>
          <w:rFonts w:hint="eastAsia"/>
        </w:rPr>
        <w:t>《工伤</w:t>
      </w:r>
      <w:r>
        <w:t>保险条例》</w:t>
      </w:r>
      <w:r>
        <w:rPr>
          <w:rFonts w:hint="eastAsia"/>
        </w:rPr>
        <w:t>第</w:t>
      </w:r>
      <w:r>
        <w:t>三十四条规定，</w:t>
      </w:r>
      <w:r>
        <w:rPr>
          <w:rFonts w:hint="eastAsia"/>
        </w:rPr>
        <w:t>按</w:t>
      </w:r>
      <w:r>
        <w:t>马鞍山</w:t>
      </w:r>
      <w:r w:rsidRPr="00C3061E">
        <w:t>上年度职工月平均工资的</w:t>
      </w:r>
      <w:r w:rsidRPr="00C3061E">
        <w:t>50%</w:t>
      </w:r>
      <w:r>
        <w:rPr>
          <w:rFonts w:hint="eastAsia"/>
        </w:rPr>
        <w:t>计算</w:t>
      </w:r>
      <w:r>
        <w:t>，马鞍山市上一年度</w:t>
      </w:r>
      <w:r>
        <w:rPr>
          <w:rFonts w:hint="eastAsia"/>
        </w:rPr>
        <w:t>（</w:t>
      </w:r>
      <w:hyperlink r:id="rId7" w:history="1">
        <w:r w:rsidRPr="001163F7">
          <w:rPr>
            <w:rStyle w:val="a7"/>
          </w:rPr>
          <w:t>http://www.jianghuairc.com/maanshan/salary/</w:t>
        </w:r>
      </w:hyperlink>
      <w:r>
        <w:rPr>
          <w:rFonts w:hint="eastAsia"/>
        </w:rPr>
        <w:t>）</w:t>
      </w:r>
      <w:r>
        <w:t>职工平均工</w:t>
      </w:r>
      <w:r>
        <w:rPr>
          <w:rFonts w:hint="eastAsia"/>
        </w:rPr>
        <w:t>资</w:t>
      </w:r>
      <w:r>
        <w:t>标准为</w:t>
      </w:r>
      <w:r>
        <w:rPr>
          <w:rFonts w:hint="eastAsia"/>
        </w:rPr>
        <w:t>4750</w:t>
      </w:r>
      <w:r>
        <w:rPr>
          <w:rFonts w:hint="eastAsia"/>
        </w:rPr>
        <w:t>，</w:t>
      </w:r>
      <w:r>
        <w:t>由此计算为</w:t>
      </w:r>
      <w:r>
        <w:rPr>
          <w:rFonts w:hint="eastAsia"/>
        </w:rPr>
        <w:t>85500</w:t>
      </w:r>
      <w:r>
        <w:rPr>
          <w:rFonts w:hint="eastAsia"/>
        </w:rPr>
        <w:t>元</w:t>
      </w:r>
      <w:r>
        <w:t>。</w:t>
      </w:r>
    </w:p>
    <w:p w:rsidR="003A1635" w:rsidRDefault="003A1635" w:rsidP="00C3061E">
      <w:pPr>
        <w:pStyle w:val="a6"/>
        <w:numPr>
          <w:ilvl w:val="0"/>
          <w:numId w:val="3"/>
        </w:numPr>
      </w:pPr>
      <w:r>
        <w:rPr>
          <w:rFonts w:hint="eastAsia"/>
        </w:rPr>
        <w:t>护理费</w:t>
      </w:r>
      <w:r>
        <w:t>包括</w:t>
      </w:r>
      <w:r w:rsidRPr="00456197">
        <w:rPr>
          <w:color w:val="FF0000"/>
        </w:rPr>
        <w:t>康复费</w:t>
      </w:r>
      <w:r>
        <w:rPr>
          <w:rFonts w:hint="eastAsia"/>
        </w:rPr>
        <w:t>、</w:t>
      </w:r>
      <w:r w:rsidRPr="00456197">
        <w:rPr>
          <w:color w:val="FF0000"/>
        </w:rPr>
        <w:t>后续</w:t>
      </w:r>
      <w:r w:rsidRPr="00456197">
        <w:rPr>
          <w:rFonts w:hint="eastAsia"/>
          <w:color w:val="FF0000"/>
        </w:rPr>
        <w:t>治疗</w:t>
      </w:r>
      <w:r w:rsidRPr="00456197">
        <w:rPr>
          <w:color w:val="FF0000"/>
        </w:rPr>
        <w:t>费</w:t>
      </w:r>
      <w:r>
        <w:t>的法律依据是</w:t>
      </w:r>
      <w:r>
        <w:rPr>
          <w:rFonts w:hint="eastAsia"/>
        </w:rPr>
        <w:t>《</w:t>
      </w:r>
      <w:r w:rsidRPr="00C3061E">
        <w:t>最高人民法院关于审理人身损害赔偿案件适用法律若干问题的解</w:t>
      </w:r>
      <w:r w:rsidRPr="00C3061E">
        <w:rPr>
          <w:rFonts w:hint="eastAsia"/>
        </w:rPr>
        <w:t>释</w:t>
      </w:r>
      <w:r>
        <w:rPr>
          <w:rFonts w:hint="eastAsia"/>
        </w:rPr>
        <w:t>》</w:t>
      </w:r>
      <w:r>
        <w:rPr>
          <w:rFonts w:hint="eastAsia"/>
        </w:rPr>
        <w:t>第</w:t>
      </w:r>
      <w:r>
        <w:t>十七条。里边</w:t>
      </w:r>
      <w:r>
        <w:rPr>
          <w:rFonts w:hint="eastAsia"/>
        </w:rPr>
        <w:t>还</w:t>
      </w:r>
      <w:r>
        <w:t>包括</w:t>
      </w:r>
      <w:hyperlink r:id="rId8" w:tgtFrame="_blank" w:history="1">
        <w:r w:rsidRPr="00456197">
          <w:rPr>
            <w:rFonts w:hint="eastAsia"/>
            <w:color w:val="FF0000"/>
          </w:rPr>
          <w:t>残疾辅助器具费</w:t>
        </w:r>
      </w:hyperlink>
      <w:r w:rsidRPr="003A1635">
        <w:rPr>
          <w:rFonts w:hint="eastAsia"/>
        </w:rPr>
        <w:t>、</w:t>
      </w:r>
      <w:hyperlink r:id="rId9" w:tgtFrame="_blank" w:history="1">
        <w:r w:rsidRPr="00456197">
          <w:rPr>
            <w:rFonts w:hint="eastAsia"/>
            <w:color w:val="FF0000"/>
          </w:rPr>
          <w:t>被扶养人生活费</w:t>
        </w:r>
      </w:hyperlink>
      <w:r w:rsidRPr="00456197">
        <w:rPr>
          <w:rFonts w:hint="eastAsia"/>
          <w:color w:val="FF0000"/>
        </w:rPr>
        <w:t>，</w:t>
      </w:r>
      <w:r>
        <w:rPr>
          <w:rFonts w:hint="eastAsia"/>
        </w:rPr>
        <w:t>以</w:t>
      </w:r>
      <w:r>
        <w:t>及</w:t>
      </w:r>
      <w:r w:rsidRPr="00456197">
        <w:rPr>
          <w:color w:val="FF0000"/>
        </w:rPr>
        <w:t>交通费</w:t>
      </w:r>
      <w:r>
        <w:rPr>
          <w:rFonts w:hint="eastAsia"/>
        </w:rPr>
        <w:t>、</w:t>
      </w:r>
      <w:r w:rsidRPr="00456197">
        <w:rPr>
          <w:color w:val="FF0000"/>
        </w:rPr>
        <w:t>营养费</w:t>
      </w:r>
      <w:r>
        <w:t>等</w:t>
      </w:r>
      <w:r>
        <w:rPr>
          <w:rFonts w:hint="eastAsia"/>
        </w:rPr>
        <w:t>依据</w:t>
      </w:r>
      <w:r>
        <w:t>。</w:t>
      </w:r>
    </w:p>
    <w:p w:rsidR="002C6553" w:rsidRDefault="002C6553" w:rsidP="00C3061E">
      <w:pPr>
        <w:pStyle w:val="a6"/>
        <w:numPr>
          <w:ilvl w:val="0"/>
          <w:numId w:val="3"/>
        </w:numPr>
        <w:rPr>
          <w:rFonts w:hint="eastAsia"/>
        </w:rPr>
      </w:pPr>
      <w:r>
        <w:rPr>
          <w:rFonts w:hint="eastAsia"/>
        </w:rPr>
        <w:t>残疾赔偿</w:t>
      </w:r>
      <w:r>
        <w:t>金</w:t>
      </w:r>
      <w:r>
        <w:rPr>
          <w:rFonts w:hint="eastAsia"/>
        </w:rPr>
        <w:t>按照</w:t>
      </w:r>
      <w:r>
        <w:rPr>
          <w:rFonts w:hint="eastAsia"/>
        </w:rPr>
        <w:t>《</w:t>
      </w:r>
      <w:r w:rsidRPr="00C3061E">
        <w:t>最高人民法院关于审理人身损害赔偿案件适用法律若干问题的解</w:t>
      </w:r>
      <w:r w:rsidRPr="00C3061E">
        <w:rPr>
          <w:rFonts w:hint="eastAsia"/>
        </w:rPr>
        <w:t>释</w:t>
      </w:r>
      <w:r>
        <w:rPr>
          <w:rFonts w:hint="eastAsia"/>
        </w:rPr>
        <w:t>》</w:t>
      </w:r>
      <w:r>
        <w:t>的</w:t>
      </w:r>
      <w:r>
        <w:rPr>
          <w:rFonts w:hint="eastAsia"/>
        </w:rPr>
        <w:t>第</w:t>
      </w:r>
      <w:r>
        <w:t>二十</w:t>
      </w:r>
      <w:r>
        <w:rPr>
          <w:rFonts w:hint="eastAsia"/>
        </w:rPr>
        <w:t>五</w:t>
      </w:r>
      <w:r>
        <w:t>条</w:t>
      </w:r>
      <w:r>
        <w:rPr>
          <w:rFonts w:hint="eastAsia"/>
        </w:rPr>
        <w:t>规定</w:t>
      </w:r>
      <w:r>
        <w:t>，</w:t>
      </w:r>
      <w:r>
        <w:rPr>
          <w:rFonts w:hint="eastAsia"/>
        </w:rPr>
        <w:t>和</w:t>
      </w:r>
      <w:r>
        <w:t>县</w:t>
      </w:r>
      <w:r w:rsidRPr="002C6553">
        <w:rPr>
          <w:rFonts w:hint="eastAsia"/>
        </w:rPr>
        <w:t>农村居民人均纯收入</w:t>
      </w:r>
      <w:r w:rsidR="00B751E1">
        <w:rPr>
          <w:rFonts w:hint="eastAsia"/>
        </w:rPr>
        <w:t>6918</w:t>
      </w:r>
      <w:r w:rsidR="003E3E11">
        <w:rPr>
          <w:rFonts w:hint="eastAsia"/>
        </w:rPr>
        <w:t>元</w:t>
      </w:r>
      <w:r w:rsidR="003E3E11">
        <w:t>，</w:t>
      </w:r>
      <w:r w:rsidR="003E3E11">
        <w:rPr>
          <w:rFonts w:hint="eastAsia"/>
        </w:rPr>
        <w:t>期限</w:t>
      </w:r>
      <w:r w:rsidR="003E3E11">
        <w:t>为五年，合计</w:t>
      </w:r>
      <w:r w:rsidR="003E3E11">
        <w:rPr>
          <w:rFonts w:hint="eastAsia"/>
        </w:rPr>
        <w:t>3459</w:t>
      </w:r>
      <w:r w:rsidR="003E3E11">
        <w:t>0</w:t>
      </w:r>
      <w:r w:rsidR="003E3E11">
        <w:rPr>
          <w:rFonts w:hint="eastAsia"/>
        </w:rPr>
        <w:t>元</w:t>
      </w:r>
      <w:r w:rsidR="003E3E11">
        <w:t>。</w:t>
      </w:r>
      <w:bookmarkStart w:id="0" w:name="_GoBack"/>
      <w:bookmarkEnd w:id="0"/>
    </w:p>
    <w:p w:rsidR="003D78DE" w:rsidRDefault="003D78DE" w:rsidP="003D78DE">
      <w:pPr>
        <w:pStyle w:val="a3"/>
        <w:shd w:val="clear" w:color="auto" w:fill="FFFFFF"/>
        <w:spacing w:before="0" w:beforeAutospacing="0" w:after="0" w:afterAutospacing="0" w:line="390" w:lineRule="atLeast"/>
        <w:ind w:right="420" w:firstLine="480"/>
        <w:rPr>
          <w:rFonts w:ascii="宋体" w:hAnsi="宋体"/>
          <w:color w:val="FF0000"/>
          <w:sz w:val="21"/>
          <w:szCs w:val="21"/>
        </w:rPr>
      </w:pPr>
      <w:r w:rsidRPr="00DA2289">
        <w:rPr>
          <w:rFonts w:ascii="宋体" w:hAnsi="宋体" w:hint="eastAsia"/>
          <w:color w:val="FF0000"/>
          <w:sz w:val="21"/>
          <w:szCs w:val="21"/>
        </w:rPr>
        <w:t>（提示：</w:t>
      </w:r>
      <w:r w:rsidRPr="00DA2289">
        <w:rPr>
          <w:rFonts w:ascii="宋体" w:hAnsi="宋体"/>
          <w:color w:val="FF0000"/>
          <w:sz w:val="21"/>
          <w:szCs w:val="21"/>
        </w:rPr>
        <w:t>1</w:t>
      </w:r>
      <w:r w:rsidRPr="00DA2289">
        <w:rPr>
          <w:rFonts w:ascii="宋体" w:hAnsi="宋体" w:hint="eastAsia"/>
          <w:color w:val="FF0000"/>
          <w:sz w:val="21"/>
          <w:szCs w:val="21"/>
        </w:rPr>
        <w:t>、此类案件中的律师费法院通常不予支持的，所以是否主张请考虑；</w:t>
      </w:r>
      <w:r w:rsidRPr="00DA2289">
        <w:rPr>
          <w:rFonts w:ascii="宋体" w:hAnsi="宋体"/>
          <w:color w:val="FF0000"/>
          <w:sz w:val="21"/>
          <w:szCs w:val="21"/>
        </w:rPr>
        <w:t>2</w:t>
      </w:r>
      <w:r w:rsidRPr="00DA2289">
        <w:rPr>
          <w:rFonts w:ascii="宋体" w:hAnsi="宋体" w:hint="eastAsia"/>
          <w:color w:val="FF0000"/>
          <w:sz w:val="21"/>
          <w:szCs w:val="21"/>
        </w:rPr>
        <w:t>、家属误工费也属于护理费的一部分，但证据要求不同，须有误工扣工资证明；</w:t>
      </w:r>
      <w:r w:rsidRPr="00DA2289">
        <w:rPr>
          <w:rFonts w:ascii="宋体" w:hAnsi="宋体"/>
          <w:color w:val="FF0000"/>
          <w:sz w:val="21"/>
          <w:szCs w:val="21"/>
        </w:rPr>
        <w:t>3</w:t>
      </w:r>
      <w:r w:rsidRPr="00DA2289">
        <w:rPr>
          <w:rFonts w:ascii="宋体" w:hAnsi="宋体" w:hint="eastAsia"/>
          <w:color w:val="FF0000"/>
          <w:sz w:val="21"/>
          <w:szCs w:val="21"/>
        </w:rPr>
        <w:t>、法定代理人即原告配偶或子女，无配偶即子女，诉状末尾由法定代理人签字即可）</w:t>
      </w:r>
    </w:p>
    <w:p w:rsidR="009620D9" w:rsidRPr="00DA2289" w:rsidRDefault="009620D9" w:rsidP="003D78DE">
      <w:pPr>
        <w:pStyle w:val="a3"/>
        <w:shd w:val="clear" w:color="auto" w:fill="FFFFFF"/>
        <w:spacing w:before="0" w:beforeAutospacing="0" w:after="0" w:afterAutospacing="0" w:line="390" w:lineRule="atLeast"/>
        <w:ind w:right="420" w:firstLine="480"/>
        <w:rPr>
          <w:rFonts w:ascii="宋体" w:hint="eastAsia"/>
          <w:color w:val="FF0000"/>
          <w:sz w:val="21"/>
          <w:szCs w:val="21"/>
        </w:rPr>
      </w:pPr>
    </w:p>
    <w:p w:rsidR="009620D9" w:rsidRDefault="009620D9" w:rsidP="009620D9">
      <w:pPr>
        <w:shd w:val="clear" w:color="auto" w:fill="FFFFFF"/>
        <w:spacing w:before="100" w:beforeAutospacing="1" w:after="100" w:afterAutospacing="1" w:line="375" w:lineRule="atLeast"/>
        <w:ind w:firstLine="450"/>
        <w:rPr>
          <w:rFonts w:ascii="宋体" w:hAnsi="宋体" w:cs="宋体" w:hint="eastAsia"/>
          <w:color w:val="2C6DAF"/>
          <w:sz w:val="21"/>
          <w:szCs w:val="21"/>
        </w:rPr>
      </w:pPr>
      <w:r>
        <w:rPr>
          <w:rFonts w:ascii="宋体" w:hAnsi="宋体" w:cs="宋体" w:hint="eastAsia"/>
          <w:color w:val="2C6DAF"/>
          <w:sz w:val="21"/>
          <w:szCs w:val="21"/>
        </w:rPr>
        <w:t>若</w:t>
      </w:r>
      <w:r>
        <w:rPr>
          <w:rFonts w:ascii="宋体" w:hAnsi="宋体" w:cs="宋体"/>
          <w:color w:val="2C6DAF"/>
          <w:sz w:val="21"/>
          <w:szCs w:val="21"/>
        </w:rPr>
        <w:t>被</w:t>
      </w:r>
      <w:r>
        <w:rPr>
          <w:rFonts w:ascii="宋体" w:hAnsi="宋体" w:cs="宋体" w:hint="eastAsia"/>
          <w:color w:val="2C6DAF"/>
          <w:sz w:val="21"/>
          <w:szCs w:val="21"/>
        </w:rPr>
        <w:t>告</w:t>
      </w:r>
      <w:r>
        <w:rPr>
          <w:rFonts w:ascii="宋体" w:hAnsi="宋体" w:cs="宋体"/>
          <w:color w:val="2C6DAF"/>
          <w:sz w:val="21"/>
          <w:szCs w:val="21"/>
        </w:rPr>
        <w:t>以合同</w:t>
      </w:r>
      <w:r>
        <w:rPr>
          <w:rFonts w:ascii="宋体" w:hAnsi="宋体" w:cs="宋体" w:hint="eastAsia"/>
          <w:color w:val="2C6DAF"/>
          <w:sz w:val="21"/>
          <w:szCs w:val="21"/>
        </w:rPr>
        <w:t>第</w:t>
      </w:r>
      <w:r>
        <w:rPr>
          <w:rFonts w:ascii="宋体" w:hAnsi="宋体" w:cs="宋体"/>
          <w:color w:val="2C6DAF"/>
          <w:sz w:val="21"/>
          <w:szCs w:val="21"/>
        </w:rPr>
        <w:t>六条</w:t>
      </w:r>
      <w:r>
        <w:rPr>
          <w:rFonts w:ascii="宋体" w:hAnsi="宋体" w:cs="宋体" w:hint="eastAsia"/>
          <w:color w:val="2C6DAF"/>
          <w:sz w:val="21"/>
          <w:szCs w:val="21"/>
        </w:rPr>
        <w:t>为</w:t>
      </w:r>
      <w:r>
        <w:rPr>
          <w:rFonts w:ascii="宋体" w:hAnsi="宋体" w:cs="宋体"/>
          <w:color w:val="2C6DAF"/>
          <w:sz w:val="21"/>
          <w:szCs w:val="21"/>
        </w:rPr>
        <w:t>辩，</w:t>
      </w:r>
      <w:r>
        <w:rPr>
          <w:rFonts w:ascii="宋体" w:hAnsi="宋体" w:cs="宋体" w:hint="eastAsia"/>
          <w:color w:val="2C6DAF"/>
          <w:sz w:val="21"/>
          <w:szCs w:val="21"/>
        </w:rPr>
        <w:t>可以</w:t>
      </w:r>
      <w:r>
        <w:rPr>
          <w:rFonts w:ascii="宋体" w:hAnsi="宋体" w:cs="宋体"/>
          <w:color w:val="2C6DAF"/>
          <w:sz w:val="21"/>
          <w:szCs w:val="21"/>
        </w:rPr>
        <w:t>《中华人民共和国侵权责任法》</w:t>
      </w:r>
      <w:r>
        <w:rPr>
          <w:rFonts w:ascii="宋体" w:hAnsi="宋体" w:cs="宋体" w:hint="eastAsia"/>
          <w:color w:val="2C6DAF"/>
          <w:sz w:val="21"/>
          <w:szCs w:val="21"/>
        </w:rPr>
        <w:t>第三</w:t>
      </w:r>
      <w:r>
        <w:rPr>
          <w:rFonts w:ascii="宋体" w:hAnsi="宋体" w:cs="宋体"/>
          <w:color w:val="2C6DAF"/>
          <w:sz w:val="21"/>
          <w:szCs w:val="21"/>
        </w:rPr>
        <w:t>十七条</w:t>
      </w:r>
      <w:r>
        <w:rPr>
          <w:rFonts w:ascii="宋体" w:hAnsi="宋体" w:cs="宋体" w:hint="eastAsia"/>
          <w:color w:val="2C6DAF"/>
          <w:sz w:val="21"/>
          <w:szCs w:val="21"/>
        </w:rPr>
        <w:t>规定</w:t>
      </w:r>
      <w:r>
        <w:rPr>
          <w:rFonts w:ascii="宋体" w:hAnsi="宋体" w:cs="宋体"/>
          <w:color w:val="2C6DAF"/>
          <w:sz w:val="21"/>
          <w:szCs w:val="21"/>
        </w:rPr>
        <w:t>以下以下合同法告对方侵权</w:t>
      </w:r>
      <w:r>
        <w:rPr>
          <w:rFonts w:ascii="宋体" w:hAnsi="宋体" w:cs="宋体" w:hint="eastAsia"/>
          <w:color w:val="2C6DAF"/>
          <w:sz w:val="21"/>
          <w:szCs w:val="21"/>
        </w:rPr>
        <w:t>。</w:t>
      </w:r>
    </w:p>
    <w:p w:rsidR="009620D9" w:rsidRPr="00BF769A" w:rsidRDefault="009620D9" w:rsidP="009620D9">
      <w:pPr>
        <w:shd w:val="clear" w:color="auto" w:fill="FFFFFF"/>
        <w:spacing w:before="100" w:beforeAutospacing="1" w:after="100" w:afterAutospacing="1" w:line="375" w:lineRule="atLeast"/>
        <w:ind w:firstLine="450"/>
        <w:rPr>
          <w:rFonts w:ascii="宋体" w:cs="宋体"/>
          <w:color w:val="000000"/>
          <w:sz w:val="21"/>
          <w:szCs w:val="21"/>
        </w:rPr>
      </w:pPr>
      <w:r>
        <w:rPr>
          <w:rFonts w:ascii="宋体" w:hAnsi="宋体" w:cs="宋体" w:hint="eastAsia"/>
          <w:color w:val="2C6DAF"/>
          <w:sz w:val="21"/>
          <w:szCs w:val="21"/>
        </w:rPr>
        <w:t>合同法：</w:t>
      </w:r>
      <w:r w:rsidRPr="00BF769A">
        <w:rPr>
          <w:rFonts w:ascii="宋体" w:hAnsi="宋体" w:cs="宋体" w:hint="eastAsia"/>
          <w:color w:val="2C6DAF"/>
          <w:sz w:val="21"/>
          <w:szCs w:val="21"/>
        </w:rPr>
        <w:t>第三十九条</w:t>
      </w:r>
      <w:r w:rsidRPr="00BF769A">
        <w:rPr>
          <w:rFonts w:ascii="宋体" w:hAnsi="宋体" w:cs="宋体" w:hint="eastAsia"/>
          <w:color w:val="000000"/>
          <w:sz w:val="21"/>
          <w:szCs w:val="21"/>
        </w:rPr>
        <w:t xml:space="preserve">　采用格式条款订立合同的，提供格式条款的一方应当遵循公平原则确定当事人之间的权利和义务，并采取合理的方式提请对方注意免除或者限制其责任的条款，按照对方的要求，对该条款予以说明。</w:t>
      </w:r>
    </w:p>
    <w:p w:rsidR="009620D9" w:rsidRPr="00BF769A" w:rsidRDefault="009620D9" w:rsidP="009620D9">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000000"/>
          <w:sz w:val="21"/>
          <w:szCs w:val="21"/>
        </w:rPr>
        <w:t>格式条款是当事人为了重复使用而预先拟定，并在订立合同时未与对方协商的条款。</w:t>
      </w:r>
    </w:p>
    <w:p w:rsidR="009620D9" w:rsidRPr="00BF769A" w:rsidRDefault="009620D9" w:rsidP="009620D9">
      <w:pPr>
        <w:shd w:val="clear" w:color="auto" w:fill="FFFFFF"/>
        <w:spacing w:before="100" w:beforeAutospacing="1" w:after="100" w:afterAutospacing="1" w:line="375" w:lineRule="atLeast"/>
        <w:ind w:firstLine="450"/>
        <w:rPr>
          <w:rFonts w:ascii="宋体" w:cs="宋体"/>
          <w:color w:val="000000"/>
          <w:sz w:val="21"/>
          <w:szCs w:val="21"/>
        </w:rPr>
      </w:pPr>
      <w:r w:rsidRPr="00BF769A">
        <w:rPr>
          <w:rFonts w:ascii="宋体" w:hAnsi="宋体" w:cs="宋体" w:hint="eastAsia"/>
          <w:color w:val="2C6DAF"/>
          <w:sz w:val="21"/>
          <w:szCs w:val="21"/>
        </w:rPr>
        <w:t>第四十条</w:t>
      </w:r>
      <w:r w:rsidRPr="00BF769A">
        <w:rPr>
          <w:rFonts w:ascii="宋体" w:hAnsi="宋体" w:cs="宋体" w:hint="eastAsia"/>
          <w:color w:val="000000"/>
          <w:sz w:val="21"/>
          <w:szCs w:val="21"/>
        </w:rPr>
        <w:t xml:space="preserve">　格式条款具有本法第五十二条和第五十三条规定情形的，或者提供格式条款一方免除其责任、加重对方责任、排除对方主要权利的，该条款无效。</w:t>
      </w:r>
    </w:p>
    <w:p w:rsidR="003D78DE" w:rsidRDefault="009620D9" w:rsidP="009620D9">
      <w:pPr>
        <w:pStyle w:val="a3"/>
        <w:shd w:val="clear" w:color="auto" w:fill="FFFFFF"/>
        <w:spacing w:before="0" w:beforeAutospacing="0" w:after="0" w:afterAutospacing="0" w:line="390" w:lineRule="atLeast"/>
        <w:ind w:right="420" w:firstLine="480"/>
        <w:rPr>
          <w:rFonts w:ascii="宋体"/>
          <w:color w:val="333333"/>
          <w:sz w:val="21"/>
          <w:szCs w:val="21"/>
        </w:rPr>
      </w:pPr>
      <w:r>
        <w:rPr>
          <w:rFonts w:hint="eastAsia"/>
        </w:rPr>
        <w:lastRenderedPageBreak/>
        <w:t>我们可以认为</w:t>
      </w:r>
      <w:r>
        <w:t>“</w:t>
      </w:r>
      <w:r>
        <w:rPr>
          <w:rFonts w:hint="eastAsia"/>
        </w:rPr>
        <w:t>妥善照顾起诉人的生活起居，使其在托老所期间能够能得到家人般的照顾</w:t>
      </w:r>
      <w:r>
        <w:t>”</w:t>
      </w:r>
      <w:r>
        <w:rPr>
          <w:rFonts w:hint="eastAsia"/>
        </w:rPr>
        <w:t>是托老所的主要合同义务，对方采用格式条款的方式企图免除自己的主要合同义务该合同条款无效，不能成为对方不支付医药费的借口</w:t>
      </w: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Pr="00E03CE3"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基于此，起诉人向基层法院提出诉讼请求，养老院收取费用、张国兰老人的医药费、诊断费、护理费等费用均有详细发票为证。</w:t>
      </w:r>
    </w:p>
    <w:p w:rsidR="003D78DE" w:rsidRDefault="003D78DE" w:rsidP="003D78DE">
      <w:pPr>
        <w:pStyle w:val="a3"/>
        <w:numPr>
          <w:ilvl w:val="0"/>
          <w:numId w:val="1"/>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被起诉人违反合同约定，未尽到看管老人的责任，致使无自理能力的老人发生跌伤。</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起诉人同家属与被起诉人签订养老合同，起诉人已支付现金三千元，尽到了相应的合同义务。按照合同约定，被起诉人理应提供养老服务。按照合同的收费标准，对不能自理老人收费为</w:t>
      </w:r>
      <w:r>
        <w:rPr>
          <w:rFonts w:ascii="宋体" w:hAnsi="宋体"/>
          <w:color w:val="333333"/>
          <w:sz w:val="21"/>
          <w:szCs w:val="21"/>
        </w:rPr>
        <w:t>1300-2000</w:t>
      </w:r>
      <w:r>
        <w:rPr>
          <w:rFonts w:ascii="宋体" w:hAnsi="宋体" w:hint="eastAsia"/>
          <w:color w:val="333333"/>
          <w:sz w:val="21"/>
          <w:szCs w:val="21"/>
        </w:rPr>
        <w:t>元</w:t>
      </w:r>
      <w:r>
        <w:rPr>
          <w:rFonts w:ascii="宋体" w:hAnsi="宋体"/>
          <w:color w:val="333333"/>
          <w:sz w:val="21"/>
          <w:szCs w:val="21"/>
        </w:rPr>
        <w:t>/</w:t>
      </w:r>
      <w:r>
        <w:rPr>
          <w:rFonts w:ascii="宋体" w:hAnsi="宋体" w:hint="eastAsia"/>
          <w:color w:val="333333"/>
          <w:sz w:val="21"/>
          <w:szCs w:val="21"/>
        </w:rPr>
        <w:t>月，现已支付</w:t>
      </w:r>
      <w:r>
        <w:rPr>
          <w:rFonts w:ascii="宋体" w:hAnsi="宋体"/>
          <w:color w:val="333333"/>
          <w:sz w:val="21"/>
          <w:szCs w:val="21"/>
        </w:rPr>
        <w:t>1500</w:t>
      </w:r>
      <w:r>
        <w:rPr>
          <w:rFonts w:ascii="宋体" w:hAnsi="宋体" w:hint="eastAsia"/>
          <w:color w:val="333333"/>
          <w:sz w:val="21"/>
          <w:szCs w:val="21"/>
        </w:rPr>
        <w:t>元，在该范围内，属于最高收费范畴，至少应尽到保障老人人身安全的义务。被起诉人已承认张国兰老人是在合同有效期间，在养老院发生跌伤，有录音为证；此外，老人头部及眼睛还有多处副伤。基于此，起诉人认为被起诉人没有履行合同约定，没有尽到起码的看护老人人身安全的义务。</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二、被起诉人拒绝为张国兰老人支付任何医疗费用。</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被起诉人在事故发生后，除了通知家属之外，未履行任何责任，支付任何费用。</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被起诉人声称其夜晚有四段巡逻时间，张国兰老人是在四段巡逻时间之外发生跌伤，因此发生事故与其无关，且态度强硬，拒负任何责任。且其声称，在被起诉人与起诉人签订的合同中第六条中提到：</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如在托老所赡养过程中，老人出现病状，生病和意外损伤，特别病例死亡者，本所只在过程中通知家人和亲属，不负担任何责任（如脑淤血、心肌梗塞、心脏病、慢性病等）另外在托老所登记时如有隐瞒病情者，托老所概不负责；”</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这里提到意外损伤，有两种理解：</w:t>
      </w:r>
    </w:p>
    <w:p w:rsidR="003D78DE" w:rsidRDefault="003D78DE" w:rsidP="003D78DE">
      <w:pPr>
        <w:pStyle w:val="a3"/>
        <w:numPr>
          <w:ilvl w:val="0"/>
          <w:numId w:val="2"/>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因脑流血等合同中提到的症状而发生意外损伤。</w:t>
      </w:r>
    </w:p>
    <w:p w:rsidR="003D78DE" w:rsidRDefault="003D78DE" w:rsidP="003D78DE">
      <w:pPr>
        <w:pStyle w:val="a3"/>
        <w:numPr>
          <w:ilvl w:val="0"/>
          <w:numId w:val="2"/>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发生意外事故造成人身损伤。</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按第一种理解，张国兰老人除了眼盲、半痴呆外，并无其他病症，因此不在意外操作范围之内，可以认定养老院未履行责任，看管老人人身安全。按第二种理解，则被起诉人违背了赡养老人、照顾老人的初衷，试问，连最基本的人身安全都不能保证，放任无自理能力的老人发生意外损伤而能不承担任何责任，托老所存在的意义为何？起诉人及其亲属与被起诉人所经营的托老所签订合同的目的就是由被起诉人妥善照顾起诉人的生活，保护起诉人的人身安全是被起诉人应尽的基本的主要的合同义</w:t>
      </w:r>
      <w:r>
        <w:rPr>
          <w:rFonts w:ascii="宋体" w:hAnsi="宋体" w:hint="eastAsia"/>
          <w:color w:val="333333"/>
          <w:sz w:val="21"/>
          <w:szCs w:val="21"/>
        </w:rPr>
        <w:lastRenderedPageBreak/>
        <w:t>务，被起诉人声称的仅仅在夜间巡逻的时间负有保障起诉人安全的没有合同和法律的依据，依照《中华人民共和国合同法》第一百零七条“</w:t>
      </w:r>
      <w:r w:rsidRPr="00DA2289">
        <w:rPr>
          <w:rFonts w:ascii="宋体" w:hAnsi="宋体" w:cs="宋体" w:hint="eastAsia"/>
          <w:sz w:val="21"/>
          <w:szCs w:val="21"/>
        </w:rPr>
        <w:t>当事人一方不履行合同义务或者履行合同义务不符合约定的，应当承担继续履行、采取补救措施或者赔偿损失等违约责任</w:t>
      </w:r>
      <w:r>
        <w:rPr>
          <w:rFonts w:ascii="宋体" w:hAnsi="宋体" w:hint="eastAsia"/>
          <w:color w:val="333333"/>
          <w:sz w:val="21"/>
          <w:szCs w:val="21"/>
        </w:rPr>
        <w:t>”，被起诉人拒不承担起诉人因摔伤而支付的医药费等合理费用的行为于法无据。</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同时，这也违反了《侵权责任法》第三十七条规定：</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“宾馆、商场、银行、车站、娱乐场所等公共场所的管理人或者群众性活动的组织者，未尽到安全保障义务，造成他人损害的，应当承担侵权责任。”</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因此，不论何种解释，被起诉人理应为此承担责任，为老人承担医疗费用，为起诉人家属承担误工费用，且应当为其蛮横无礼的态度负责，向起诉人家属道歉。</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附：</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1.</w:t>
      </w:r>
      <w:r>
        <w:rPr>
          <w:rFonts w:ascii="宋体" w:hAnsi="宋体" w:hint="eastAsia"/>
          <w:color w:val="333333"/>
          <w:sz w:val="21"/>
          <w:szCs w:val="21"/>
        </w:rPr>
        <w:t>本起诉状副本二份</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2.</w:t>
      </w:r>
      <w:r>
        <w:rPr>
          <w:rFonts w:ascii="宋体" w:hAnsi="宋体" w:hint="eastAsia"/>
          <w:color w:val="333333"/>
          <w:sz w:val="21"/>
          <w:szCs w:val="21"/>
        </w:rPr>
        <w:t>证据：</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①起诉人与被起诉人签署的合同原件及复印件，证明双方存在真实有效的合同关系。</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②被起诉人所在托老所出具的</w:t>
      </w:r>
      <w:r>
        <w:rPr>
          <w:rFonts w:ascii="宋体" w:hAnsi="宋体"/>
          <w:color w:val="333333"/>
          <w:sz w:val="21"/>
          <w:szCs w:val="21"/>
        </w:rPr>
        <w:t>3000</w:t>
      </w:r>
      <w:r>
        <w:rPr>
          <w:rFonts w:ascii="宋体" w:hAnsi="宋体" w:hint="eastAsia"/>
          <w:color w:val="333333"/>
          <w:sz w:val="21"/>
          <w:szCs w:val="21"/>
        </w:rPr>
        <w:t>元养老费用的收据，证明起诉人已经妥善完成合同义务</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③托老所医院医生的诊断报告及检查费、医药费、护理费等详细发票，证明起诉人的实际损失</w:t>
      </w:r>
    </w:p>
    <w:p w:rsidR="003D78DE" w:rsidRDefault="003D78DE" w:rsidP="003D78DE">
      <w:pPr>
        <w:rPr>
          <w:rFonts w:ascii="宋体" w:hAnsi="宋体"/>
          <w:color w:val="333333"/>
          <w:sz w:val="21"/>
          <w:szCs w:val="21"/>
        </w:rPr>
      </w:pPr>
      <w:r>
        <w:rPr>
          <w:rFonts w:ascii="宋体" w:hAnsi="宋体" w:hint="eastAsia"/>
          <w:color w:val="333333"/>
          <w:sz w:val="21"/>
          <w:szCs w:val="21"/>
        </w:rPr>
        <w:t>④起诉人亲属与被起诉人协调时的录音，证明被起诉人承认起诉人是在托老所期间摔倒受伤的；</w:t>
      </w:r>
    </w:p>
    <w:p w:rsidR="00980C16" w:rsidRDefault="00980C16" w:rsidP="003D78DE">
      <w:pPr>
        <w:rPr>
          <w:rFonts w:ascii="宋体" w:hAnsi="宋体"/>
          <w:color w:val="333333"/>
          <w:sz w:val="21"/>
          <w:szCs w:val="21"/>
        </w:rPr>
      </w:pPr>
    </w:p>
    <w:p w:rsidR="00980C16" w:rsidRDefault="00980C16" w:rsidP="003D78DE">
      <w:pPr>
        <w:rPr>
          <w:rFonts w:ascii="宋体" w:hAnsi="宋体"/>
          <w:color w:val="333333"/>
          <w:sz w:val="21"/>
          <w:szCs w:val="21"/>
        </w:rPr>
      </w:pPr>
      <w:r>
        <w:rPr>
          <w:rFonts w:ascii="宋体" w:hAnsi="宋体" w:hint="eastAsia"/>
          <w:color w:val="333333"/>
          <w:sz w:val="21"/>
          <w:szCs w:val="21"/>
        </w:rPr>
        <w:t>（</w:t>
      </w:r>
      <w:r>
        <w:rPr>
          <w:rFonts w:ascii="宋体" w:hAnsi="宋体"/>
          <w:color w:val="333333"/>
          <w:sz w:val="21"/>
          <w:szCs w:val="21"/>
        </w:rPr>
        <w:t>赵日</w:t>
      </w:r>
      <w:r>
        <w:rPr>
          <w:rFonts w:ascii="宋体" w:hAnsi="宋体" w:hint="eastAsia"/>
          <w:color w:val="333333"/>
          <w:sz w:val="21"/>
          <w:szCs w:val="21"/>
        </w:rPr>
        <w:t>的</w:t>
      </w:r>
      <w:r>
        <w:rPr>
          <w:rFonts w:ascii="宋体" w:hAnsi="宋体"/>
          <w:color w:val="333333"/>
          <w:sz w:val="21"/>
          <w:szCs w:val="21"/>
        </w:rPr>
        <w:t>建议）</w:t>
      </w:r>
    </w:p>
    <w:p w:rsidR="00980C16" w:rsidRPr="00883142" w:rsidRDefault="00980C16" w:rsidP="00980C16">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按照律师的这种改法应该是不主张在起诉状中写明具体的法律依据，这样也有好处就是不会因为自己说错话在法庭上限制了自己。</w:t>
      </w:r>
    </w:p>
    <w:p w:rsidR="00980C16" w:rsidRPr="00883142" w:rsidRDefault="00980C16" w:rsidP="00980C16">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感觉从你的起诉状上看你并没有委托律师，所以为什么要主张律师费呢？</w:t>
      </w:r>
    </w:p>
    <w:p w:rsidR="00980C16" w:rsidRPr="00883142" w:rsidRDefault="00980C16" w:rsidP="00980C16">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我没有出过庭，不知道实践中是怎么操作的，我猜如果护理的家属是企业职工，那直接那企业的假条来就可以吧。如果是农民或者个体户，医院是不是有陪床的记录，医院的诊断证明上是不是有“需要陪护”等，同病房人的证言等来证明一直有人在陪，虽然证明效力都不高，不过还是可以准备，说不准法院就会认。</w:t>
      </w:r>
    </w:p>
    <w:p w:rsidR="00980C16" w:rsidRPr="00883142" w:rsidRDefault="00980C16" w:rsidP="00980C16">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其他注意事项，就是记得我们的法律依据，不要和对方在法庭上吵，要有理有据，对方可能会举很多事实来混淆，不要太纠结于他的那些不相干的事实，我们的事实和法律一结合比他的胡搅蛮缠要有说服力的多。</w:t>
      </w:r>
    </w:p>
    <w:p w:rsidR="00980C16" w:rsidRPr="00883142" w:rsidRDefault="00980C16" w:rsidP="00980C16">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如果对方提合同的第六条，可以跟法院提这一条应该是无效的，具体就是合同法的第三十九条。</w:t>
      </w:r>
    </w:p>
    <w:p w:rsidR="00980C16" w:rsidRPr="00980C16" w:rsidRDefault="00980C16" w:rsidP="00980C16">
      <w:r w:rsidRPr="00883142">
        <w:rPr>
          <w:rFonts w:ascii="宋体" w:hAnsi="宋体"/>
          <w:color w:val="4F81BD"/>
          <w:sz w:val="21"/>
          <w:szCs w:val="21"/>
        </w:rPr>
        <w:t>律师怎么也比我们这些实践经验较少的人强，有事还是多去咨询他们吧。</w:t>
      </w:r>
    </w:p>
    <w:sectPr w:rsidR="00980C16" w:rsidRPr="00980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BF7" w:rsidRDefault="00AC0BF7" w:rsidP="00980C16">
      <w:pPr>
        <w:spacing w:after="0" w:line="240" w:lineRule="auto"/>
      </w:pPr>
      <w:r>
        <w:separator/>
      </w:r>
    </w:p>
  </w:endnote>
  <w:endnote w:type="continuationSeparator" w:id="0">
    <w:p w:rsidR="00AC0BF7" w:rsidRDefault="00AC0BF7" w:rsidP="0098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BF7" w:rsidRDefault="00AC0BF7" w:rsidP="00980C16">
      <w:pPr>
        <w:spacing w:after="0" w:line="240" w:lineRule="auto"/>
      </w:pPr>
      <w:r>
        <w:separator/>
      </w:r>
    </w:p>
  </w:footnote>
  <w:footnote w:type="continuationSeparator" w:id="0">
    <w:p w:rsidR="00AC0BF7" w:rsidRDefault="00AC0BF7" w:rsidP="00980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 w15:restartNumberingAfterBreak="0">
    <w:nsid w:val="46B13A34"/>
    <w:multiLevelType w:val="hybridMultilevel"/>
    <w:tmpl w:val="F7B2F678"/>
    <w:lvl w:ilvl="0" w:tplc="2EA60C94">
      <w:start w:val="1"/>
      <w:numFmt w:val="japaneseCounting"/>
      <w:lvlText w:val="%1、"/>
      <w:lvlJc w:val="left"/>
      <w:pPr>
        <w:ind w:left="900" w:hanging="42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 w15:restartNumberingAfterBreak="0">
    <w:nsid w:val="6D1C2AD8"/>
    <w:multiLevelType w:val="hybridMultilevel"/>
    <w:tmpl w:val="6252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8DE"/>
    <w:rsid w:val="002C6553"/>
    <w:rsid w:val="003A1635"/>
    <w:rsid w:val="003D78DE"/>
    <w:rsid w:val="003E0392"/>
    <w:rsid w:val="003E3E11"/>
    <w:rsid w:val="00456197"/>
    <w:rsid w:val="007E11ED"/>
    <w:rsid w:val="009620D9"/>
    <w:rsid w:val="00980C16"/>
    <w:rsid w:val="00AC0BF7"/>
    <w:rsid w:val="00B60F50"/>
    <w:rsid w:val="00B751E1"/>
    <w:rsid w:val="00C14D1C"/>
    <w:rsid w:val="00C3061E"/>
    <w:rsid w:val="00FC5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3302E8-3BA9-4E45-9ADC-D0EC1955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D78DE"/>
    <w:pPr>
      <w:spacing w:before="100" w:beforeAutospacing="1" w:after="100" w:afterAutospacing="1" w:line="240" w:lineRule="auto"/>
    </w:pPr>
    <w:rPr>
      <w:rFonts w:ascii="Times New Roman" w:eastAsia="宋体" w:hAnsi="Times New Roman" w:cs="Times New Roman"/>
      <w:sz w:val="24"/>
      <w:szCs w:val="24"/>
    </w:rPr>
  </w:style>
  <w:style w:type="paragraph" w:styleId="a4">
    <w:name w:val="header"/>
    <w:basedOn w:val="a"/>
    <w:link w:val="Char"/>
    <w:uiPriority w:val="99"/>
    <w:unhideWhenUsed/>
    <w:rsid w:val="00980C16"/>
    <w:pPr>
      <w:tabs>
        <w:tab w:val="center" w:pos="4320"/>
        <w:tab w:val="right" w:pos="8640"/>
      </w:tabs>
      <w:spacing w:after="0" w:line="240" w:lineRule="auto"/>
    </w:pPr>
  </w:style>
  <w:style w:type="character" w:customStyle="1" w:styleId="Char">
    <w:name w:val="页眉 Char"/>
    <w:basedOn w:val="a0"/>
    <w:link w:val="a4"/>
    <w:uiPriority w:val="99"/>
    <w:rsid w:val="00980C16"/>
  </w:style>
  <w:style w:type="paragraph" w:styleId="a5">
    <w:name w:val="footer"/>
    <w:basedOn w:val="a"/>
    <w:link w:val="Char0"/>
    <w:uiPriority w:val="99"/>
    <w:unhideWhenUsed/>
    <w:rsid w:val="00980C16"/>
    <w:pPr>
      <w:tabs>
        <w:tab w:val="center" w:pos="4320"/>
        <w:tab w:val="right" w:pos="8640"/>
      </w:tabs>
      <w:spacing w:after="0" w:line="240" w:lineRule="auto"/>
    </w:pPr>
  </w:style>
  <w:style w:type="character" w:customStyle="1" w:styleId="Char0">
    <w:name w:val="页脚 Char"/>
    <w:basedOn w:val="a0"/>
    <w:link w:val="a5"/>
    <w:uiPriority w:val="99"/>
    <w:rsid w:val="00980C16"/>
  </w:style>
  <w:style w:type="paragraph" w:styleId="a6">
    <w:name w:val="List Paragraph"/>
    <w:basedOn w:val="a"/>
    <w:uiPriority w:val="34"/>
    <w:qFormat/>
    <w:rsid w:val="00C3061E"/>
    <w:pPr>
      <w:ind w:left="720"/>
      <w:contextualSpacing/>
    </w:pPr>
  </w:style>
  <w:style w:type="character" w:styleId="a7">
    <w:name w:val="Hyperlink"/>
    <w:basedOn w:val="a0"/>
    <w:uiPriority w:val="99"/>
    <w:unhideWhenUsed/>
    <w:rsid w:val="00C306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25205.htm" TargetMode="External"/><Relationship Id="rId3" Type="http://schemas.openxmlformats.org/officeDocument/2006/relationships/settings" Target="settings.xml"/><Relationship Id="rId7" Type="http://schemas.openxmlformats.org/officeDocument/2006/relationships/hyperlink" Target="http://www.jianghuairc.com/maanshan/sal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115958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450</Words>
  <Characters>2569</Characters>
  <Application>Microsoft Office Word</Application>
  <DocSecurity>0</DocSecurity>
  <Lines>21</Lines>
  <Paragraphs>6</Paragraphs>
  <ScaleCrop>false</ScaleCrop>
  <Company>Tsinghua University</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9</cp:revision>
  <dcterms:created xsi:type="dcterms:W3CDTF">2015-10-30T12:53:00Z</dcterms:created>
  <dcterms:modified xsi:type="dcterms:W3CDTF">2015-10-31T07:50:00Z</dcterms:modified>
</cp:coreProperties>
</file>