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ТЗ</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Получение стоимости от сторонней системы</w:t>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Сценарий</w:t>
      </w:r>
    </w:p>
    <w:p w:rsidR="00000000" w:rsidDel="00000000" w:rsidP="00000000" w:rsidRDefault="00000000" w:rsidRPr="00000000" w14:paraId="0000000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color w:val="00000a"/>
          <w:sz w:val="20"/>
          <w:szCs w:val="20"/>
          <w:rtl w:val="0"/>
        </w:rPr>
        <w:t xml:space="preserve">При каждом выборе параметра печати в калькуляторе данные передаются на сервер FAP;</w:t>
      </w:r>
    </w:p>
    <w:p w:rsidR="00000000" w:rsidDel="00000000" w:rsidP="00000000" w:rsidRDefault="00000000" w:rsidRPr="00000000" w14:paraId="00000008">
      <w:pPr>
        <w:numPr>
          <w:ilvl w:val="0"/>
          <w:numId w:val="1"/>
        </w:numPr>
        <w:ind w:left="720" w:hanging="360"/>
        <w:rPr>
          <w:rFonts w:ascii="Verdana" w:cs="Verdana" w:eastAsia="Verdana" w:hAnsi="Verdana"/>
          <w:color w:val="00000a"/>
          <w:sz w:val="20"/>
          <w:szCs w:val="20"/>
          <w:u w:val="none"/>
        </w:rPr>
      </w:pPr>
      <w:r w:rsidDel="00000000" w:rsidR="00000000" w:rsidRPr="00000000">
        <w:rPr>
          <w:rFonts w:ascii="Verdana" w:cs="Verdana" w:eastAsia="Verdana" w:hAnsi="Verdana"/>
          <w:color w:val="00000a"/>
          <w:sz w:val="20"/>
          <w:szCs w:val="20"/>
          <w:rtl w:val="0"/>
        </w:rPr>
        <w:t xml:space="preserve">После того как отправлен запрос на расчет, заблокировать возможность выбора параметров калькулятора до получения ответа. При наведении на заблокированный элемент отображать тултип “Ожидание расчета стоимости”. Справа сверху появляется снекбар “Рассчитываем стоимость” и исчезает в момент получения цены;</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ответ сервер FAP отправляет массив из максимум трех элементов: срок</w:t>
      </w:r>
      <w:r w:rsidDel="00000000" w:rsidR="00000000" w:rsidRPr="00000000">
        <w:rPr>
          <w:rFonts w:ascii="Verdana" w:cs="Verdana" w:eastAsia="Verdana" w:hAnsi="Verdana"/>
          <w:sz w:val="20"/>
          <w:szCs w:val="20"/>
          <w:rtl w:val="0"/>
        </w:rPr>
        <w:t xml:space="preserve">. Элемент массива тираж в свою очередь может содержать неограниченное количество параметров: тираж, стоимость;</w:t>
      </w:r>
    </w:p>
    <w:p w:rsidR="00000000" w:rsidDel="00000000" w:rsidP="00000000" w:rsidRDefault="00000000" w:rsidRPr="00000000" w14:paraId="0000000A">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в течение N сек не пришел ответ, появляется модальное окно с текстом: “Расчет стоимости затянулся. Ожидайте или повторите позже.” Через L сек прекратить отправлять запросы;</w:t>
      </w:r>
    </w:p>
    <w:p w:rsidR="00000000" w:rsidDel="00000000" w:rsidP="00000000" w:rsidRDefault="00000000" w:rsidRPr="00000000" w14:paraId="0000000B">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Кешировать все запросы в течении N часов (¼ суток);</w:t>
      </w:r>
    </w:p>
    <w:p w:rsidR="00000000" w:rsidDel="00000000" w:rsidP="00000000" w:rsidRDefault="00000000" w:rsidRPr="00000000" w14:paraId="0000000C">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Сделать в интеграции возможность сброса кэша;</w:t>
      </w:r>
    </w:p>
    <w:p w:rsidR="00000000" w:rsidDel="00000000" w:rsidP="00000000" w:rsidRDefault="00000000" w:rsidRPr="00000000" w14:paraId="0000000D">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корзине предусмотреть возможность редактировать наименования товара для отображения в счете.</w:t>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Новый скрытый модуль «Расчет стоимости от FAP»</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В Админ-панели в разделе «Настройки → Интеграции → CRM / АСУП» добавляется новая интеграция «</w:t>
      </w:r>
      <w:r w:rsidDel="00000000" w:rsidR="00000000" w:rsidRPr="00000000">
        <w:rPr>
          <w:rFonts w:ascii="Verdana" w:cs="Verdana" w:eastAsia="Verdana" w:hAnsi="Verdana"/>
          <w:sz w:val="20"/>
          <w:szCs w:val="20"/>
          <w:rtl w:val="0"/>
        </w:rPr>
        <w:t xml:space="preserve">Расчет стоимости от FAP</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Поля для ввода данных интеграции:</w:t>
      </w:r>
    </w:p>
    <w:p w:rsidR="00000000" w:rsidDel="00000000" w:rsidP="00000000" w:rsidRDefault="00000000" w:rsidRPr="00000000" w14:paraId="00000014">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Наименование интеграции</w:t>
      </w:r>
    </w:p>
    <w:p w:rsidR="00000000" w:rsidDel="00000000" w:rsidP="00000000" w:rsidRDefault="00000000" w:rsidRPr="00000000" w14:paraId="00000015">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Ключ API</w:t>
      </w:r>
    </w:p>
    <w:p w:rsidR="00000000" w:rsidDel="00000000" w:rsidP="00000000" w:rsidRDefault="00000000" w:rsidRPr="00000000" w14:paraId="00000016">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Ссылка для запроса</w:t>
      </w:r>
    </w:p>
    <w:p w:rsidR="00000000" w:rsidDel="00000000" w:rsidP="00000000" w:rsidRDefault="00000000" w:rsidRPr="00000000" w14:paraId="00000017">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Выбор продуктов</w:t>
      </w:r>
    </w:p>
    <w:p w:rsidR="00000000" w:rsidDel="00000000" w:rsidP="00000000" w:rsidRDefault="00000000" w:rsidRPr="00000000" w14:paraId="00000018">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Таймаут для отображения модалки (макс. возможное значение 120 сек)</w:t>
      </w:r>
    </w:p>
    <w:p w:rsidR="00000000" w:rsidDel="00000000" w:rsidP="00000000" w:rsidRDefault="00000000" w:rsidRPr="00000000" w14:paraId="00000019">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Таймаут для прерывания запросов (макс. возможное значение 120 сек)</w:t>
      </w:r>
    </w:p>
    <w:p w:rsidR="00000000" w:rsidDel="00000000" w:rsidP="00000000" w:rsidRDefault="00000000" w:rsidRPr="00000000" w14:paraId="0000001A">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Кнопка сброса кэша запросов</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tl w:val="0"/>
        </w:rPr>
      </w:r>
    </w:p>
    <w:tbl>
      <w:tblPr>
        <w:tblStyle w:val="Table1"/>
        <w:tblpPr w:leftFromText="180" w:rightFromText="180" w:topFromText="180" w:bottomFromText="180" w:vertAnchor="text" w:horzAnchor="text" w:tblpX="0" w:tblpY="8.27441406249909"/>
        <w:tblW w:w="8819.14960629921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4.7874015748034"/>
        <w:gridCol w:w="2204.7874015748034"/>
        <w:gridCol w:w="2204.7874015748034"/>
        <w:gridCol w:w="2204.7874015748034"/>
        <w:tblGridChange w:id="0">
          <w:tblGrid>
            <w:gridCol w:w="2204.7874015748034"/>
            <w:gridCol w:w="2204.7874015748034"/>
            <w:gridCol w:w="2204.7874015748034"/>
            <w:gridCol w:w="2204.7874015748034"/>
          </w:tblGrid>
        </w:tblGridChange>
      </w:tblGrid>
      <w:tr>
        <w:trPr>
          <w:cantSplit w:val="0"/>
          <w:trHeight w:val="396.85039370078744" w:hRule="atLeast"/>
          <w:tblHeader w:val="1"/>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F">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Должность</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0">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Ставка</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1">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Чел/часов</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2">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Стоимость</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3">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Руководитель проекта</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4">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2 500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5">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18,40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6">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46 000</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7">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Ведущий разработчик</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8">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3 000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9">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9,20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A">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27 600</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B">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Разработчик</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C">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2 500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D">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E">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137 500</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F">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Верстальщик</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0">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2 500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1">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2">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3">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Тестировщик</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4">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1 900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5">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13,80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6">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26 220</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7">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UI/UX дизайнер</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8">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3 000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9">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A">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tc>
      </w:tr>
      <w:tr>
        <w:trPr>
          <w:cantSplit w:val="0"/>
          <w:trHeight w:val="175.18110236220474"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B">
            <w:pPr>
              <w:spacing w:after="240" w:before="240"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Инженер по внедрению</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C">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1 900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D">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E">
            <w:pPr>
              <w:spacing w:after="240" w:before="240"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tc>
      </w:tr>
      <w:tr>
        <w:trPr>
          <w:cantSplit w:val="0"/>
          <w:trHeight w:val="175.18110236220474"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3F">
            <w:pPr>
              <w:spacing w:after="240" w:before="240" w:line="240" w:lineRule="auto"/>
              <w:jc w:val="righ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ИТОГО</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2">
            <w:pPr>
              <w:spacing w:after="240" w:before="240"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237 320</w:t>
            </w:r>
          </w:p>
        </w:tc>
      </w:tr>
    </w:tbl>
    <w:p w:rsidR="00000000" w:rsidDel="00000000" w:rsidP="00000000" w:rsidRDefault="00000000" w:rsidRPr="00000000" w14:paraId="0000004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Стоимость разработки 237 320 (Двести тридцать семь тысяч триста двадцать) рублей 00 копеек.</w:t>
      </w:r>
    </w:p>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Срок реализации 10 рабочих дней.</w:t>
      </w:r>
    </w:p>
    <w:p w:rsidR="00000000" w:rsidDel="00000000" w:rsidP="00000000" w:rsidRDefault="00000000" w:rsidRPr="00000000" w14:paraId="0000005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