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
        <w:ind w:left="0"/>
        <w:jc w:val="left"/>
        <w:rPr>
          <w:sz w:val="19"/>
        </w:rPr>
      </w:pPr>
    </w:p>
    <w:p>
      <w:pPr>
        <w:spacing w:line="240" w:lineRule="auto"/>
        <w:ind w:left="7605" w:right="0" w:firstLine="0"/>
        <w:rPr>
          <w:sz w:val="20"/>
        </w:rPr>
      </w:pPr>
      <w:r>
        <w:rPr>
          <w:sz w:val="20"/>
        </w:rPr>
        <w:drawing>
          <wp:inline distT="0" distB="0" distL="0" distR="0">
            <wp:extent cx="1047750" cy="101917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47750" cy="1019175"/>
                    </a:xfrm>
                    <a:prstGeom prst="rect">
                      <a:avLst/>
                    </a:prstGeom>
                  </pic:spPr>
                </pic:pic>
              </a:graphicData>
            </a:graphic>
          </wp:inline>
        </w:drawing>
      </w:r>
      <w:r>
        <w:rPr>
          <w:sz w:val="20"/>
        </w:rPr>
      </w:r>
    </w:p>
    <w:p>
      <w:pPr>
        <w:pStyle w:val="BodyText"/>
        <w:spacing w:before="0"/>
        <w:ind w:left="0"/>
        <w:jc w:val="left"/>
        <w:rPr>
          <w:sz w:val="20"/>
        </w:rPr>
      </w:pPr>
    </w:p>
    <w:p>
      <w:pPr>
        <w:pStyle w:val="BodyText"/>
        <w:spacing w:before="26"/>
        <w:ind w:left="0"/>
        <w:jc w:val="left"/>
        <w:rPr>
          <w:sz w:val="20"/>
        </w:rPr>
      </w:pPr>
      <w:r>
        <w:rPr>
          <w:sz w:val="20"/>
        </w:rPr>
        <w:drawing>
          <wp:anchor distT="0" distB="0" distL="0" distR="0" allowOverlap="1" layoutInCell="1" locked="0" behindDoc="1" simplePos="0" relativeHeight="487587840">
            <wp:simplePos x="0" y="0"/>
            <wp:positionH relativeFrom="page">
              <wp:posOffset>2724149</wp:posOffset>
            </wp:positionH>
            <wp:positionV relativeFrom="paragraph">
              <wp:posOffset>177812</wp:posOffset>
            </wp:positionV>
            <wp:extent cx="4063854" cy="5715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063854" cy="57150"/>
                    </a:xfrm>
                    <a:prstGeom prst="rect">
                      <a:avLst/>
                    </a:prstGeom>
                  </pic:spPr>
                </pic:pic>
              </a:graphicData>
            </a:graphic>
          </wp:anchor>
        </w:drawing>
      </w:r>
    </w:p>
    <w:p>
      <w:pPr>
        <w:spacing w:line="244" w:lineRule="auto" w:before="264"/>
        <w:ind w:left="2996" w:right="97" w:firstLine="2871"/>
        <w:jc w:val="right"/>
        <w:rPr>
          <w:rFonts w:ascii="Arial"/>
          <w:sz w:val="55"/>
        </w:rPr>
      </w:pPr>
      <w:r>
        <w:rPr>
          <w:rFonts w:ascii="Arial"/>
          <w:spacing w:val="-2"/>
          <w:sz w:val="55"/>
        </w:rPr>
        <w:t>Osteoporosis: </w:t>
      </w:r>
      <w:r>
        <w:rPr>
          <w:rFonts w:ascii="Arial"/>
          <w:sz w:val="55"/>
        </w:rPr>
        <w:t>Prevalence,</w:t>
      </w:r>
      <w:r>
        <w:rPr>
          <w:rFonts w:ascii="Arial"/>
          <w:spacing w:val="-10"/>
          <w:sz w:val="55"/>
        </w:rPr>
        <w:t> </w:t>
      </w:r>
      <w:r>
        <w:rPr>
          <w:rFonts w:ascii="Arial"/>
          <w:sz w:val="55"/>
        </w:rPr>
        <w:t>Risk</w:t>
      </w:r>
      <w:r>
        <w:rPr>
          <w:rFonts w:ascii="Arial"/>
          <w:spacing w:val="-7"/>
          <w:sz w:val="55"/>
        </w:rPr>
        <w:t> </w:t>
      </w:r>
      <w:r>
        <w:rPr>
          <w:rFonts w:ascii="Arial"/>
          <w:spacing w:val="-2"/>
          <w:sz w:val="55"/>
        </w:rPr>
        <w:t>Factors,</w:t>
      </w:r>
    </w:p>
    <w:p>
      <w:pPr>
        <w:spacing w:before="0"/>
        <w:ind w:left="99" w:right="97" w:firstLine="0"/>
        <w:jc w:val="right"/>
        <w:rPr>
          <w:rFonts w:ascii="Arial"/>
          <w:sz w:val="55"/>
        </w:rPr>
      </w:pPr>
      <w:r>
        <w:rPr>
          <w:rFonts w:ascii="Arial"/>
          <w:sz w:val="55"/>
        </w:rPr>
        <mc:AlternateContent>
          <mc:Choice Requires="wps">
            <w:drawing>
              <wp:anchor distT="0" distB="0" distL="0" distR="0" allowOverlap="1" layoutInCell="1" locked="0" behindDoc="0" simplePos="0" relativeHeight="15730176">
                <wp:simplePos x="0" y="0"/>
                <wp:positionH relativeFrom="page">
                  <wp:posOffset>981075</wp:posOffset>
                </wp:positionH>
                <wp:positionV relativeFrom="paragraph">
                  <wp:posOffset>-1205985</wp:posOffset>
                </wp:positionV>
                <wp:extent cx="647700" cy="7239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47700" cy="723900"/>
                        </a:xfrm>
                        <a:prstGeom prst="rect">
                          <a:avLst/>
                        </a:prstGeom>
                        <a:solidFill>
                          <a:srgbClr val="297E6E"/>
                        </a:solidFill>
                      </wps:spPr>
                      <wps:txbx>
                        <w:txbxContent>
                          <w:p>
                            <w:pPr>
                              <w:spacing w:before="277"/>
                              <w:ind w:left="174" w:right="0" w:firstLine="0"/>
                              <w:jc w:val="left"/>
                              <w:rPr>
                                <w:rFonts w:ascii="Arial"/>
                                <w:color w:val="000000"/>
                                <w:sz w:val="60"/>
                              </w:rPr>
                            </w:pPr>
                            <w:r>
                              <w:rPr>
                                <w:rFonts w:ascii="Arial"/>
                                <w:color w:val="FFFFFF"/>
                                <w:spacing w:val="-5"/>
                                <w:sz w:val="60"/>
                              </w:rPr>
                              <w:t>23</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7.25pt;margin-top:-94.959526pt;width:51pt;height:57pt;mso-position-horizontal-relative:page;mso-position-vertical-relative:paragraph;z-index:15730176" type="#_x0000_t202" id="docshape1" filled="true" fillcolor="#297e6e" stroked="false">
                <v:textbox inset="0,0,0,0">
                  <w:txbxContent>
                    <w:p>
                      <w:pPr>
                        <w:spacing w:before="277"/>
                        <w:ind w:left="174" w:right="0" w:firstLine="0"/>
                        <w:jc w:val="left"/>
                        <w:rPr>
                          <w:rFonts w:ascii="Arial"/>
                          <w:color w:val="000000"/>
                          <w:sz w:val="60"/>
                        </w:rPr>
                      </w:pPr>
                      <w:r>
                        <w:rPr>
                          <w:rFonts w:ascii="Arial"/>
                          <w:color w:val="FFFFFF"/>
                          <w:spacing w:val="-5"/>
                          <w:sz w:val="60"/>
                        </w:rPr>
                        <w:t>23</w:t>
                      </w:r>
                    </w:p>
                  </w:txbxContent>
                </v:textbox>
                <v:fill type="solid"/>
                <w10:wrap type="none"/>
              </v:shape>
            </w:pict>
          </mc:Fallback>
        </mc:AlternateContent>
      </w:r>
      <w:r>
        <w:rPr>
          <w:rFonts w:ascii="Arial"/>
          <w:sz w:val="55"/>
        </w:rPr>
        <w:t>and</w:t>
      </w:r>
      <w:r>
        <w:rPr>
          <w:rFonts w:ascii="Arial"/>
          <w:spacing w:val="-3"/>
          <w:sz w:val="55"/>
        </w:rPr>
        <w:t> </w:t>
      </w:r>
      <w:r>
        <w:rPr>
          <w:rFonts w:ascii="Arial"/>
          <w:spacing w:val="-2"/>
          <w:sz w:val="55"/>
        </w:rPr>
        <w:t>Management</w:t>
      </w:r>
    </w:p>
    <w:p>
      <w:pPr>
        <w:pStyle w:val="BodyText"/>
        <w:spacing w:before="0"/>
        <w:ind w:left="0"/>
        <w:jc w:val="left"/>
        <w:rPr>
          <w:rFonts w:ascii="Arial"/>
          <w:sz w:val="20"/>
        </w:rPr>
      </w:pPr>
    </w:p>
    <w:p>
      <w:pPr>
        <w:pStyle w:val="BodyText"/>
        <w:spacing w:before="0"/>
        <w:ind w:left="0"/>
        <w:jc w:val="left"/>
        <w:rPr>
          <w:rFonts w:ascii="Arial"/>
          <w:sz w:val="20"/>
        </w:rPr>
      </w:pPr>
    </w:p>
    <w:p>
      <w:pPr>
        <w:pStyle w:val="BodyText"/>
        <w:spacing w:before="0"/>
        <w:ind w:left="0"/>
        <w:jc w:val="left"/>
        <w:rPr>
          <w:rFonts w:ascii="Arial"/>
          <w:sz w:val="20"/>
        </w:rPr>
      </w:pPr>
    </w:p>
    <w:p>
      <w:pPr>
        <w:pStyle w:val="BodyText"/>
        <w:spacing w:before="0"/>
        <w:ind w:left="0"/>
        <w:jc w:val="left"/>
        <w:rPr>
          <w:rFonts w:ascii="Arial"/>
          <w:sz w:val="20"/>
        </w:rPr>
      </w:pPr>
    </w:p>
    <w:p>
      <w:pPr>
        <w:pStyle w:val="BodyText"/>
        <w:spacing w:before="0"/>
        <w:ind w:left="0"/>
        <w:jc w:val="left"/>
        <w:rPr>
          <w:rFonts w:ascii="Arial"/>
          <w:sz w:val="20"/>
        </w:rPr>
      </w:pPr>
    </w:p>
    <w:p>
      <w:pPr>
        <w:pStyle w:val="BodyText"/>
        <w:spacing w:before="0"/>
        <w:ind w:left="0"/>
        <w:jc w:val="left"/>
        <w:rPr>
          <w:rFonts w:ascii="Arial"/>
          <w:sz w:val="20"/>
        </w:rPr>
      </w:pPr>
    </w:p>
    <w:p>
      <w:pPr>
        <w:pStyle w:val="BodyText"/>
        <w:spacing w:before="34"/>
        <w:ind w:left="0"/>
        <w:jc w:val="left"/>
        <w:rPr>
          <w:rFonts w:ascii="Arial"/>
          <w:sz w:val="20"/>
        </w:rPr>
      </w:pPr>
      <w:r>
        <w:rPr>
          <w:rFonts w:ascii="Arial"/>
          <w:sz w:val="20"/>
        </w:rPr>
        <mc:AlternateContent>
          <mc:Choice Requires="wps">
            <w:drawing>
              <wp:anchor distT="0" distB="0" distL="0" distR="0" allowOverlap="1" layoutInCell="1" locked="0" behindDoc="1" simplePos="0" relativeHeight="487588352">
                <wp:simplePos x="0" y="0"/>
                <wp:positionH relativeFrom="page">
                  <wp:posOffset>981075</wp:posOffset>
                </wp:positionH>
                <wp:positionV relativeFrom="paragraph">
                  <wp:posOffset>183185</wp:posOffset>
                </wp:positionV>
                <wp:extent cx="285750" cy="5715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285750" cy="57150"/>
                        </a:xfrm>
                        <a:custGeom>
                          <a:avLst/>
                          <a:gdLst/>
                          <a:ahLst/>
                          <a:cxnLst/>
                          <a:rect l="l" t="t" r="r" b="b"/>
                          <a:pathLst>
                            <a:path w="285750" h="57150">
                              <a:moveTo>
                                <a:pt x="32364" y="57149"/>
                              </a:moveTo>
                              <a:lnTo>
                                <a:pt x="24785" y="57149"/>
                              </a:lnTo>
                              <a:lnTo>
                                <a:pt x="21140" y="56424"/>
                              </a:lnTo>
                              <a:lnTo>
                                <a:pt x="0" y="32364"/>
                              </a:lnTo>
                              <a:lnTo>
                                <a:pt x="0" y="24785"/>
                              </a:lnTo>
                              <a:lnTo>
                                <a:pt x="24785" y="0"/>
                              </a:lnTo>
                              <a:lnTo>
                                <a:pt x="32364" y="0"/>
                              </a:lnTo>
                              <a:lnTo>
                                <a:pt x="57149" y="24785"/>
                              </a:lnTo>
                              <a:lnTo>
                                <a:pt x="57149" y="32364"/>
                              </a:lnTo>
                              <a:lnTo>
                                <a:pt x="32364" y="57149"/>
                              </a:lnTo>
                              <a:close/>
                            </a:path>
                            <a:path w="285750" h="57150">
                              <a:moveTo>
                                <a:pt x="146569" y="57149"/>
                              </a:moveTo>
                              <a:lnTo>
                                <a:pt x="138990" y="57149"/>
                              </a:lnTo>
                              <a:lnTo>
                                <a:pt x="135345" y="56424"/>
                              </a:lnTo>
                              <a:lnTo>
                                <a:pt x="114204" y="32364"/>
                              </a:lnTo>
                              <a:lnTo>
                                <a:pt x="114204" y="24785"/>
                              </a:lnTo>
                              <a:lnTo>
                                <a:pt x="138990" y="0"/>
                              </a:lnTo>
                              <a:lnTo>
                                <a:pt x="146569" y="0"/>
                              </a:lnTo>
                              <a:lnTo>
                                <a:pt x="171354" y="24785"/>
                              </a:lnTo>
                              <a:lnTo>
                                <a:pt x="171354" y="32364"/>
                              </a:lnTo>
                              <a:lnTo>
                                <a:pt x="146569" y="57149"/>
                              </a:lnTo>
                              <a:close/>
                            </a:path>
                            <a:path w="285750" h="57150">
                              <a:moveTo>
                                <a:pt x="260773" y="57149"/>
                              </a:moveTo>
                              <a:lnTo>
                                <a:pt x="253195" y="57149"/>
                              </a:lnTo>
                              <a:lnTo>
                                <a:pt x="249550" y="56424"/>
                              </a:lnTo>
                              <a:lnTo>
                                <a:pt x="228409" y="32364"/>
                              </a:lnTo>
                              <a:lnTo>
                                <a:pt x="228409" y="24785"/>
                              </a:lnTo>
                              <a:lnTo>
                                <a:pt x="253195" y="0"/>
                              </a:lnTo>
                              <a:lnTo>
                                <a:pt x="260773" y="0"/>
                              </a:lnTo>
                              <a:lnTo>
                                <a:pt x="285559" y="24785"/>
                              </a:lnTo>
                              <a:lnTo>
                                <a:pt x="285559" y="32364"/>
                              </a:lnTo>
                              <a:lnTo>
                                <a:pt x="260773" y="57149"/>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14.424016pt;width:22.5pt;height:4.5pt;mso-position-horizontal-relative:page;mso-position-vertical-relative:paragraph;z-index:-15728128;mso-wrap-distance-left:0;mso-wrap-distance-right:0" id="docshape2" coordorigin="1545,288" coordsize="450,90" path="m1596,378l1584,378,1578,377,1567,373,1562,370,1554,361,1551,356,1546,345,1545,339,1545,328,1546,322,1551,311,1554,306,1562,297,1567,294,1578,290,1584,288,1596,288,1602,290,1613,294,1618,297,1626,306,1629,311,1634,322,1635,328,1635,339,1634,345,1629,356,1626,361,1618,370,1613,373,1602,377,1596,378xm1776,378l1764,378,1758,377,1747,373,1742,370,1734,361,1731,356,1726,345,1725,339,1725,328,1726,322,1731,311,1734,306,1742,297,1747,294,1758,290,1764,288,1776,288,1782,290,1793,294,1797,297,1806,306,1809,311,1814,322,1815,328,1815,339,1814,345,1809,356,1806,361,1797,370,1793,373,1782,377,1776,378xm1956,378l1944,378,1938,377,1927,373,1922,370,1914,361,1910,356,1906,345,1905,339,1905,328,1906,322,1910,311,1914,306,1922,297,1927,294,1938,290,1944,288,1956,288,1961,290,1972,294,1977,297,1986,306,1989,311,1994,322,1995,328,1995,339,1994,345,1989,356,1986,361,1977,370,1972,373,1961,377,1956,378xe" filled="true" fillcolor="#bdb4d4" stroked="false">
                <v:path arrowok="t"/>
                <v:fill type="solid"/>
                <w10:wrap type="topAndBottom"/>
              </v:shape>
            </w:pict>
          </mc:Fallback>
        </mc:AlternateContent>
      </w:r>
    </w:p>
    <w:p>
      <w:pPr>
        <w:spacing w:before="93"/>
        <w:ind w:left="99" w:right="0" w:firstLine="0"/>
        <w:jc w:val="both"/>
        <w:rPr>
          <w:b/>
          <w:sz w:val="30"/>
        </w:rPr>
      </w:pPr>
      <w:r>
        <w:rPr>
          <w:rFonts w:ascii="Arial"/>
          <w:b/>
          <w:color w:val="534089"/>
          <w:sz w:val="30"/>
        </w:rPr>
        <w:t>OSTEOPOROSIS</w:t>
      </w:r>
      <w:r>
        <w:rPr>
          <w:rFonts w:ascii="Arial"/>
          <w:b/>
          <w:color w:val="534089"/>
          <w:spacing w:val="-1"/>
          <w:sz w:val="30"/>
        </w:rPr>
        <w:t> </w:t>
      </w:r>
      <w:r>
        <w:rPr>
          <w:b/>
          <w:color w:val="2B816F"/>
          <w:sz w:val="30"/>
        </w:rPr>
        <w:t>(FIGURE </w:t>
      </w:r>
      <w:r>
        <w:rPr>
          <w:b/>
          <w:color w:val="2B816F"/>
          <w:spacing w:val="-2"/>
          <w:sz w:val="30"/>
        </w:rPr>
        <w:t>23.1A,B)</w:t>
      </w:r>
    </w:p>
    <w:p>
      <w:pPr>
        <w:pStyle w:val="BodyText"/>
        <w:spacing w:before="0"/>
        <w:ind w:left="0"/>
        <w:jc w:val="left"/>
        <w:rPr>
          <w:b/>
          <w:sz w:val="4"/>
        </w:rPr>
      </w:pPr>
      <w:r>
        <w:rPr>
          <w:b/>
          <w:sz w:val="4"/>
        </w:rPr>
        <mc:AlternateContent>
          <mc:Choice Requires="wps">
            <w:drawing>
              <wp:anchor distT="0" distB="0" distL="0" distR="0" allowOverlap="1" layoutInCell="1" locked="0" behindDoc="1" simplePos="0" relativeHeight="487588864">
                <wp:simplePos x="0" y="0"/>
                <wp:positionH relativeFrom="page">
                  <wp:posOffset>981075</wp:posOffset>
                </wp:positionH>
                <wp:positionV relativeFrom="paragraph">
                  <wp:posOffset>44901</wp:posOffset>
                </wp:positionV>
                <wp:extent cx="5810250" cy="1905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a:graphicData>
                </a:graphic>
              </wp:anchor>
            </w:drawing>
          </mc:Choice>
          <mc:Fallback>
            <w:pict>
              <v:rect style="position:absolute;margin-left:77.25pt;margin-top:3.535554pt;width:457.499964pt;height:1.5pt;mso-position-horizontal-relative:page;mso-position-vertical-relative:paragraph;z-index:-15727616;mso-wrap-distance-left:0;mso-wrap-distance-right:0" id="docshape3" filled="true" fillcolor="#534089" stroked="false">
                <v:fill type="solid"/>
                <w10:wrap type="topAndBottom"/>
              </v:rect>
            </w:pict>
          </mc:Fallback>
        </mc:AlternateContent>
      </w:r>
    </w:p>
    <w:p>
      <w:pPr>
        <w:pStyle w:val="BodyText"/>
        <w:spacing w:line="249" w:lineRule="auto" w:before="215"/>
        <w:ind w:right="98"/>
      </w:pPr>
      <w:r>
        <w:rPr/>
        <w:t>Bone is a very active organ. A continuous process, called bone remodeling, involves constant resorption (osteoclastic activity) and bone formation (osteoblastic activity) (</w:t>
      </w:r>
      <w:r>
        <w:rPr>
          <w:b/>
          <w:color w:val="256E60"/>
        </w:rPr>
        <w:t>Figure 23.2</w:t>
      </w:r>
      <w:r>
        <w:rPr/>
        <w:t>). Both osteoblasts and osteoclasts are derived from bone marrow progenitors: osteoblasts from mesenchymal</w:t>
      </w:r>
      <w:r>
        <w:rPr>
          <w:spacing w:val="40"/>
        </w:rPr>
        <w:t> </w:t>
      </w:r>
      <w:r>
        <w:rPr/>
        <w:t>stem cells and osteoclasts from hematopoietic white cell lineage. </w:t>
      </w:r>
      <w:r>
        <w:rPr/>
        <w:t>Cytokines are involved in this development process of bone turnover, which is regulated by the sex steroids. A system of cross-talk exists between the bone-forming osteoblasts and the bone-resorbing osteoclasts, with many autocrine, intracrine, and paracrine signals, among which receptor activator of nuclear factor kappa B ligand (RANKL), osteoprotegerin (OPG), cathepsin, and sclerostin are prominent.</w:t>
      </w:r>
    </w:p>
    <w:p>
      <w:pPr>
        <w:pStyle w:val="BodyText"/>
        <w:spacing w:line="249" w:lineRule="auto" w:before="13"/>
        <w:ind w:right="97" w:firstLine="450"/>
      </w:pPr>
      <w:r>
        <w:rPr/>
        <w:t>The</w:t>
      </w:r>
      <w:r>
        <w:rPr>
          <w:spacing w:val="-1"/>
        </w:rPr>
        <w:t> </w:t>
      </w:r>
      <w:r>
        <w:rPr/>
        <w:t>amount</w:t>
      </w:r>
      <w:r>
        <w:rPr>
          <w:spacing w:val="-1"/>
        </w:rPr>
        <w:t> </w:t>
      </w:r>
      <w:r>
        <w:rPr/>
        <w:t>of</w:t>
      </w:r>
      <w:r>
        <w:rPr>
          <w:spacing w:val="-1"/>
        </w:rPr>
        <w:t> </w:t>
      </w:r>
      <w:r>
        <w:rPr/>
        <w:t>bone</w:t>
      </w:r>
      <w:r>
        <w:rPr>
          <w:spacing w:val="-1"/>
        </w:rPr>
        <w:t> </w:t>
      </w:r>
      <w:r>
        <w:rPr/>
        <w:t>mass</w:t>
      </w:r>
      <w:r>
        <w:rPr>
          <w:spacing w:val="-1"/>
        </w:rPr>
        <w:t> </w:t>
      </w:r>
      <w:r>
        <w:rPr/>
        <w:t>at</w:t>
      </w:r>
      <w:r>
        <w:rPr>
          <w:spacing w:val="-1"/>
        </w:rPr>
        <w:t> </w:t>
      </w:r>
      <w:r>
        <w:rPr/>
        <w:t>any</w:t>
      </w:r>
      <w:r>
        <w:rPr>
          <w:spacing w:val="-1"/>
        </w:rPr>
        <w:t> </w:t>
      </w:r>
      <w:r>
        <w:rPr/>
        <w:t>point</w:t>
      </w:r>
      <w:r>
        <w:rPr>
          <w:spacing w:val="-1"/>
        </w:rPr>
        <w:t> </w:t>
      </w:r>
      <w:r>
        <w:rPr/>
        <w:t>of</w:t>
      </w:r>
      <w:r>
        <w:rPr>
          <w:spacing w:val="-1"/>
        </w:rPr>
        <w:t> </w:t>
      </w:r>
      <w:r>
        <w:rPr/>
        <w:t>time</w:t>
      </w:r>
      <w:r>
        <w:rPr>
          <w:spacing w:val="-1"/>
        </w:rPr>
        <w:t> </w:t>
      </w:r>
      <w:r>
        <w:rPr/>
        <w:t>reflects</w:t>
      </w:r>
      <w:r>
        <w:rPr>
          <w:spacing w:val="-1"/>
        </w:rPr>
        <w:t> </w:t>
      </w:r>
      <w:r>
        <w:rPr/>
        <w:t>the</w:t>
      </w:r>
      <w:r>
        <w:rPr>
          <w:spacing w:val="-1"/>
        </w:rPr>
        <w:t> </w:t>
      </w:r>
      <w:r>
        <w:rPr/>
        <w:t>balance</w:t>
      </w:r>
      <w:r>
        <w:rPr>
          <w:spacing w:val="-1"/>
        </w:rPr>
        <w:t> </w:t>
      </w:r>
      <w:r>
        <w:rPr/>
        <w:t>of</w:t>
      </w:r>
      <w:r>
        <w:rPr>
          <w:spacing w:val="-1"/>
        </w:rPr>
        <w:t> </w:t>
      </w:r>
      <w:r>
        <w:rPr/>
        <w:t>the osteoblastic and osteoclastic forces, influenced by a multitude of</w:t>
      </w:r>
      <w:r>
        <w:rPr>
          <w:spacing w:val="40"/>
        </w:rPr>
        <w:t> </w:t>
      </w:r>
      <w:r>
        <w:rPr/>
        <w:t>stimulating and inhibiting agents. At puberty and during the early reproductive</w:t>
      </w:r>
      <w:r>
        <w:rPr>
          <w:spacing w:val="77"/>
        </w:rPr>
        <w:t> </w:t>
      </w:r>
      <w:r>
        <w:rPr/>
        <w:t>years,</w:t>
      </w:r>
      <w:r>
        <w:rPr>
          <w:spacing w:val="77"/>
        </w:rPr>
        <w:t> </w:t>
      </w:r>
      <w:r>
        <w:rPr/>
        <w:t>net</w:t>
      </w:r>
      <w:r>
        <w:rPr>
          <w:spacing w:val="77"/>
        </w:rPr>
        <w:t> </w:t>
      </w:r>
      <w:r>
        <w:rPr/>
        <w:t>bone</w:t>
      </w:r>
      <w:r>
        <w:rPr>
          <w:spacing w:val="77"/>
        </w:rPr>
        <w:t> </w:t>
      </w:r>
      <w:r>
        <w:rPr/>
        <w:t>gain</w:t>
      </w:r>
      <w:r>
        <w:rPr>
          <w:spacing w:val="77"/>
        </w:rPr>
        <w:t> </w:t>
      </w:r>
      <w:r>
        <w:rPr/>
        <w:t>occurs,</w:t>
      </w:r>
      <w:r>
        <w:rPr>
          <w:spacing w:val="77"/>
        </w:rPr>
        <w:t> </w:t>
      </w:r>
      <w:r>
        <w:rPr/>
        <w:t>whereas</w:t>
      </w:r>
      <w:r>
        <w:rPr>
          <w:spacing w:val="77"/>
        </w:rPr>
        <w:t> </w:t>
      </w:r>
      <w:r>
        <w:rPr/>
        <w:t>aging</w:t>
      </w:r>
      <w:r>
        <w:rPr>
          <w:spacing w:val="77"/>
        </w:rPr>
        <w:t> </w:t>
      </w:r>
      <w:r>
        <w:rPr/>
        <w:t>and</w:t>
      </w:r>
      <w:r>
        <w:rPr>
          <w:spacing w:val="77"/>
        </w:rPr>
        <w:t> </w:t>
      </w:r>
      <w:r>
        <w:rPr/>
        <w:t>a</w:t>
      </w:r>
      <w:r>
        <w:rPr>
          <w:spacing w:val="77"/>
        </w:rPr>
        <w:t> </w:t>
      </w:r>
      <w:r>
        <w:rPr/>
        <w:t>loss</w:t>
      </w:r>
      <w:r>
        <w:rPr>
          <w:spacing w:val="77"/>
        </w:rPr>
        <w:t> </w:t>
      </w:r>
      <w:r>
        <w:rPr>
          <w:spacing w:val="-5"/>
        </w:rPr>
        <w:t>of</w:t>
      </w:r>
    </w:p>
    <w:p>
      <w:pPr>
        <w:pStyle w:val="BodyText"/>
        <w:spacing w:after="0" w:line="249" w:lineRule="auto"/>
        <w:sectPr>
          <w:type w:val="continuous"/>
          <w:pgSz w:w="12240" w:h="15840"/>
          <w:pgMar w:top="1820" w:bottom="280" w:left="1440" w:right="1440"/>
        </w:sectPr>
      </w:pPr>
    </w:p>
    <w:p>
      <w:pPr>
        <w:pStyle w:val="BodyText"/>
        <w:spacing w:line="249" w:lineRule="auto"/>
        <w:ind w:right="98"/>
      </w:pPr>
      <w:r>
        <w:rPr/>
        <w:t>estrogen both lead to a dominance of osteoclastic activity and net bone loss (</w:t>
      </w:r>
      <w:r>
        <w:rPr>
          <w:b/>
          <w:color w:val="256E60"/>
        </w:rPr>
        <w:t>Figure 23.3</w:t>
      </w:r>
      <w:r>
        <w:rPr/>
        <w:t>). A decrease in calcium intake and/or absorption similarly results in bone loss, as this lowers the serum level of ionized </w:t>
      </w:r>
      <w:r>
        <w:rPr/>
        <w:t>calcium, resulting in stimulation of parathyroid hormone (PTH) secretion in efforts</w:t>
      </w:r>
      <w:r>
        <w:rPr>
          <w:spacing w:val="40"/>
        </w:rPr>
        <w:t> </w:t>
      </w:r>
      <w:r>
        <w:rPr/>
        <w:t>to mobilize calcium from bone by direct stimulation of osteoclastic activity, a phenomenon known as secondary hyperparathyroidism. Increased PTH also stimulates the hepatic and renal activation of vitamin D in efforts to increase serum levels of calcium through intestinal calcium absorption. A deficiency in estrogen is associated with a greater responsiveness of bone to PTH. Thus, for any given level of PTH when estrogen is deficient, there is more calcium removed from the bone, raising serum calcium, which, in turn, lowers circulating PTH and decreases vitamin D and intestinal absorption of calcium.</w:t>
      </w:r>
    </w:p>
    <w:p>
      <w:pPr>
        <w:pStyle w:val="BodyText"/>
        <w:spacing w:before="0"/>
        <w:ind w:left="0"/>
        <w:jc w:val="left"/>
        <w:rPr>
          <w:sz w:val="20"/>
        </w:rPr>
      </w:pPr>
    </w:p>
    <w:p>
      <w:pPr>
        <w:pStyle w:val="BodyText"/>
        <w:spacing w:before="127"/>
        <w:ind w:left="0"/>
        <w:jc w:val="left"/>
        <w:rPr>
          <w:sz w:val="20"/>
        </w:rPr>
      </w:pPr>
      <w:r>
        <w:rPr>
          <w:sz w:val="20"/>
        </w:rPr>
        <w:drawing>
          <wp:anchor distT="0" distB="0" distL="0" distR="0" allowOverlap="1" layoutInCell="1" locked="0" behindDoc="1" simplePos="0" relativeHeight="487589888">
            <wp:simplePos x="0" y="0"/>
            <wp:positionH relativeFrom="page">
              <wp:posOffset>981075</wp:posOffset>
            </wp:positionH>
            <wp:positionV relativeFrom="paragraph">
              <wp:posOffset>241944</wp:posOffset>
            </wp:positionV>
            <wp:extent cx="5818993" cy="1965102"/>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5818993" cy="196510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90400">
                <wp:simplePos x="0" y="0"/>
                <wp:positionH relativeFrom="page">
                  <wp:posOffset>981075</wp:posOffset>
                </wp:positionH>
                <wp:positionV relativeFrom="paragraph">
                  <wp:posOffset>2394594</wp:posOffset>
                </wp:positionV>
                <wp:extent cx="856615" cy="5715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856615" cy="57150"/>
                        </a:xfrm>
                        <a:custGeom>
                          <a:avLst/>
                          <a:gdLst/>
                          <a:ahLst/>
                          <a:cxnLst/>
                          <a:rect l="l" t="t" r="r" b="b"/>
                          <a:pathLst>
                            <a:path w="856615" h="57150">
                              <a:moveTo>
                                <a:pt x="32364" y="57148"/>
                              </a:moveTo>
                              <a:lnTo>
                                <a:pt x="24785" y="57148"/>
                              </a:lnTo>
                              <a:lnTo>
                                <a:pt x="21140" y="56422"/>
                              </a:lnTo>
                              <a:lnTo>
                                <a:pt x="0" y="32363"/>
                              </a:lnTo>
                              <a:lnTo>
                                <a:pt x="0" y="24785"/>
                              </a:lnTo>
                              <a:lnTo>
                                <a:pt x="24785" y="0"/>
                              </a:lnTo>
                              <a:lnTo>
                                <a:pt x="32364" y="0"/>
                              </a:lnTo>
                              <a:lnTo>
                                <a:pt x="57149" y="24785"/>
                              </a:lnTo>
                              <a:lnTo>
                                <a:pt x="57149" y="32363"/>
                              </a:lnTo>
                              <a:lnTo>
                                <a:pt x="32364" y="57148"/>
                              </a:lnTo>
                              <a:close/>
                            </a:path>
                            <a:path w="856615" h="57150">
                              <a:moveTo>
                                <a:pt x="146569" y="57148"/>
                              </a:moveTo>
                              <a:lnTo>
                                <a:pt x="138990" y="57148"/>
                              </a:lnTo>
                              <a:lnTo>
                                <a:pt x="135345" y="56422"/>
                              </a:lnTo>
                              <a:lnTo>
                                <a:pt x="114204" y="32363"/>
                              </a:lnTo>
                              <a:lnTo>
                                <a:pt x="114204" y="24785"/>
                              </a:lnTo>
                              <a:lnTo>
                                <a:pt x="138990" y="0"/>
                              </a:lnTo>
                              <a:lnTo>
                                <a:pt x="146569" y="0"/>
                              </a:lnTo>
                              <a:lnTo>
                                <a:pt x="171354" y="24785"/>
                              </a:lnTo>
                              <a:lnTo>
                                <a:pt x="171354" y="32363"/>
                              </a:lnTo>
                              <a:lnTo>
                                <a:pt x="146569" y="57148"/>
                              </a:lnTo>
                              <a:close/>
                            </a:path>
                            <a:path w="856615" h="57150">
                              <a:moveTo>
                                <a:pt x="260773" y="57148"/>
                              </a:moveTo>
                              <a:lnTo>
                                <a:pt x="253195" y="57148"/>
                              </a:lnTo>
                              <a:lnTo>
                                <a:pt x="249550" y="56422"/>
                              </a:lnTo>
                              <a:lnTo>
                                <a:pt x="228409" y="32363"/>
                              </a:lnTo>
                              <a:lnTo>
                                <a:pt x="228409" y="24785"/>
                              </a:lnTo>
                              <a:lnTo>
                                <a:pt x="253195" y="0"/>
                              </a:lnTo>
                              <a:lnTo>
                                <a:pt x="260773" y="0"/>
                              </a:lnTo>
                              <a:lnTo>
                                <a:pt x="285559" y="24785"/>
                              </a:lnTo>
                              <a:lnTo>
                                <a:pt x="285559" y="32363"/>
                              </a:lnTo>
                              <a:lnTo>
                                <a:pt x="260773" y="57148"/>
                              </a:lnTo>
                              <a:close/>
                            </a:path>
                            <a:path w="856615" h="57150">
                              <a:moveTo>
                                <a:pt x="374978" y="57148"/>
                              </a:moveTo>
                              <a:lnTo>
                                <a:pt x="367399" y="57148"/>
                              </a:lnTo>
                              <a:lnTo>
                                <a:pt x="363754" y="56422"/>
                              </a:lnTo>
                              <a:lnTo>
                                <a:pt x="342614" y="32363"/>
                              </a:lnTo>
                              <a:lnTo>
                                <a:pt x="342614" y="24785"/>
                              </a:lnTo>
                              <a:lnTo>
                                <a:pt x="367399" y="0"/>
                              </a:lnTo>
                              <a:lnTo>
                                <a:pt x="374978" y="0"/>
                              </a:lnTo>
                              <a:lnTo>
                                <a:pt x="399764" y="24785"/>
                              </a:lnTo>
                              <a:lnTo>
                                <a:pt x="399764" y="32363"/>
                              </a:lnTo>
                              <a:lnTo>
                                <a:pt x="374978" y="57148"/>
                              </a:lnTo>
                              <a:close/>
                            </a:path>
                            <a:path w="856615" h="57150">
                              <a:moveTo>
                                <a:pt x="489183" y="57148"/>
                              </a:moveTo>
                              <a:lnTo>
                                <a:pt x="481604" y="57148"/>
                              </a:lnTo>
                              <a:lnTo>
                                <a:pt x="477959" y="56422"/>
                              </a:lnTo>
                              <a:lnTo>
                                <a:pt x="456818" y="32363"/>
                              </a:lnTo>
                              <a:lnTo>
                                <a:pt x="456818" y="24785"/>
                              </a:lnTo>
                              <a:lnTo>
                                <a:pt x="481604" y="0"/>
                              </a:lnTo>
                              <a:lnTo>
                                <a:pt x="489183" y="0"/>
                              </a:lnTo>
                              <a:lnTo>
                                <a:pt x="513968" y="24785"/>
                              </a:lnTo>
                              <a:lnTo>
                                <a:pt x="513968" y="32363"/>
                              </a:lnTo>
                              <a:lnTo>
                                <a:pt x="489183" y="57148"/>
                              </a:lnTo>
                              <a:close/>
                            </a:path>
                            <a:path w="856615" h="57150">
                              <a:moveTo>
                                <a:pt x="603387" y="57148"/>
                              </a:moveTo>
                              <a:lnTo>
                                <a:pt x="595809" y="57148"/>
                              </a:lnTo>
                              <a:lnTo>
                                <a:pt x="592164" y="56422"/>
                              </a:lnTo>
                              <a:lnTo>
                                <a:pt x="571023" y="32363"/>
                              </a:lnTo>
                              <a:lnTo>
                                <a:pt x="571023" y="24785"/>
                              </a:lnTo>
                              <a:lnTo>
                                <a:pt x="595809" y="0"/>
                              </a:lnTo>
                              <a:lnTo>
                                <a:pt x="603387" y="0"/>
                              </a:lnTo>
                              <a:lnTo>
                                <a:pt x="628173" y="24785"/>
                              </a:lnTo>
                              <a:lnTo>
                                <a:pt x="628173" y="32363"/>
                              </a:lnTo>
                              <a:lnTo>
                                <a:pt x="603387" y="57148"/>
                              </a:lnTo>
                              <a:close/>
                            </a:path>
                            <a:path w="856615" h="57150">
                              <a:moveTo>
                                <a:pt x="717592" y="57148"/>
                              </a:moveTo>
                              <a:lnTo>
                                <a:pt x="710014" y="57148"/>
                              </a:lnTo>
                              <a:lnTo>
                                <a:pt x="706369" y="56422"/>
                              </a:lnTo>
                              <a:lnTo>
                                <a:pt x="685228" y="32363"/>
                              </a:lnTo>
                              <a:lnTo>
                                <a:pt x="685228" y="24785"/>
                              </a:lnTo>
                              <a:lnTo>
                                <a:pt x="710014" y="0"/>
                              </a:lnTo>
                              <a:lnTo>
                                <a:pt x="717592" y="0"/>
                              </a:lnTo>
                              <a:lnTo>
                                <a:pt x="742378" y="24785"/>
                              </a:lnTo>
                              <a:lnTo>
                                <a:pt x="742378" y="32363"/>
                              </a:lnTo>
                              <a:lnTo>
                                <a:pt x="717592" y="57148"/>
                              </a:lnTo>
                              <a:close/>
                            </a:path>
                            <a:path w="856615" h="57150">
                              <a:moveTo>
                                <a:pt x="831797" y="57148"/>
                              </a:moveTo>
                              <a:lnTo>
                                <a:pt x="824218" y="57148"/>
                              </a:lnTo>
                              <a:lnTo>
                                <a:pt x="820573" y="56422"/>
                              </a:lnTo>
                              <a:lnTo>
                                <a:pt x="799433" y="32363"/>
                              </a:lnTo>
                              <a:lnTo>
                                <a:pt x="799433" y="24785"/>
                              </a:lnTo>
                              <a:lnTo>
                                <a:pt x="824218" y="0"/>
                              </a:lnTo>
                              <a:lnTo>
                                <a:pt x="831797" y="0"/>
                              </a:lnTo>
                              <a:lnTo>
                                <a:pt x="856583" y="24785"/>
                              </a:lnTo>
                              <a:lnTo>
                                <a:pt x="856583" y="32363"/>
                              </a:lnTo>
                              <a:lnTo>
                                <a:pt x="831797" y="57148"/>
                              </a:lnTo>
                              <a:close/>
                            </a:path>
                          </a:pathLst>
                        </a:custGeom>
                        <a:solidFill>
                          <a:srgbClr val="2B816F"/>
                        </a:solidFill>
                      </wps:spPr>
                      <wps:bodyPr wrap="square" lIns="0" tIns="0" rIns="0" bIns="0" rtlCol="0">
                        <a:prstTxWarp prst="textNoShape">
                          <a:avLst/>
                        </a:prstTxWarp>
                        <a:noAutofit/>
                      </wps:bodyPr>
                    </wps:wsp>
                  </a:graphicData>
                </a:graphic>
              </wp:anchor>
            </w:drawing>
          </mc:Choice>
          <mc:Fallback>
            <w:pict>
              <v:shape style="position:absolute;margin-left:77.25pt;margin-top:188.550766pt;width:67.45pt;height:4.5pt;mso-position-horizontal-relative:page;mso-position-vertical-relative:paragraph;z-index:-15726080;mso-wrap-distance-left:0;mso-wrap-distance-right:0" id="docshape4" coordorigin="1545,3771" coordsize="1349,90" path="m1596,3861l1584,3861,1578,3860,1567,3855,1562,3852,1554,3844,1551,3839,1546,3828,1545,3822,1545,3810,1546,3804,1551,3793,1554,3788,1562,3780,1567,3777,1578,3772,1584,3771,1596,3771,1602,3772,1613,3777,1618,3780,1626,3788,1629,3793,1634,3804,1635,3810,1635,3822,1634,3828,1629,3839,1626,3844,1618,3852,1613,3855,1602,3860,1596,3861xm1776,3861l1764,3861,1758,3860,1747,3855,1742,3852,1734,3844,1731,3839,1726,3828,1725,3822,1725,3810,1726,3804,1731,3793,1734,3788,1742,3780,1747,3777,1758,3772,1764,3771,1776,3771,1782,3772,1793,3777,1797,3780,1806,3788,1809,3793,1814,3804,1815,3810,1815,3822,1814,3828,1809,3839,1806,3844,1797,3852,1793,3855,1782,3860,1776,3861xm1956,3861l1944,3861,1938,3860,1927,3855,1922,3852,1914,3844,1910,3839,1906,3828,1905,3822,1905,3810,1906,3804,1910,3793,1914,3788,1922,3780,1927,3777,1938,3772,1944,3771,1956,3771,1961,3772,1972,3777,1977,3780,1986,3788,1989,3793,1994,3804,1995,3810,1995,3822,1994,3828,1989,3839,1986,3844,1977,3852,1972,3855,1961,3860,1956,3861xm2136,3861l2124,3861,2118,3860,2107,3855,2102,3852,2094,3844,2090,3839,2086,3828,2085,3822,2085,3810,2086,3804,2090,3793,2094,3788,2102,3780,2107,3777,2118,3772,2124,3771,2136,3771,2141,3772,2152,3777,2157,3780,2166,3788,2169,3793,2173,3804,2175,3810,2175,3822,2173,3828,2169,3839,2166,3844,2157,3852,2152,3855,2141,3860,2136,3861xm2315,3861l2303,3861,2298,3860,2287,3855,2282,3852,2273,3844,2270,3839,2266,3828,2264,3822,2264,3810,2266,3804,2270,3793,2273,3788,2282,3780,2287,3777,2298,3772,2303,3771,2315,3771,2321,3772,2332,3777,2337,3780,2345,3788,2349,3793,2353,3804,2354,3810,2354,3822,2353,3828,2349,3839,2345,3844,2337,3852,2332,3855,2321,3860,2315,3861xm2495,3861l2483,3861,2478,3860,2467,3855,2462,3852,2453,3844,2450,3839,2445,3828,2444,3822,2444,3810,2445,3804,2450,3793,2453,3788,2462,3780,2467,3777,2478,3772,2483,3771,2495,3771,2501,3772,2512,3777,2517,3780,2525,3788,2529,3793,2533,3804,2534,3810,2534,3822,2533,3828,2529,3839,2525,3844,2517,3852,2512,3855,2501,3860,2495,3861xm2675,3861l2663,3861,2657,3860,2646,3855,2641,3852,2633,3844,2630,3839,2625,3828,2624,3822,2624,3810,2625,3804,2630,3793,2633,3788,2641,3780,2646,3777,2657,3772,2663,3771,2675,3771,2681,3772,2692,3777,2697,3780,2705,3788,2708,3793,2713,3804,2714,3810,2714,3822,2713,3828,2708,3839,2705,3844,2697,3852,2692,3855,2681,3860,2675,3861xm2855,3861l2843,3861,2837,3860,2826,3855,2821,3852,2813,3844,2810,3839,2805,3828,2804,3822,2804,3810,2805,3804,2810,3793,2813,3788,2821,3780,2826,3777,2837,3772,2843,3771,2855,3771,2861,3772,2872,3777,2877,3780,2885,3788,2888,3793,2893,3804,2894,3810,2894,3822,2893,3828,2888,3839,2885,3844,2877,3852,2872,3855,2861,3860,2855,3861xe" filled="true" fillcolor="#2b816f" stroked="false">
                <v:path arrowok="t"/>
                <v:fill type="solid"/>
                <w10:wrap type="topAndBottom"/>
              </v:shape>
            </w:pict>
          </mc:Fallback>
        </mc:AlternateContent>
      </w:r>
    </w:p>
    <w:p>
      <w:pPr>
        <w:pStyle w:val="BodyText"/>
        <w:spacing w:before="41"/>
        <w:ind w:left="0"/>
        <w:jc w:val="left"/>
        <w:rPr>
          <w:sz w:val="20"/>
        </w:rPr>
      </w:pPr>
    </w:p>
    <w:p>
      <w:pPr>
        <w:spacing w:line="256" w:lineRule="auto" w:before="63"/>
        <w:ind w:left="99" w:right="0" w:firstLine="0"/>
        <w:jc w:val="left"/>
        <w:rPr>
          <w:sz w:val="22"/>
        </w:rPr>
      </w:pPr>
      <w:r>
        <w:rPr>
          <w:rFonts w:ascii="Arial"/>
          <w:b/>
          <w:color w:val="2B816F"/>
          <w:sz w:val="22"/>
        </w:rPr>
        <w:t>FIGURE 23.1 </w:t>
      </w:r>
      <w:r>
        <w:rPr>
          <w:sz w:val="22"/>
        </w:rPr>
        <w:t>Normal </w:t>
      </w:r>
      <w:r>
        <w:rPr>
          <w:b/>
          <w:sz w:val="22"/>
        </w:rPr>
        <w:t>(A) </w:t>
      </w:r>
      <w:r>
        <w:rPr>
          <w:sz w:val="22"/>
        </w:rPr>
        <w:t>and osteoporotic </w:t>
      </w:r>
      <w:r>
        <w:rPr>
          <w:b/>
          <w:sz w:val="22"/>
        </w:rPr>
        <w:t>(B) </w:t>
      </w:r>
      <w:r>
        <w:rPr>
          <w:sz w:val="22"/>
        </w:rPr>
        <w:t>bone architecture. Osteoporosis is a disease characterized by </w:t>
      </w:r>
      <w:r>
        <w:rPr>
          <w:b/>
          <w:sz w:val="22"/>
        </w:rPr>
        <w:t>low bone mass </w:t>
      </w:r>
      <w:r>
        <w:rPr>
          <w:sz w:val="22"/>
        </w:rPr>
        <w:t>and </w:t>
      </w:r>
      <w:r>
        <w:rPr>
          <w:b/>
          <w:sz w:val="22"/>
        </w:rPr>
        <w:t>microarchitectural deterioration </w:t>
      </w:r>
      <w:r>
        <w:rPr>
          <w:sz w:val="22"/>
        </w:rPr>
        <w:t>of bone tissue leading </w:t>
      </w:r>
      <w:r>
        <w:rPr>
          <w:sz w:val="22"/>
        </w:rPr>
        <w:t>to enhanced bone fragility and a consequent increase in fracture risk. Courtesy of World Health Organization (WHO), 1993.</w:t>
      </w:r>
    </w:p>
    <w:p>
      <w:pPr>
        <w:spacing w:after="0" w:line="256" w:lineRule="auto"/>
        <w:jc w:val="left"/>
        <w:rPr>
          <w:sz w:val="22"/>
        </w:rPr>
        <w:sectPr>
          <w:pgSz w:w="12240" w:h="15840"/>
          <w:pgMar w:top="1380" w:bottom="280" w:left="1440" w:right="1440"/>
        </w:sectPr>
      </w:pPr>
    </w:p>
    <w:p>
      <w:pPr>
        <w:spacing w:line="240" w:lineRule="auto"/>
        <w:ind w:left="105" w:right="0" w:firstLine="0"/>
        <w:rPr>
          <w:sz w:val="20"/>
        </w:rPr>
      </w:pPr>
      <w:r>
        <w:rPr>
          <w:sz w:val="20"/>
        </w:rPr>
        <w:drawing>
          <wp:inline distT="0" distB="0" distL="0" distR="0">
            <wp:extent cx="5786280" cy="2874168"/>
            <wp:effectExtent l="0" t="0" r="0" b="0"/>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5786280" cy="2874168"/>
                    </a:xfrm>
                    <a:prstGeom prst="rect">
                      <a:avLst/>
                    </a:prstGeom>
                  </pic:spPr>
                </pic:pic>
              </a:graphicData>
            </a:graphic>
          </wp:inline>
        </w:drawing>
      </w:r>
      <w:r>
        <w:rPr>
          <w:sz w:val="20"/>
        </w:rPr>
      </w:r>
    </w:p>
    <w:p>
      <w:pPr>
        <w:pStyle w:val="BodyText"/>
        <w:spacing w:before="64"/>
        <w:ind w:left="0"/>
        <w:jc w:val="left"/>
        <w:rPr>
          <w:sz w:val="20"/>
        </w:rPr>
      </w:pPr>
      <w:r>
        <w:rPr>
          <w:sz w:val="20"/>
        </w:rPr>
        <mc:AlternateContent>
          <mc:Choice Requires="wps">
            <w:drawing>
              <wp:anchor distT="0" distB="0" distL="0" distR="0" allowOverlap="1" layoutInCell="1" locked="0" behindDoc="1" simplePos="0" relativeHeight="487590912">
                <wp:simplePos x="0" y="0"/>
                <wp:positionH relativeFrom="page">
                  <wp:posOffset>981075</wp:posOffset>
                </wp:positionH>
                <wp:positionV relativeFrom="paragraph">
                  <wp:posOffset>201929</wp:posOffset>
                </wp:positionV>
                <wp:extent cx="856615" cy="5715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856615" cy="57150"/>
                        </a:xfrm>
                        <a:custGeom>
                          <a:avLst/>
                          <a:gdLst/>
                          <a:ahLst/>
                          <a:cxnLst/>
                          <a:rect l="l" t="t" r="r" b="b"/>
                          <a:pathLst>
                            <a:path w="856615" h="57150">
                              <a:moveTo>
                                <a:pt x="32364" y="57148"/>
                              </a:moveTo>
                              <a:lnTo>
                                <a:pt x="24785" y="57148"/>
                              </a:lnTo>
                              <a:lnTo>
                                <a:pt x="21140" y="56422"/>
                              </a:lnTo>
                              <a:lnTo>
                                <a:pt x="0" y="32363"/>
                              </a:lnTo>
                              <a:lnTo>
                                <a:pt x="0" y="24785"/>
                              </a:lnTo>
                              <a:lnTo>
                                <a:pt x="24785" y="0"/>
                              </a:lnTo>
                              <a:lnTo>
                                <a:pt x="32364" y="0"/>
                              </a:lnTo>
                              <a:lnTo>
                                <a:pt x="57149" y="24785"/>
                              </a:lnTo>
                              <a:lnTo>
                                <a:pt x="57149" y="32363"/>
                              </a:lnTo>
                              <a:lnTo>
                                <a:pt x="32364" y="57148"/>
                              </a:lnTo>
                              <a:close/>
                            </a:path>
                            <a:path w="856615" h="57150">
                              <a:moveTo>
                                <a:pt x="146569" y="57148"/>
                              </a:moveTo>
                              <a:lnTo>
                                <a:pt x="138990" y="57148"/>
                              </a:lnTo>
                              <a:lnTo>
                                <a:pt x="135345" y="56422"/>
                              </a:lnTo>
                              <a:lnTo>
                                <a:pt x="114204" y="32363"/>
                              </a:lnTo>
                              <a:lnTo>
                                <a:pt x="114204" y="24785"/>
                              </a:lnTo>
                              <a:lnTo>
                                <a:pt x="138990" y="0"/>
                              </a:lnTo>
                              <a:lnTo>
                                <a:pt x="146569" y="0"/>
                              </a:lnTo>
                              <a:lnTo>
                                <a:pt x="171354" y="24785"/>
                              </a:lnTo>
                              <a:lnTo>
                                <a:pt x="171354" y="32363"/>
                              </a:lnTo>
                              <a:lnTo>
                                <a:pt x="146569" y="57148"/>
                              </a:lnTo>
                              <a:close/>
                            </a:path>
                            <a:path w="856615" h="57150">
                              <a:moveTo>
                                <a:pt x="260773" y="57148"/>
                              </a:moveTo>
                              <a:lnTo>
                                <a:pt x="253195" y="57148"/>
                              </a:lnTo>
                              <a:lnTo>
                                <a:pt x="249550" y="56422"/>
                              </a:lnTo>
                              <a:lnTo>
                                <a:pt x="228409" y="32363"/>
                              </a:lnTo>
                              <a:lnTo>
                                <a:pt x="228409" y="24785"/>
                              </a:lnTo>
                              <a:lnTo>
                                <a:pt x="253195" y="0"/>
                              </a:lnTo>
                              <a:lnTo>
                                <a:pt x="260773" y="0"/>
                              </a:lnTo>
                              <a:lnTo>
                                <a:pt x="285559" y="24785"/>
                              </a:lnTo>
                              <a:lnTo>
                                <a:pt x="285559" y="32363"/>
                              </a:lnTo>
                              <a:lnTo>
                                <a:pt x="260773" y="57148"/>
                              </a:lnTo>
                              <a:close/>
                            </a:path>
                            <a:path w="856615" h="57150">
                              <a:moveTo>
                                <a:pt x="374978" y="57148"/>
                              </a:moveTo>
                              <a:lnTo>
                                <a:pt x="367399" y="57148"/>
                              </a:lnTo>
                              <a:lnTo>
                                <a:pt x="363754" y="56422"/>
                              </a:lnTo>
                              <a:lnTo>
                                <a:pt x="342614" y="32363"/>
                              </a:lnTo>
                              <a:lnTo>
                                <a:pt x="342614" y="24785"/>
                              </a:lnTo>
                              <a:lnTo>
                                <a:pt x="367399" y="0"/>
                              </a:lnTo>
                              <a:lnTo>
                                <a:pt x="374978" y="0"/>
                              </a:lnTo>
                              <a:lnTo>
                                <a:pt x="399764" y="24785"/>
                              </a:lnTo>
                              <a:lnTo>
                                <a:pt x="399764" y="32363"/>
                              </a:lnTo>
                              <a:lnTo>
                                <a:pt x="374978" y="57148"/>
                              </a:lnTo>
                              <a:close/>
                            </a:path>
                            <a:path w="856615" h="57150">
                              <a:moveTo>
                                <a:pt x="489183" y="57148"/>
                              </a:moveTo>
                              <a:lnTo>
                                <a:pt x="481604" y="57148"/>
                              </a:lnTo>
                              <a:lnTo>
                                <a:pt x="477959" y="56422"/>
                              </a:lnTo>
                              <a:lnTo>
                                <a:pt x="456818" y="32363"/>
                              </a:lnTo>
                              <a:lnTo>
                                <a:pt x="456818" y="24785"/>
                              </a:lnTo>
                              <a:lnTo>
                                <a:pt x="481604" y="0"/>
                              </a:lnTo>
                              <a:lnTo>
                                <a:pt x="489183" y="0"/>
                              </a:lnTo>
                              <a:lnTo>
                                <a:pt x="513968" y="24785"/>
                              </a:lnTo>
                              <a:lnTo>
                                <a:pt x="513968" y="32363"/>
                              </a:lnTo>
                              <a:lnTo>
                                <a:pt x="489183" y="57148"/>
                              </a:lnTo>
                              <a:close/>
                            </a:path>
                            <a:path w="856615" h="57150">
                              <a:moveTo>
                                <a:pt x="603387" y="57148"/>
                              </a:moveTo>
                              <a:lnTo>
                                <a:pt x="595809" y="57148"/>
                              </a:lnTo>
                              <a:lnTo>
                                <a:pt x="592164" y="56422"/>
                              </a:lnTo>
                              <a:lnTo>
                                <a:pt x="571023" y="32363"/>
                              </a:lnTo>
                              <a:lnTo>
                                <a:pt x="571023" y="24785"/>
                              </a:lnTo>
                              <a:lnTo>
                                <a:pt x="595809" y="0"/>
                              </a:lnTo>
                              <a:lnTo>
                                <a:pt x="603387" y="0"/>
                              </a:lnTo>
                              <a:lnTo>
                                <a:pt x="628173" y="24785"/>
                              </a:lnTo>
                              <a:lnTo>
                                <a:pt x="628173" y="32363"/>
                              </a:lnTo>
                              <a:lnTo>
                                <a:pt x="603387" y="57148"/>
                              </a:lnTo>
                              <a:close/>
                            </a:path>
                            <a:path w="856615" h="57150">
                              <a:moveTo>
                                <a:pt x="717592" y="57148"/>
                              </a:moveTo>
                              <a:lnTo>
                                <a:pt x="710014" y="57148"/>
                              </a:lnTo>
                              <a:lnTo>
                                <a:pt x="706369" y="56422"/>
                              </a:lnTo>
                              <a:lnTo>
                                <a:pt x="685228" y="32363"/>
                              </a:lnTo>
                              <a:lnTo>
                                <a:pt x="685228" y="24785"/>
                              </a:lnTo>
                              <a:lnTo>
                                <a:pt x="710014" y="0"/>
                              </a:lnTo>
                              <a:lnTo>
                                <a:pt x="717592" y="0"/>
                              </a:lnTo>
                              <a:lnTo>
                                <a:pt x="742378" y="24785"/>
                              </a:lnTo>
                              <a:lnTo>
                                <a:pt x="742378" y="32363"/>
                              </a:lnTo>
                              <a:lnTo>
                                <a:pt x="717592" y="57148"/>
                              </a:lnTo>
                              <a:close/>
                            </a:path>
                            <a:path w="856615" h="57150">
                              <a:moveTo>
                                <a:pt x="831797" y="57148"/>
                              </a:moveTo>
                              <a:lnTo>
                                <a:pt x="824218" y="57148"/>
                              </a:lnTo>
                              <a:lnTo>
                                <a:pt x="820573" y="56422"/>
                              </a:lnTo>
                              <a:lnTo>
                                <a:pt x="799433" y="32363"/>
                              </a:lnTo>
                              <a:lnTo>
                                <a:pt x="799433" y="24785"/>
                              </a:lnTo>
                              <a:lnTo>
                                <a:pt x="824218" y="0"/>
                              </a:lnTo>
                              <a:lnTo>
                                <a:pt x="831797" y="0"/>
                              </a:lnTo>
                              <a:lnTo>
                                <a:pt x="856583" y="24785"/>
                              </a:lnTo>
                              <a:lnTo>
                                <a:pt x="856583" y="32363"/>
                              </a:lnTo>
                              <a:lnTo>
                                <a:pt x="831797" y="57148"/>
                              </a:lnTo>
                              <a:close/>
                            </a:path>
                          </a:pathLst>
                        </a:custGeom>
                        <a:solidFill>
                          <a:srgbClr val="2B816F"/>
                        </a:solidFill>
                      </wps:spPr>
                      <wps:bodyPr wrap="square" lIns="0" tIns="0" rIns="0" bIns="0" rtlCol="0">
                        <a:prstTxWarp prst="textNoShape">
                          <a:avLst/>
                        </a:prstTxWarp>
                        <a:noAutofit/>
                      </wps:bodyPr>
                    </wps:wsp>
                  </a:graphicData>
                </a:graphic>
              </wp:anchor>
            </w:drawing>
          </mc:Choice>
          <mc:Fallback>
            <w:pict>
              <v:shape style="position:absolute;margin-left:77.25pt;margin-top:15.899979pt;width:67.45pt;height:4.5pt;mso-position-horizontal-relative:page;mso-position-vertical-relative:paragraph;z-index:-15725568;mso-wrap-distance-left:0;mso-wrap-distance-right:0" id="docshape5" coordorigin="1545,318" coordsize="1349,90" path="m1596,408l1584,408,1578,407,1567,402,1562,399,1554,391,1551,386,1546,375,1545,369,1545,357,1546,351,1551,340,1554,335,1562,327,1567,324,1578,319,1584,318,1596,318,1602,319,1613,324,1618,327,1626,335,1629,340,1634,351,1635,357,1635,369,1634,375,1629,386,1626,391,1618,399,1613,402,1602,407,1596,408xm1776,408l1764,408,1758,407,1747,402,1742,399,1734,391,1731,386,1726,375,1725,369,1725,357,1726,351,1731,340,1734,335,1742,327,1747,324,1758,319,1764,318,1776,318,1782,319,1793,324,1797,327,1806,335,1809,340,1814,351,1815,357,1815,369,1814,375,1809,386,1806,391,1797,399,1793,402,1782,407,1776,408xm1956,408l1944,408,1938,407,1927,402,1922,399,1914,391,1910,386,1906,375,1905,369,1905,357,1906,351,1910,340,1914,335,1922,327,1927,324,1938,319,1944,318,1956,318,1961,319,1972,324,1977,327,1986,335,1989,340,1994,351,1995,357,1995,369,1994,375,1989,386,1986,391,1977,399,1972,402,1961,407,1956,408xm2136,408l2124,408,2118,407,2107,402,2102,399,2094,391,2090,386,2086,375,2085,369,2085,357,2086,351,2090,340,2094,335,2102,327,2107,324,2118,319,2124,318,2136,318,2141,319,2152,324,2157,327,2166,335,2169,340,2173,351,2175,357,2175,369,2173,375,2169,386,2166,391,2157,399,2152,402,2141,407,2136,408xm2315,408l2303,408,2298,407,2287,402,2282,399,2273,391,2270,386,2266,375,2264,369,2264,357,2266,351,2270,340,2273,335,2282,327,2287,324,2298,319,2303,318,2315,318,2321,319,2332,324,2337,327,2345,335,2349,340,2353,351,2354,357,2354,369,2353,375,2349,386,2345,391,2337,399,2332,402,2321,407,2315,408xm2495,408l2483,408,2478,407,2467,402,2462,399,2453,391,2450,386,2445,375,2444,369,2444,357,2445,351,2450,340,2453,335,2462,327,2467,324,2478,319,2483,318,2495,318,2501,319,2512,324,2517,327,2525,335,2529,340,2533,351,2534,357,2534,369,2533,375,2529,386,2525,391,2517,399,2512,402,2501,407,2495,408xm2675,408l2663,408,2657,407,2646,402,2641,399,2633,391,2630,386,2625,375,2624,369,2624,357,2625,351,2630,340,2633,335,2641,327,2646,324,2657,319,2663,318,2675,318,2681,319,2692,324,2697,327,2705,335,2708,340,2713,351,2714,357,2714,369,2713,375,2708,386,2705,391,2697,399,2692,402,2681,407,2675,408xm2855,408l2843,408,2837,407,2826,402,2821,399,2813,391,2810,386,2805,375,2804,369,2804,357,2805,351,2810,340,2813,335,2821,327,2826,324,2837,319,2843,318,2855,318,2861,319,2872,324,2877,327,2885,335,2888,340,2893,351,2894,357,2894,369,2893,375,2888,386,2885,391,2877,399,2872,402,2861,407,2855,408xe" filled="true" fillcolor="#2b816f" stroked="false">
                <v:path arrowok="t"/>
                <v:fill type="solid"/>
                <w10:wrap type="topAndBottom"/>
              </v:shape>
            </w:pict>
          </mc:Fallback>
        </mc:AlternateContent>
      </w:r>
    </w:p>
    <w:p>
      <w:pPr>
        <w:spacing w:before="78"/>
        <w:ind w:left="99" w:right="0" w:firstLine="0"/>
        <w:jc w:val="left"/>
        <w:rPr>
          <w:rFonts w:ascii="Arial"/>
          <w:b/>
          <w:sz w:val="22"/>
        </w:rPr>
      </w:pPr>
      <w:r>
        <w:rPr>
          <w:rFonts w:ascii="Arial"/>
          <w:b/>
          <w:color w:val="2B816F"/>
          <w:sz w:val="22"/>
        </w:rPr>
        <w:t>FIGURE</w:t>
      </w:r>
      <w:r>
        <w:rPr>
          <w:rFonts w:ascii="Arial"/>
          <w:b/>
          <w:color w:val="2B816F"/>
          <w:spacing w:val="17"/>
          <w:sz w:val="22"/>
        </w:rPr>
        <w:t> </w:t>
      </w:r>
      <w:r>
        <w:rPr>
          <w:rFonts w:ascii="Arial"/>
          <w:b/>
          <w:color w:val="2B816F"/>
          <w:spacing w:val="-4"/>
          <w:sz w:val="22"/>
        </w:rPr>
        <w:t>23.2</w:t>
      </w:r>
    </w:p>
    <w:p>
      <w:pPr>
        <w:pStyle w:val="BodyText"/>
        <w:spacing w:before="215"/>
        <w:ind w:left="0"/>
        <w:jc w:val="left"/>
        <w:rPr>
          <w:rFonts w:ascii="Arial"/>
          <w:b/>
          <w:sz w:val="22"/>
        </w:rPr>
      </w:pPr>
    </w:p>
    <w:p>
      <w:pPr>
        <w:pStyle w:val="BodyText"/>
        <w:spacing w:line="249" w:lineRule="auto" w:before="1"/>
        <w:ind w:right="100" w:firstLine="450"/>
      </w:pPr>
      <w:r>
        <w:rPr>
          <w:b/>
        </w:rPr>
        <w:t>Osteoporosis, </w:t>
      </w:r>
      <w:r>
        <w:rPr/>
        <w:t>the most prevalent bone problem in the older adults, is characterized by both decreased bone mass and decreased bone quality, </w:t>
      </w:r>
      <w:r>
        <w:rPr/>
        <w:t>and both these factors contribute to an increased risk of fragility fractures.</w:t>
      </w:r>
      <w:r>
        <w:rPr>
          <w:spacing w:val="40"/>
        </w:rPr>
        <w:t> </w:t>
      </w:r>
      <w:r>
        <w:rPr/>
        <w:t>These</w:t>
      </w:r>
      <w:r>
        <w:rPr>
          <w:spacing w:val="-4"/>
        </w:rPr>
        <w:t> </w:t>
      </w:r>
      <w:r>
        <w:rPr/>
        <w:t>fragility</w:t>
      </w:r>
      <w:r>
        <w:rPr>
          <w:spacing w:val="-4"/>
        </w:rPr>
        <w:t> </w:t>
      </w:r>
      <w:r>
        <w:rPr/>
        <w:t>fractures</w:t>
      </w:r>
      <w:r>
        <w:rPr>
          <w:spacing w:val="-4"/>
        </w:rPr>
        <w:t> </w:t>
      </w:r>
      <w:r>
        <w:rPr/>
        <w:t>affect</w:t>
      </w:r>
      <w:r>
        <w:rPr>
          <w:spacing w:val="-4"/>
        </w:rPr>
        <w:t> </w:t>
      </w:r>
      <w:r>
        <w:rPr/>
        <w:t>approximately</w:t>
      </w:r>
      <w:r>
        <w:rPr>
          <w:spacing w:val="-4"/>
        </w:rPr>
        <w:t> </w:t>
      </w:r>
      <w:r>
        <w:rPr/>
        <w:t>1.5</w:t>
      </w:r>
      <w:r>
        <w:rPr>
          <w:spacing w:val="-4"/>
        </w:rPr>
        <w:t> </w:t>
      </w:r>
      <w:r>
        <w:rPr/>
        <w:t>million</w:t>
      </w:r>
      <w:r>
        <w:rPr>
          <w:spacing w:val="-4"/>
        </w:rPr>
        <w:t> </w:t>
      </w:r>
      <w:r>
        <w:rPr/>
        <w:t>individuals</w:t>
      </w:r>
      <w:r>
        <w:rPr>
          <w:spacing w:val="-4"/>
        </w:rPr>
        <w:t> </w:t>
      </w:r>
      <w:r>
        <w:rPr/>
        <w:t>yearly. Osteoporosis is a major global public health problem threatening more than 44 million individuals, and it has reached epidemic levels in the United States, affecting 10 million Americans over the age of 50 (4 times more women than men).</w:t>
      </w:r>
      <w:r>
        <w:rPr>
          <w:vertAlign w:val="superscript"/>
        </w:rPr>
        <w:t>1</w:t>
      </w:r>
      <w:r>
        <w:rPr>
          <w:vertAlign w:val="baseline"/>
        </w:rPr>
        <w:t> In addition, about 34 million people (80% women) in the United States have low bone mass (osteopenia), and they too are at an increased fracture risk.</w:t>
      </w:r>
    </w:p>
    <w:p>
      <w:pPr>
        <w:pStyle w:val="BodyText"/>
        <w:spacing w:line="249" w:lineRule="auto" w:before="12"/>
        <w:ind w:right="97" w:firstLine="450"/>
      </w:pPr>
      <w:r>
        <w:rPr/>
        <w:t>The increase in osteoporotic fractures in the developed world is partly due to an increase in the older adult population, but not totally. A comparison of bone densities in proximal femur bones in specimens from a period of over 200 years suggests that women lose more bone today, perhaps due to less physical activity and lower parity.</w:t>
      </w:r>
      <w:r>
        <w:rPr>
          <w:vertAlign w:val="superscript"/>
        </w:rPr>
        <w:t>2</w:t>
      </w:r>
      <w:r>
        <w:rPr>
          <w:vertAlign w:val="baseline"/>
        </w:rPr>
        <w:t> Other contributing factors include a dietary decrease in calcium and an earlier and greater loss of bone because of the impact of smoking. Our Stone Age predecessors consumed</w:t>
      </w:r>
      <w:r>
        <w:rPr>
          <w:spacing w:val="-3"/>
          <w:vertAlign w:val="baseline"/>
        </w:rPr>
        <w:t> </w:t>
      </w:r>
      <w:r>
        <w:rPr>
          <w:vertAlign w:val="baseline"/>
        </w:rPr>
        <w:t>a</w:t>
      </w:r>
      <w:r>
        <w:rPr>
          <w:spacing w:val="-3"/>
          <w:vertAlign w:val="baseline"/>
        </w:rPr>
        <w:t> </w:t>
      </w:r>
      <w:r>
        <w:rPr>
          <w:vertAlign w:val="baseline"/>
        </w:rPr>
        <w:t>diet</w:t>
      </w:r>
      <w:r>
        <w:rPr>
          <w:spacing w:val="-3"/>
          <w:vertAlign w:val="baseline"/>
        </w:rPr>
        <w:t> </w:t>
      </w:r>
      <w:r>
        <w:rPr>
          <w:vertAlign w:val="baseline"/>
        </w:rPr>
        <w:t>high</w:t>
      </w:r>
      <w:r>
        <w:rPr>
          <w:spacing w:val="-3"/>
          <w:vertAlign w:val="baseline"/>
        </w:rPr>
        <w:t> </w:t>
      </w:r>
      <w:r>
        <w:rPr>
          <w:vertAlign w:val="baseline"/>
        </w:rPr>
        <w:t>in</w:t>
      </w:r>
      <w:r>
        <w:rPr>
          <w:spacing w:val="-3"/>
          <w:vertAlign w:val="baseline"/>
        </w:rPr>
        <w:t> </w:t>
      </w:r>
      <w:r>
        <w:rPr>
          <w:vertAlign w:val="baseline"/>
        </w:rPr>
        <w:t>calcium,</w:t>
      </w:r>
      <w:r>
        <w:rPr>
          <w:spacing w:val="-3"/>
          <w:vertAlign w:val="baseline"/>
        </w:rPr>
        <w:t> </w:t>
      </w:r>
      <w:r>
        <w:rPr>
          <w:vertAlign w:val="baseline"/>
        </w:rPr>
        <w:t>mostly</w:t>
      </w:r>
      <w:r>
        <w:rPr>
          <w:spacing w:val="-3"/>
          <w:vertAlign w:val="baseline"/>
        </w:rPr>
        <w:t> </w:t>
      </w:r>
      <w:r>
        <w:rPr>
          <w:vertAlign w:val="baseline"/>
        </w:rPr>
        <w:t>from</w:t>
      </w:r>
      <w:r>
        <w:rPr>
          <w:spacing w:val="-3"/>
          <w:vertAlign w:val="baseline"/>
        </w:rPr>
        <w:t> </w:t>
      </w:r>
      <w:r>
        <w:rPr>
          <w:vertAlign w:val="baseline"/>
        </w:rPr>
        <w:t>vegetable</w:t>
      </w:r>
      <w:r>
        <w:rPr>
          <w:spacing w:val="-3"/>
          <w:vertAlign w:val="baseline"/>
        </w:rPr>
        <w:t> </w:t>
      </w:r>
      <w:r>
        <w:rPr>
          <w:vertAlign w:val="baseline"/>
        </w:rPr>
        <w:t>sources.</w:t>
      </w:r>
      <w:r>
        <w:rPr>
          <w:vertAlign w:val="superscript"/>
        </w:rPr>
        <w:t>3</w:t>
      </w:r>
      <w:r>
        <w:rPr>
          <w:vertAlign w:val="baseline"/>
        </w:rPr>
        <w:t> </w:t>
      </w:r>
      <w:r>
        <w:rPr>
          <w:vertAlign w:val="baseline"/>
        </w:rPr>
        <w:t>However, the impact of the tremendous increase in the older adult population throughout</w:t>
      </w:r>
      <w:r>
        <w:rPr>
          <w:spacing w:val="56"/>
          <w:vertAlign w:val="baseline"/>
        </w:rPr>
        <w:t>  </w:t>
      </w:r>
      <w:r>
        <w:rPr>
          <w:vertAlign w:val="baseline"/>
        </w:rPr>
        <w:t>the</w:t>
      </w:r>
      <w:r>
        <w:rPr>
          <w:spacing w:val="56"/>
          <w:vertAlign w:val="baseline"/>
        </w:rPr>
        <w:t>  </w:t>
      </w:r>
      <w:r>
        <w:rPr>
          <w:vertAlign w:val="baseline"/>
        </w:rPr>
        <w:t>world</w:t>
      </w:r>
      <w:r>
        <w:rPr>
          <w:spacing w:val="56"/>
          <w:vertAlign w:val="baseline"/>
        </w:rPr>
        <w:t>  </w:t>
      </w:r>
      <w:r>
        <w:rPr>
          <w:vertAlign w:val="baseline"/>
        </w:rPr>
        <w:t>cannot</w:t>
      </w:r>
      <w:r>
        <w:rPr>
          <w:spacing w:val="56"/>
          <w:vertAlign w:val="baseline"/>
        </w:rPr>
        <w:t>  </w:t>
      </w:r>
      <w:r>
        <w:rPr>
          <w:vertAlign w:val="baseline"/>
        </w:rPr>
        <w:t>be</w:t>
      </w:r>
      <w:r>
        <w:rPr>
          <w:spacing w:val="56"/>
          <w:vertAlign w:val="baseline"/>
        </w:rPr>
        <w:t>  </w:t>
      </w:r>
      <w:r>
        <w:rPr>
          <w:vertAlign w:val="baseline"/>
        </w:rPr>
        <w:t>underestimated.</w:t>
      </w:r>
      <w:r>
        <w:rPr>
          <w:spacing w:val="56"/>
          <w:vertAlign w:val="baseline"/>
        </w:rPr>
        <w:t>  </w:t>
      </w:r>
      <w:r>
        <w:rPr>
          <w:vertAlign w:val="baseline"/>
        </w:rPr>
        <w:t>Because</w:t>
      </w:r>
      <w:r>
        <w:rPr>
          <w:spacing w:val="56"/>
          <w:vertAlign w:val="baseline"/>
        </w:rPr>
        <w:t>  </w:t>
      </w:r>
      <w:r>
        <w:rPr>
          <w:vertAlign w:val="baseline"/>
        </w:rPr>
        <w:t>of</w:t>
      </w:r>
      <w:r>
        <w:rPr>
          <w:spacing w:val="56"/>
          <w:vertAlign w:val="baseline"/>
        </w:rPr>
        <w:t>  </w:t>
      </w:r>
      <w:r>
        <w:rPr>
          <w:spacing w:val="-4"/>
          <w:vertAlign w:val="baseline"/>
        </w:rPr>
        <w:t>this</w:t>
      </w:r>
    </w:p>
    <w:p>
      <w:pPr>
        <w:pStyle w:val="BodyText"/>
        <w:spacing w:after="0" w:line="249" w:lineRule="auto"/>
        <w:sectPr>
          <w:pgSz w:w="12240" w:h="15840"/>
          <w:pgMar w:top="1440" w:bottom="280" w:left="1440" w:right="1440"/>
        </w:sectPr>
      </w:pPr>
    </w:p>
    <w:p>
      <w:pPr>
        <w:pStyle w:val="BodyText"/>
        <w:spacing w:line="249" w:lineRule="auto"/>
        <w:jc w:val="left"/>
      </w:pPr>
      <w:r>
        <w:rPr/>
        <w:t>demographic</w:t>
      </w:r>
      <w:r>
        <w:rPr>
          <w:spacing w:val="40"/>
        </w:rPr>
        <w:t> </w:t>
      </w:r>
      <w:r>
        <w:rPr/>
        <w:t>change,</w:t>
      </w:r>
      <w:r>
        <w:rPr>
          <w:spacing w:val="40"/>
        </w:rPr>
        <w:t> </w:t>
      </w:r>
      <w:r>
        <w:rPr/>
        <w:t>the</w:t>
      </w:r>
      <w:r>
        <w:rPr>
          <w:spacing w:val="40"/>
        </w:rPr>
        <w:t> </w:t>
      </w:r>
      <w:r>
        <w:rPr/>
        <w:t>number</w:t>
      </w:r>
      <w:r>
        <w:rPr>
          <w:spacing w:val="40"/>
        </w:rPr>
        <w:t> </w:t>
      </w:r>
      <w:r>
        <w:rPr/>
        <w:t>of</w:t>
      </w:r>
      <w:r>
        <w:rPr>
          <w:spacing w:val="40"/>
        </w:rPr>
        <w:t> </w:t>
      </w:r>
      <w:r>
        <w:rPr/>
        <w:t>hip</w:t>
      </w:r>
      <w:r>
        <w:rPr>
          <w:spacing w:val="40"/>
        </w:rPr>
        <w:t> </w:t>
      </w:r>
      <w:r>
        <w:rPr/>
        <w:t>fractures</w:t>
      </w:r>
      <w:r>
        <w:rPr>
          <w:spacing w:val="40"/>
        </w:rPr>
        <w:t> </w:t>
      </w:r>
      <w:r>
        <w:rPr/>
        <w:t>occurring</w:t>
      </w:r>
      <w:r>
        <w:rPr>
          <w:spacing w:val="40"/>
        </w:rPr>
        <w:t> </w:t>
      </w:r>
      <w:r>
        <w:rPr/>
        <w:t>in</w:t>
      </w:r>
      <w:r>
        <w:rPr>
          <w:spacing w:val="40"/>
        </w:rPr>
        <w:t> </w:t>
      </w:r>
      <w:r>
        <w:rPr/>
        <w:t>the</w:t>
      </w:r>
      <w:r>
        <w:rPr>
          <w:spacing w:val="40"/>
        </w:rPr>
        <w:t> </w:t>
      </w:r>
      <w:r>
        <w:rPr/>
        <w:t>world each year will increase approximately 6-fold from 1990 to 2050.</w:t>
      </w:r>
      <w:r>
        <w:rPr>
          <w:vertAlign w:val="superscript"/>
        </w:rPr>
        <w:t>4</w:t>
      </w:r>
    </w:p>
    <w:p>
      <w:pPr>
        <w:pStyle w:val="BodyText"/>
        <w:spacing w:before="0"/>
        <w:ind w:left="0"/>
        <w:jc w:val="left"/>
        <w:rPr>
          <w:sz w:val="20"/>
        </w:rPr>
      </w:pPr>
    </w:p>
    <w:p>
      <w:pPr>
        <w:pStyle w:val="BodyText"/>
        <w:spacing w:before="113"/>
        <w:ind w:left="0"/>
        <w:jc w:val="left"/>
        <w:rPr>
          <w:sz w:val="20"/>
        </w:rPr>
      </w:pPr>
      <w:r>
        <w:rPr>
          <w:sz w:val="20"/>
        </w:rPr>
        <w:drawing>
          <wp:anchor distT="0" distB="0" distL="0" distR="0" allowOverlap="1" layoutInCell="1" locked="0" behindDoc="1" simplePos="0" relativeHeight="487591424">
            <wp:simplePos x="0" y="0"/>
            <wp:positionH relativeFrom="page">
              <wp:posOffset>981075</wp:posOffset>
            </wp:positionH>
            <wp:positionV relativeFrom="paragraph">
              <wp:posOffset>233351</wp:posOffset>
            </wp:positionV>
            <wp:extent cx="5825744" cy="3294888"/>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9" cstate="print"/>
                    <a:stretch>
                      <a:fillRect/>
                    </a:stretch>
                  </pic:blipFill>
                  <pic:spPr>
                    <a:xfrm>
                      <a:off x="0" y="0"/>
                      <a:ext cx="5825744" cy="3294888"/>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91936">
                <wp:simplePos x="0" y="0"/>
                <wp:positionH relativeFrom="page">
                  <wp:posOffset>981075</wp:posOffset>
                </wp:positionH>
                <wp:positionV relativeFrom="paragraph">
                  <wp:posOffset>3709976</wp:posOffset>
                </wp:positionV>
                <wp:extent cx="856615" cy="5715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856615" cy="57150"/>
                        </a:xfrm>
                        <a:custGeom>
                          <a:avLst/>
                          <a:gdLst/>
                          <a:ahLst/>
                          <a:cxnLst/>
                          <a:rect l="l" t="t" r="r" b="b"/>
                          <a:pathLst>
                            <a:path w="856615" h="57150">
                              <a:moveTo>
                                <a:pt x="32364" y="57148"/>
                              </a:moveTo>
                              <a:lnTo>
                                <a:pt x="24785" y="57148"/>
                              </a:lnTo>
                              <a:lnTo>
                                <a:pt x="21140" y="56422"/>
                              </a:lnTo>
                              <a:lnTo>
                                <a:pt x="0" y="32363"/>
                              </a:lnTo>
                              <a:lnTo>
                                <a:pt x="0" y="24785"/>
                              </a:lnTo>
                              <a:lnTo>
                                <a:pt x="24785" y="0"/>
                              </a:lnTo>
                              <a:lnTo>
                                <a:pt x="32364" y="0"/>
                              </a:lnTo>
                              <a:lnTo>
                                <a:pt x="57149" y="24785"/>
                              </a:lnTo>
                              <a:lnTo>
                                <a:pt x="57149" y="32363"/>
                              </a:lnTo>
                              <a:lnTo>
                                <a:pt x="32364" y="57148"/>
                              </a:lnTo>
                              <a:close/>
                            </a:path>
                            <a:path w="856615" h="57150">
                              <a:moveTo>
                                <a:pt x="146569" y="57148"/>
                              </a:moveTo>
                              <a:lnTo>
                                <a:pt x="138990" y="57148"/>
                              </a:lnTo>
                              <a:lnTo>
                                <a:pt x="135345" y="56422"/>
                              </a:lnTo>
                              <a:lnTo>
                                <a:pt x="114204" y="32363"/>
                              </a:lnTo>
                              <a:lnTo>
                                <a:pt x="114204" y="24785"/>
                              </a:lnTo>
                              <a:lnTo>
                                <a:pt x="138990" y="0"/>
                              </a:lnTo>
                              <a:lnTo>
                                <a:pt x="146569" y="0"/>
                              </a:lnTo>
                              <a:lnTo>
                                <a:pt x="171354" y="24785"/>
                              </a:lnTo>
                              <a:lnTo>
                                <a:pt x="171354" y="32363"/>
                              </a:lnTo>
                              <a:lnTo>
                                <a:pt x="146569" y="57148"/>
                              </a:lnTo>
                              <a:close/>
                            </a:path>
                            <a:path w="856615" h="57150">
                              <a:moveTo>
                                <a:pt x="260773" y="57148"/>
                              </a:moveTo>
                              <a:lnTo>
                                <a:pt x="253195" y="57148"/>
                              </a:lnTo>
                              <a:lnTo>
                                <a:pt x="249550" y="56422"/>
                              </a:lnTo>
                              <a:lnTo>
                                <a:pt x="228409" y="32363"/>
                              </a:lnTo>
                              <a:lnTo>
                                <a:pt x="228409" y="24785"/>
                              </a:lnTo>
                              <a:lnTo>
                                <a:pt x="253195" y="0"/>
                              </a:lnTo>
                              <a:lnTo>
                                <a:pt x="260773" y="0"/>
                              </a:lnTo>
                              <a:lnTo>
                                <a:pt x="285559" y="24785"/>
                              </a:lnTo>
                              <a:lnTo>
                                <a:pt x="285559" y="32363"/>
                              </a:lnTo>
                              <a:lnTo>
                                <a:pt x="260773" y="57148"/>
                              </a:lnTo>
                              <a:close/>
                            </a:path>
                            <a:path w="856615" h="57150">
                              <a:moveTo>
                                <a:pt x="374978" y="57148"/>
                              </a:moveTo>
                              <a:lnTo>
                                <a:pt x="367399" y="57148"/>
                              </a:lnTo>
                              <a:lnTo>
                                <a:pt x="363754" y="56422"/>
                              </a:lnTo>
                              <a:lnTo>
                                <a:pt x="342614" y="32363"/>
                              </a:lnTo>
                              <a:lnTo>
                                <a:pt x="342614" y="24785"/>
                              </a:lnTo>
                              <a:lnTo>
                                <a:pt x="367399" y="0"/>
                              </a:lnTo>
                              <a:lnTo>
                                <a:pt x="374978" y="0"/>
                              </a:lnTo>
                              <a:lnTo>
                                <a:pt x="399764" y="24785"/>
                              </a:lnTo>
                              <a:lnTo>
                                <a:pt x="399764" y="32363"/>
                              </a:lnTo>
                              <a:lnTo>
                                <a:pt x="374978" y="57148"/>
                              </a:lnTo>
                              <a:close/>
                            </a:path>
                            <a:path w="856615" h="57150">
                              <a:moveTo>
                                <a:pt x="489183" y="57148"/>
                              </a:moveTo>
                              <a:lnTo>
                                <a:pt x="481604" y="57148"/>
                              </a:lnTo>
                              <a:lnTo>
                                <a:pt x="477959" y="56422"/>
                              </a:lnTo>
                              <a:lnTo>
                                <a:pt x="456818" y="32363"/>
                              </a:lnTo>
                              <a:lnTo>
                                <a:pt x="456818" y="24785"/>
                              </a:lnTo>
                              <a:lnTo>
                                <a:pt x="481604" y="0"/>
                              </a:lnTo>
                              <a:lnTo>
                                <a:pt x="489183" y="0"/>
                              </a:lnTo>
                              <a:lnTo>
                                <a:pt x="513968" y="24785"/>
                              </a:lnTo>
                              <a:lnTo>
                                <a:pt x="513968" y="32363"/>
                              </a:lnTo>
                              <a:lnTo>
                                <a:pt x="489183" y="57148"/>
                              </a:lnTo>
                              <a:close/>
                            </a:path>
                            <a:path w="856615" h="57150">
                              <a:moveTo>
                                <a:pt x="603387" y="57148"/>
                              </a:moveTo>
                              <a:lnTo>
                                <a:pt x="595809" y="57148"/>
                              </a:lnTo>
                              <a:lnTo>
                                <a:pt x="592164" y="56422"/>
                              </a:lnTo>
                              <a:lnTo>
                                <a:pt x="571023" y="32363"/>
                              </a:lnTo>
                              <a:lnTo>
                                <a:pt x="571023" y="24785"/>
                              </a:lnTo>
                              <a:lnTo>
                                <a:pt x="595809" y="0"/>
                              </a:lnTo>
                              <a:lnTo>
                                <a:pt x="603387" y="0"/>
                              </a:lnTo>
                              <a:lnTo>
                                <a:pt x="628173" y="24785"/>
                              </a:lnTo>
                              <a:lnTo>
                                <a:pt x="628173" y="32363"/>
                              </a:lnTo>
                              <a:lnTo>
                                <a:pt x="603387" y="57148"/>
                              </a:lnTo>
                              <a:close/>
                            </a:path>
                            <a:path w="856615" h="57150">
                              <a:moveTo>
                                <a:pt x="717592" y="57148"/>
                              </a:moveTo>
                              <a:lnTo>
                                <a:pt x="710014" y="57148"/>
                              </a:lnTo>
                              <a:lnTo>
                                <a:pt x="706369" y="56422"/>
                              </a:lnTo>
                              <a:lnTo>
                                <a:pt x="685228" y="32363"/>
                              </a:lnTo>
                              <a:lnTo>
                                <a:pt x="685228" y="24785"/>
                              </a:lnTo>
                              <a:lnTo>
                                <a:pt x="710014" y="0"/>
                              </a:lnTo>
                              <a:lnTo>
                                <a:pt x="717592" y="0"/>
                              </a:lnTo>
                              <a:lnTo>
                                <a:pt x="742378" y="24785"/>
                              </a:lnTo>
                              <a:lnTo>
                                <a:pt x="742378" y="32363"/>
                              </a:lnTo>
                              <a:lnTo>
                                <a:pt x="717592" y="57148"/>
                              </a:lnTo>
                              <a:close/>
                            </a:path>
                            <a:path w="856615" h="57150">
                              <a:moveTo>
                                <a:pt x="831797" y="57148"/>
                              </a:moveTo>
                              <a:lnTo>
                                <a:pt x="824218" y="57148"/>
                              </a:lnTo>
                              <a:lnTo>
                                <a:pt x="820573" y="56422"/>
                              </a:lnTo>
                              <a:lnTo>
                                <a:pt x="799433" y="32363"/>
                              </a:lnTo>
                              <a:lnTo>
                                <a:pt x="799433" y="24785"/>
                              </a:lnTo>
                              <a:lnTo>
                                <a:pt x="824218" y="0"/>
                              </a:lnTo>
                              <a:lnTo>
                                <a:pt x="831797" y="0"/>
                              </a:lnTo>
                              <a:lnTo>
                                <a:pt x="856583" y="24785"/>
                              </a:lnTo>
                              <a:lnTo>
                                <a:pt x="856583" y="32363"/>
                              </a:lnTo>
                              <a:lnTo>
                                <a:pt x="831797" y="57148"/>
                              </a:lnTo>
                              <a:close/>
                            </a:path>
                          </a:pathLst>
                        </a:custGeom>
                        <a:solidFill>
                          <a:srgbClr val="2B816F"/>
                        </a:solidFill>
                      </wps:spPr>
                      <wps:bodyPr wrap="square" lIns="0" tIns="0" rIns="0" bIns="0" rtlCol="0">
                        <a:prstTxWarp prst="textNoShape">
                          <a:avLst/>
                        </a:prstTxWarp>
                        <a:noAutofit/>
                      </wps:bodyPr>
                    </wps:wsp>
                  </a:graphicData>
                </a:graphic>
              </wp:anchor>
            </w:drawing>
          </mc:Choice>
          <mc:Fallback>
            <w:pict>
              <v:shape style="position:absolute;margin-left:77.25pt;margin-top:292.124146pt;width:67.45pt;height:4.5pt;mso-position-horizontal-relative:page;mso-position-vertical-relative:paragraph;z-index:-15724544;mso-wrap-distance-left:0;mso-wrap-distance-right:0" id="docshape6" coordorigin="1545,5842" coordsize="1349,90" path="m1596,5932l1584,5932,1578,5931,1567,5927,1562,5924,1554,5915,1551,5910,1546,5899,1545,5893,1545,5882,1546,5876,1551,5865,1554,5860,1562,5851,1567,5848,1578,5844,1584,5842,1596,5842,1602,5844,1613,5848,1618,5851,1626,5860,1629,5865,1634,5876,1635,5882,1635,5893,1634,5899,1629,5910,1626,5915,1618,5924,1613,5927,1602,5931,1596,5932xm1776,5932l1764,5932,1758,5931,1747,5927,1742,5924,1734,5915,1731,5910,1726,5899,1725,5893,1725,5882,1726,5876,1731,5865,1734,5860,1742,5851,1747,5848,1758,5844,1764,5842,1776,5842,1782,5844,1793,5848,1797,5851,1806,5860,1809,5865,1814,5876,1815,5882,1815,5893,1814,5899,1809,5910,1806,5915,1797,5924,1793,5927,1782,5931,1776,5932xm1956,5932l1944,5932,1938,5931,1927,5927,1922,5924,1914,5915,1910,5910,1906,5899,1905,5893,1905,5882,1906,5876,1910,5865,1914,5860,1922,5851,1927,5848,1938,5844,1944,5842,1956,5842,1961,5844,1972,5848,1977,5851,1986,5860,1989,5865,1994,5876,1995,5882,1995,5893,1994,5899,1989,5910,1986,5915,1977,5924,1972,5927,1961,5931,1956,5932xm2136,5932l2124,5932,2118,5931,2107,5927,2102,5924,2094,5915,2090,5910,2086,5899,2085,5893,2085,5882,2086,5876,2090,5865,2094,5860,2102,5851,2107,5848,2118,5844,2124,5842,2136,5842,2141,5844,2152,5848,2157,5851,2166,5860,2169,5865,2173,5876,2175,5882,2175,5893,2173,5899,2169,5910,2166,5915,2157,5924,2152,5927,2141,5931,2136,5932xm2315,5932l2303,5932,2298,5931,2287,5927,2282,5924,2273,5915,2270,5910,2266,5899,2264,5893,2264,5882,2266,5876,2270,5865,2273,5860,2282,5851,2287,5848,2298,5844,2303,5842,2315,5842,2321,5844,2332,5848,2337,5851,2345,5860,2349,5865,2353,5876,2354,5882,2354,5893,2353,5899,2349,5910,2345,5915,2337,5924,2332,5927,2321,5931,2315,5932xm2495,5932l2483,5932,2478,5931,2467,5927,2462,5924,2453,5915,2450,5910,2445,5899,2444,5893,2444,5882,2445,5876,2450,5865,2453,5860,2462,5851,2467,5848,2478,5844,2483,5842,2495,5842,2501,5844,2512,5848,2517,5851,2525,5860,2529,5865,2533,5876,2534,5882,2534,5893,2533,5899,2529,5910,2525,5915,2517,5924,2512,5927,2501,5931,2495,5932xm2675,5932l2663,5932,2657,5931,2646,5927,2641,5924,2633,5915,2630,5910,2625,5899,2624,5893,2624,5882,2625,5876,2630,5865,2633,5860,2641,5851,2646,5848,2657,5844,2663,5842,2675,5842,2681,5844,2692,5848,2697,5851,2705,5860,2708,5865,2713,5876,2714,5882,2714,5893,2713,5899,2708,5910,2705,5915,2697,5924,2692,5927,2681,5931,2675,5932xm2855,5932l2843,5932,2837,5931,2826,5927,2821,5924,2813,5915,2810,5910,2805,5899,2804,5893,2804,5882,2805,5876,2810,5865,2813,5860,2821,5851,2826,5848,2837,5844,2843,5842,2855,5842,2861,5844,2872,5848,2877,5851,2885,5860,2888,5865,2893,5876,2894,5882,2894,5893,2893,5899,2888,5910,2885,5915,2877,5924,2872,5927,2861,5931,2855,5932xe" filled="true" fillcolor="#2b816f" stroked="false">
                <v:path arrowok="t"/>
                <v:fill type="solid"/>
                <w10:wrap type="topAndBottom"/>
              </v:shape>
            </w:pict>
          </mc:Fallback>
        </mc:AlternateContent>
      </w:r>
    </w:p>
    <w:p>
      <w:pPr>
        <w:pStyle w:val="BodyText"/>
        <w:spacing w:before="32"/>
        <w:ind w:left="0"/>
        <w:jc w:val="left"/>
        <w:rPr>
          <w:sz w:val="20"/>
        </w:rPr>
      </w:pPr>
    </w:p>
    <w:p>
      <w:pPr>
        <w:spacing w:before="78"/>
        <w:ind w:left="99" w:right="0" w:firstLine="0"/>
        <w:jc w:val="left"/>
        <w:rPr>
          <w:rFonts w:ascii="Arial"/>
          <w:b/>
          <w:sz w:val="22"/>
        </w:rPr>
      </w:pPr>
      <w:r>
        <w:rPr>
          <w:rFonts w:ascii="Arial"/>
          <w:b/>
          <w:color w:val="2B816F"/>
          <w:sz w:val="22"/>
        </w:rPr>
        <w:t>FIGURE</w:t>
      </w:r>
      <w:r>
        <w:rPr>
          <w:rFonts w:ascii="Arial"/>
          <w:b/>
          <w:color w:val="2B816F"/>
          <w:spacing w:val="17"/>
          <w:sz w:val="22"/>
        </w:rPr>
        <w:t> </w:t>
      </w:r>
      <w:r>
        <w:rPr>
          <w:rFonts w:ascii="Arial"/>
          <w:b/>
          <w:color w:val="2B816F"/>
          <w:spacing w:val="-4"/>
          <w:sz w:val="22"/>
        </w:rPr>
        <w:t>23.3</w:t>
      </w:r>
    </w:p>
    <w:p>
      <w:pPr>
        <w:pStyle w:val="BodyText"/>
        <w:spacing w:before="214"/>
        <w:ind w:left="0"/>
        <w:jc w:val="left"/>
        <w:rPr>
          <w:rFonts w:ascii="Arial"/>
          <w:b/>
          <w:sz w:val="22"/>
        </w:rPr>
      </w:pPr>
    </w:p>
    <w:p>
      <w:pPr>
        <w:spacing w:before="0"/>
        <w:ind w:left="99" w:right="0" w:firstLine="0"/>
        <w:jc w:val="left"/>
        <w:rPr>
          <w:rFonts w:ascii="Arial"/>
          <w:b/>
          <w:sz w:val="30"/>
        </w:rPr>
      </w:pPr>
      <w:r>
        <w:rPr>
          <w:rFonts w:ascii="Arial"/>
          <w:b/>
          <w:color w:val="2674AE"/>
          <w:sz w:val="30"/>
        </w:rPr>
        <w:t>Pathophysiology of </w:t>
      </w:r>
      <w:r>
        <w:rPr>
          <w:rFonts w:ascii="Arial"/>
          <w:b/>
          <w:color w:val="2674AE"/>
          <w:spacing w:val="-2"/>
          <w:sz w:val="30"/>
        </w:rPr>
        <w:t>Osteoporosis</w:t>
      </w:r>
    </w:p>
    <w:p>
      <w:pPr>
        <w:pStyle w:val="BodyText"/>
        <w:spacing w:line="249" w:lineRule="auto" w:before="167"/>
        <w:ind w:right="97"/>
      </w:pPr>
      <w:r>
        <w:rPr/>
        <w:t>Osteoporosis is characterized by low bone mass and </w:t>
      </w:r>
      <w:r>
        <w:rPr/>
        <w:t>microarchitectural deterioration of bone tissue, leading to enhanced bone fragility and a consequent increase in the risk of fractures even with little or no trauma. The skeleton consists of two bone types. Cortical bone (the bone of the peripheral skeleton) is responsible for 80% of total bone, while trabecular bone (the bone of the axial skeleton—the spinal column, the pelvis, and the proximal femur) constitutes a honeycomb structure filled with red marrow and fat, providing greater surface area per unit volume.</w:t>
      </w:r>
    </w:p>
    <w:p>
      <w:pPr>
        <w:spacing w:line="249" w:lineRule="auto" w:before="10"/>
        <w:ind w:left="99" w:right="100" w:firstLine="450"/>
        <w:jc w:val="both"/>
        <w:rPr>
          <w:sz w:val="30"/>
        </w:rPr>
      </w:pPr>
      <w:r>
        <w:rPr>
          <w:b/>
          <w:sz w:val="30"/>
        </w:rPr>
        <w:t>The subsequent risk of fracture from osteoporosis in women will depend on bone mass at the time of menopause and the rate of bone</w:t>
      </w:r>
      <w:r>
        <w:rPr>
          <w:b/>
          <w:spacing w:val="40"/>
          <w:sz w:val="30"/>
        </w:rPr>
        <w:t> </w:t>
      </w:r>
      <w:r>
        <w:rPr>
          <w:b/>
          <w:sz w:val="30"/>
        </w:rPr>
        <w:t>loss following menopause.</w:t>
      </w:r>
      <w:r>
        <w:rPr>
          <w:sz w:val="30"/>
          <w:vertAlign w:val="superscript"/>
        </w:rPr>
        <w:t>5</w:t>
      </w:r>
      <w:r>
        <w:rPr>
          <w:sz w:val="30"/>
          <w:vertAlign w:val="baseline"/>
        </w:rPr>
        <w:t> The peak bone mass is influenced by </w:t>
      </w:r>
      <w:r>
        <w:rPr>
          <w:sz w:val="30"/>
          <w:vertAlign w:val="baseline"/>
        </w:rPr>
        <w:t>heredity and</w:t>
      </w:r>
      <w:r>
        <w:rPr>
          <w:spacing w:val="-1"/>
          <w:sz w:val="30"/>
          <w:vertAlign w:val="baseline"/>
        </w:rPr>
        <w:t> </w:t>
      </w:r>
      <w:r>
        <w:rPr>
          <w:sz w:val="30"/>
          <w:vertAlign w:val="baseline"/>
        </w:rPr>
        <w:t>endocrine</w:t>
      </w:r>
      <w:r>
        <w:rPr>
          <w:spacing w:val="-1"/>
          <w:sz w:val="30"/>
          <w:vertAlign w:val="baseline"/>
        </w:rPr>
        <w:t> </w:t>
      </w:r>
      <w:r>
        <w:rPr>
          <w:sz w:val="30"/>
          <w:vertAlign w:val="baseline"/>
        </w:rPr>
        <w:t>factors,</w:t>
      </w:r>
      <w:r>
        <w:rPr>
          <w:spacing w:val="-1"/>
          <w:sz w:val="30"/>
          <w:vertAlign w:val="baseline"/>
        </w:rPr>
        <w:t> </w:t>
      </w:r>
      <w:r>
        <w:rPr>
          <w:sz w:val="30"/>
          <w:vertAlign w:val="baseline"/>
        </w:rPr>
        <w:t>among</w:t>
      </w:r>
      <w:r>
        <w:rPr>
          <w:spacing w:val="-1"/>
          <w:sz w:val="30"/>
          <w:vertAlign w:val="baseline"/>
        </w:rPr>
        <w:t> </w:t>
      </w:r>
      <w:r>
        <w:rPr>
          <w:sz w:val="30"/>
          <w:vertAlign w:val="baseline"/>
        </w:rPr>
        <w:t>which</w:t>
      </w:r>
      <w:r>
        <w:rPr>
          <w:spacing w:val="-1"/>
          <w:sz w:val="30"/>
          <w:vertAlign w:val="baseline"/>
        </w:rPr>
        <w:t> </w:t>
      </w:r>
      <w:r>
        <w:rPr>
          <w:sz w:val="30"/>
          <w:vertAlign w:val="baseline"/>
        </w:rPr>
        <w:t>estrogens</w:t>
      </w:r>
      <w:r>
        <w:rPr>
          <w:spacing w:val="-1"/>
          <w:sz w:val="30"/>
          <w:vertAlign w:val="baseline"/>
        </w:rPr>
        <w:t> </w:t>
      </w:r>
      <w:r>
        <w:rPr>
          <w:sz w:val="30"/>
          <w:vertAlign w:val="baseline"/>
        </w:rPr>
        <w:t>are</w:t>
      </w:r>
      <w:r>
        <w:rPr>
          <w:spacing w:val="-1"/>
          <w:sz w:val="30"/>
          <w:vertAlign w:val="baseline"/>
        </w:rPr>
        <w:t> </w:t>
      </w:r>
      <w:r>
        <w:rPr>
          <w:sz w:val="30"/>
          <w:vertAlign w:val="baseline"/>
        </w:rPr>
        <w:t>particularly</w:t>
      </w:r>
      <w:r>
        <w:rPr>
          <w:spacing w:val="-1"/>
          <w:sz w:val="30"/>
          <w:vertAlign w:val="baseline"/>
        </w:rPr>
        <w:t> </w:t>
      </w:r>
      <w:r>
        <w:rPr>
          <w:sz w:val="30"/>
          <w:vertAlign w:val="baseline"/>
        </w:rPr>
        <w:t>relevant.</w:t>
      </w:r>
      <w:r>
        <w:rPr>
          <w:spacing w:val="-1"/>
          <w:sz w:val="30"/>
          <w:vertAlign w:val="baseline"/>
        </w:rPr>
        <w:t> </w:t>
      </w:r>
      <w:r>
        <w:rPr>
          <w:sz w:val="30"/>
          <w:vertAlign w:val="baseline"/>
        </w:rPr>
        <w:t>It is now</w:t>
      </w:r>
      <w:r>
        <w:rPr>
          <w:spacing w:val="59"/>
          <w:w w:val="150"/>
          <w:sz w:val="30"/>
          <w:vertAlign w:val="baseline"/>
        </w:rPr>
        <w:t> </w:t>
      </w:r>
      <w:r>
        <w:rPr>
          <w:sz w:val="30"/>
          <w:vertAlign w:val="baseline"/>
        </w:rPr>
        <w:t>recognized</w:t>
      </w:r>
      <w:r>
        <w:rPr>
          <w:spacing w:val="60"/>
          <w:w w:val="150"/>
          <w:sz w:val="30"/>
          <w:vertAlign w:val="baseline"/>
        </w:rPr>
        <w:t> </w:t>
      </w:r>
      <w:r>
        <w:rPr>
          <w:sz w:val="30"/>
          <w:vertAlign w:val="baseline"/>
        </w:rPr>
        <w:t>that</w:t>
      </w:r>
      <w:r>
        <w:rPr>
          <w:spacing w:val="59"/>
          <w:w w:val="150"/>
          <w:sz w:val="30"/>
          <w:vertAlign w:val="baseline"/>
        </w:rPr>
        <w:t> </w:t>
      </w:r>
      <w:r>
        <w:rPr>
          <w:sz w:val="30"/>
          <w:vertAlign w:val="baseline"/>
        </w:rPr>
        <w:t>there</w:t>
      </w:r>
      <w:r>
        <w:rPr>
          <w:spacing w:val="60"/>
          <w:w w:val="150"/>
          <w:sz w:val="30"/>
          <w:vertAlign w:val="baseline"/>
        </w:rPr>
        <w:t> </w:t>
      </w:r>
      <w:r>
        <w:rPr>
          <w:sz w:val="30"/>
          <w:vertAlign w:val="baseline"/>
        </w:rPr>
        <w:t>exists</w:t>
      </w:r>
      <w:r>
        <w:rPr>
          <w:spacing w:val="59"/>
          <w:w w:val="150"/>
          <w:sz w:val="30"/>
          <w:vertAlign w:val="baseline"/>
        </w:rPr>
        <w:t> </w:t>
      </w:r>
      <w:r>
        <w:rPr>
          <w:sz w:val="30"/>
          <w:vertAlign w:val="baseline"/>
        </w:rPr>
        <w:t>only</w:t>
      </w:r>
      <w:r>
        <w:rPr>
          <w:spacing w:val="60"/>
          <w:w w:val="150"/>
          <w:sz w:val="30"/>
          <w:vertAlign w:val="baseline"/>
        </w:rPr>
        <w:t> </w:t>
      </w:r>
      <w:r>
        <w:rPr>
          <w:sz w:val="30"/>
          <w:vertAlign w:val="baseline"/>
        </w:rPr>
        <w:t>a</w:t>
      </w:r>
      <w:r>
        <w:rPr>
          <w:spacing w:val="59"/>
          <w:w w:val="150"/>
          <w:sz w:val="30"/>
          <w:vertAlign w:val="baseline"/>
        </w:rPr>
        <w:t> </w:t>
      </w:r>
      <w:r>
        <w:rPr>
          <w:sz w:val="30"/>
          <w:vertAlign w:val="baseline"/>
        </w:rPr>
        <w:t>relatively</w:t>
      </w:r>
      <w:r>
        <w:rPr>
          <w:spacing w:val="60"/>
          <w:w w:val="150"/>
          <w:sz w:val="30"/>
          <w:vertAlign w:val="baseline"/>
        </w:rPr>
        <w:t> </w:t>
      </w:r>
      <w:r>
        <w:rPr>
          <w:sz w:val="30"/>
          <w:vertAlign w:val="baseline"/>
        </w:rPr>
        <w:t>narrow</w:t>
      </w:r>
      <w:r>
        <w:rPr>
          <w:spacing w:val="59"/>
          <w:w w:val="150"/>
          <w:sz w:val="30"/>
          <w:vertAlign w:val="baseline"/>
        </w:rPr>
        <w:t> </w:t>
      </w:r>
      <w:r>
        <w:rPr>
          <w:sz w:val="30"/>
          <w:vertAlign w:val="baseline"/>
        </w:rPr>
        <w:t>window</w:t>
      </w:r>
      <w:r>
        <w:rPr>
          <w:spacing w:val="60"/>
          <w:w w:val="150"/>
          <w:sz w:val="30"/>
          <w:vertAlign w:val="baseline"/>
        </w:rPr>
        <w:t> </w:t>
      </w:r>
      <w:r>
        <w:rPr>
          <w:spacing w:val="-5"/>
          <w:sz w:val="30"/>
          <w:vertAlign w:val="baseline"/>
        </w:rPr>
        <w:t>of</w:t>
      </w:r>
    </w:p>
    <w:p>
      <w:pPr>
        <w:spacing w:after="0" w:line="249" w:lineRule="auto"/>
        <w:jc w:val="both"/>
        <w:rPr>
          <w:sz w:val="30"/>
        </w:rPr>
        <w:sectPr>
          <w:pgSz w:w="12240" w:h="15840"/>
          <w:pgMar w:top="1380" w:bottom="280" w:left="1440" w:right="1440"/>
        </w:sectPr>
      </w:pPr>
    </w:p>
    <w:p>
      <w:pPr>
        <w:pStyle w:val="BodyText"/>
        <w:spacing w:line="249" w:lineRule="auto"/>
        <w:ind w:right="98"/>
      </w:pPr>
      <w:r>
        <w:rPr/>
        <w:t>opportunity for maximizing bone mass. Almost all of the bone mass in the hip and the vertebral bodies is accumulated in young women by late adolescence (age 18), and the years immediately following menarche (ages 11-14) are especially important.</w:t>
      </w:r>
      <w:r>
        <w:rPr>
          <w:vertAlign w:val="superscript"/>
        </w:rPr>
        <w:t>6-8</w:t>
      </w:r>
      <w:r>
        <w:rPr>
          <w:vertAlign w:val="baseline"/>
        </w:rPr>
        <w:t> </w:t>
      </w:r>
      <w:r>
        <w:rPr>
          <w:b/>
          <w:vertAlign w:val="baseline"/>
        </w:rPr>
        <w:t>Estrogen exposure during adolescence is vital to bone mass accrual. </w:t>
      </w:r>
      <w:r>
        <w:rPr>
          <w:vertAlign w:val="baseline"/>
        </w:rPr>
        <w:t>Individuals who experience a late menarche are characterized by bones with lesser density and a reduction in microstructural components, a bone quality that persists to menopause </w:t>
      </w:r>
      <w:r>
        <w:rPr>
          <w:vertAlign w:val="baseline"/>
        </w:rPr>
        <w:t>and is associated with an increased risk of fractures.</w:t>
      </w:r>
      <w:r>
        <w:rPr>
          <w:vertAlign w:val="superscript"/>
        </w:rPr>
        <w:t>9</w:t>
      </w:r>
      <w:r>
        <w:rPr>
          <w:vertAlign w:val="baseline"/>
        </w:rPr>
        <w:t> Women who experience amenorrhea during adolescence have an increased prevalence of osteoporosis.</w:t>
      </w:r>
      <w:r>
        <w:rPr>
          <w:vertAlign w:val="superscript"/>
        </w:rPr>
        <w:t>10</w:t>
      </w:r>
      <w:r>
        <w:rPr>
          <w:vertAlign w:val="baseline"/>
        </w:rPr>
        <w:t> Calcium supplementation in prepubertal and pubertal girls improves bone accrual, an important effect that could have long-lasting beneficial consequences.</w:t>
      </w:r>
      <w:r>
        <w:rPr>
          <w:vertAlign w:val="superscript"/>
        </w:rPr>
        <w:t>11-14</w:t>
      </w:r>
    </w:p>
    <w:p>
      <w:pPr>
        <w:pStyle w:val="BodyText"/>
        <w:spacing w:line="249" w:lineRule="auto" w:before="14"/>
        <w:ind w:right="98" w:firstLine="450"/>
      </w:pPr>
      <w:r>
        <w:rPr/>
        <w:t>Although the onset of spinal bone loss begins in the 20s, the overall change is small until stages of menopause transition and early menopause.</w:t>
      </w:r>
      <w:r>
        <w:rPr>
          <w:vertAlign w:val="superscript"/>
        </w:rPr>
        <w:t>15,16</w:t>
      </w:r>
      <w:r>
        <w:rPr>
          <w:vertAlign w:val="baseline"/>
        </w:rPr>
        <w:t> Bone density in the femur peaks in the mid- to late 20s and begins</w:t>
      </w:r>
      <w:r>
        <w:rPr>
          <w:spacing w:val="-3"/>
          <w:vertAlign w:val="baseline"/>
        </w:rPr>
        <w:t> </w:t>
      </w:r>
      <w:r>
        <w:rPr>
          <w:vertAlign w:val="baseline"/>
        </w:rPr>
        <w:t>to</w:t>
      </w:r>
      <w:r>
        <w:rPr>
          <w:spacing w:val="-3"/>
          <w:vertAlign w:val="baseline"/>
        </w:rPr>
        <w:t> </w:t>
      </w:r>
      <w:r>
        <w:rPr>
          <w:vertAlign w:val="baseline"/>
        </w:rPr>
        <w:t>decrease</w:t>
      </w:r>
      <w:r>
        <w:rPr>
          <w:spacing w:val="-3"/>
          <w:vertAlign w:val="baseline"/>
        </w:rPr>
        <w:t> </w:t>
      </w:r>
      <w:r>
        <w:rPr>
          <w:vertAlign w:val="baseline"/>
        </w:rPr>
        <w:t>around</w:t>
      </w:r>
      <w:r>
        <w:rPr>
          <w:spacing w:val="-3"/>
          <w:vertAlign w:val="baseline"/>
        </w:rPr>
        <w:t> </w:t>
      </w:r>
      <w:r>
        <w:rPr>
          <w:vertAlign w:val="baseline"/>
        </w:rPr>
        <w:t>age</w:t>
      </w:r>
      <w:r>
        <w:rPr>
          <w:spacing w:val="-3"/>
          <w:vertAlign w:val="baseline"/>
        </w:rPr>
        <w:t> </w:t>
      </w:r>
      <w:r>
        <w:rPr>
          <w:vertAlign w:val="baseline"/>
        </w:rPr>
        <w:t>30.</w:t>
      </w:r>
      <w:r>
        <w:rPr>
          <w:spacing w:val="-4"/>
          <w:vertAlign w:val="baseline"/>
        </w:rPr>
        <w:t> </w:t>
      </w:r>
      <w:r>
        <w:rPr>
          <w:vertAlign w:val="baseline"/>
        </w:rPr>
        <w:t>In general, trabecular bone resorption and formation occur 4 to 8 times as fast as in cortical bone. Beyond age 30, trabecular resorption begins to exceed formation by about 0.7% per year. Bone loss accelerates after menopause as up to 5% of trabecular bone and 1% to 1.5% of total bone mass loss occur per year in the first years </w:t>
      </w:r>
      <w:r>
        <w:rPr>
          <w:vertAlign w:val="baseline"/>
        </w:rPr>
        <w:t>after menopause. This accelerated loss continues for about 5 years, after which bone loss rate is considerably diminished but continues as aging-related loss.</w:t>
      </w:r>
      <w:r>
        <w:rPr>
          <w:vertAlign w:val="superscript"/>
        </w:rPr>
        <w:t>17</w:t>
      </w:r>
      <w:r>
        <w:rPr>
          <w:vertAlign w:val="baseline"/>
        </w:rPr>
        <w:t> For the first 20 years following cessation of menses, post-menopause-related bone loss results in as much as 50% reduction in trabecular bone and a 30% reduction in cortical bone.</w:t>
      </w:r>
      <w:r>
        <w:rPr>
          <w:vertAlign w:val="superscript"/>
        </w:rPr>
        <w:t>18</w:t>
      </w:r>
      <w:r>
        <w:rPr>
          <w:vertAlign w:val="baseline"/>
        </w:rPr>
        <w:t>,</w:t>
      </w:r>
      <w:r>
        <w:rPr>
          <w:vertAlign w:val="superscript"/>
        </w:rPr>
        <w:t>19</w:t>
      </w:r>
    </w:p>
    <w:p>
      <w:pPr>
        <w:pStyle w:val="BodyText"/>
        <w:spacing w:line="249" w:lineRule="auto" w:before="16"/>
        <w:ind w:right="98" w:firstLine="450"/>
      </w:pPr>
      <w:r>
        <w:rPr>
          <w:b/>
        </w:rPr>
        <w:t>When estrogen levels decline, bone remodeling, resorption, and formation</w:t>
      </w:r>
      <w:r>
        <w:rPr>
          <w:b/>
          <w:spacing w:val="-3"/>
        </w:rPr>
        <w:t> </w:t>
      </w:r>
      <w:r>
        <w:rPr>
          <w:b/>
        </w:rPr>
        <w:t>increase.</w:t>
      </w:r>
      <w:r>
        <w:rPr>
          <w:b/>
          <w:spacing w:val="-2"/>
        </w:rPr>
        <w:t> </w:t>
      </w:r>
      <w:r>
        <w:rPr/>
        <w:t>The</w:t>
      </w:r>
      <w:r>
        <w:rPr>
          <w:spacing w:val="-2"/>
        </w:rPr>
        <w:t> </w:t>
      </w:r>
      <w:r>
        <w:rPr/>
        <w:t>site</w:t>
      </w:r>
      <w:r>
        <w:rPr>
          <w:spacing w:val="-2"/>
        </w:rPr>
        <w:t> </w:t>
      </w:r>
      <w:r>
        <w:rPr/>
        <w:t>of</w:t>
      </w:r>
      <w:r>
        <w:rPr>
          <w:spacing w:val="-2"/>
        </w:rPr>
        <w:t> </w:t>
      </w:r>
      <w:r>
        <w:rPr/>
        <w:t>maximal</w:t>
      </w:r>
      <w:r>
        <w:rPr>
          <w:spacing w:val="-2"/>
        </w:rPr>
        <w:t> </w:t>
      </w:r>
      <w:r>
        <w:rPr/>
        <w:t>bone</w:t>
      </w:r>
      <w:r>
        <w:rPr>
          <w:spacing w:val="-2"/>
        </w:rPr>
        <w:t> </w:t>
      </w:r>
      <w:r>
        <w:rPr/>
        <w:t>remodeling</w:t>
      </w:r>
      <w:r>
        <w:rPr>
          <w:spacing w:val="-2"/>
        </w:rPr>
        <w:t> </w:t>
      </w:r>
      <w:r>
        <w:rPr/>
        <w:t>is</w:t>
      </w:r>
      <w:r>
        <w:rPr>
          <w:spacing w:val="-2"/>
        </w:rPr>
        <w:t> </w:t>
      </w:r>
      <w:r>
        <w:rPr/>
        <w:t>determined</w:t>
      </w:r>
      <w:r>
        <w:rPr>
          <w:spacing w:val="-2"/>
        </w:rPr>
        <w:t> </w:t>
      </w:r>
      <w:r>
        <w:rPr/>
        <w:t>by a need to adapt to physical loads on the skeleton. Each remodeling locus </w:t>
      </w:r>
      <w:r>
        <w:rPr/>
        <w:t>is initiated by osteoclast-mediated reabsorption and excavation of old bone, a process that takes 3 to 5 months, followed by osteoblast-mediated restoration and refilling. In reproductive years, the processes of bone resorption and bone formation are well balanced with resultant maintenance of net bone mass. Estrogen exerts a tonic suppression of remodeling by directing activated osteoclasts toward apoptosis and maintains a balance between osteoclastic and osteoblastic activity; in the absence of estrogen, osteoclastic</w:t>
      </w:r>
      <w:r>
        <w:rPr>
          <w:spacing w:val="71"/>
        </w:rPr>
        <w:t> </w:t>
      </w:r>
      <w:r>
        <w:rPr/>
        <w:t>activity</w:t>
      </w:r>
      <w:r>
        <w:rPr>
          <w:spacing w:val="71"/>
        </w:rPr>
        <w:t> </w:t>
      </w:r>
      <w:r>
        <w:rPr/>
        <w:t>predominates,</w:t>
      </w:r>
      <w:r>
        <w:rPr>
          <w:spacing w:val="71"/>
        </w:rPr>
        <w:t> </w:t>
      </w:r>
      <w:r>
        <w:rPr/>
        <w:t>resulting</w:t>
      </w:r>
      <w:r>
        <w:rPr>
          <w:spacing w:val="71"/>
        </w:rPr>
        <w:t> </w:t>
      </w:r>
      <w:r>
        <w:rPr/>
        <w:t>in</w:t>
      </w:r>
      <w:r>
        <w:rPr>
          <w:spacing w:val="71"/>
        </w:rPr>
        <w:t> </w:t>
      </w:r>
      <w:r>
        <w:rPr/>
        <w:t>net</w:t>
      </w:r>
      <w:r>
        <w:rPr>
          <w:spacing w:val="71"/>
        </w:rPr>
        <w:t> </w:t>
      </w:r>
      <w:r>
        <w:rPr/>
        <w:t>bone</w:t>
      </w:r>
      <w:r>
        <w:rPr>
          <w:spacing w:val="71"/>
        </w:rPr>
        <w:t> </w:t>
      </w:r>
      <w:r>
        <w:rPr/>
        <w:t>resorption.</w:t>
      </w:r>
      <w:r>
        <w:rPr>
          <w:spacing w:val="71"/>
        </w:rPr>
        <w:t> </w:t>
      </w:r>
      <w:r>
        <w:rPr>
          <w:spacing w:val="-5"/>
        </w:rPr>
        <w:t>The</w:t>
      </w:r>
    </w:p>
    <w:p>
      <w:pPr>
        <w:pStyle w:val="BodyText"/>
        <w:spacing w:after="0" w:line="249" w:lineRule="auto"/>
        <w:sectPr>
          <w:pgSz w:w="12240" w:h="15840"/>
          <w:pgMar w:top="1380" w:bottom="280" w:left="1440" w:right="1440"/>
        </w:sectPr>
      </w:pPr>
    </w:p>
    <w:p>
      <w:pPr>
        <w:pStyle w:val="BodyText"/>
        <w:spacing w:line="249" w:lineRule="auto"/>
        <w:ind w:right="98"/>
      </w:pPr>
      <w:r>
        <w:rPr/>
        <w:t>precise mechanism of action for sex steroid protection of bones remains unknown; however, a growing body of knowledge indicates complex interactions at the molecular level, with both a classic pathway involving genomic transcription mediated via hormone receptor signaling, and a nongenomic pathway that inhibits apoptosis (</w:t>
      </w:r>
      <w:r>
        <w:rPr>
          <w:b/>
          <w:color w:val="256E60"/>
        </w:rPr>
        <w:t>Figure 23.4</w:t>
      </w:r>
      <w:r>
        <w:rPr/>
        <w:t>).</w:t>
      </w:r>
      <w:r>
        <w:rPr>
          <w:vertAlign w:val="superscript"/>
        </w:rPr>
        <w:t>20,21</w:t>
      </w:r>
      <w:r>
        <w:rPr>
          <w:vertAlign w:val="baseline"/>
        </w:rPr>
        <w:t> </w:t>
      </w:r>
      <w:r>
        <w:rPr>
          <w:vertAlign w:val="baseline"/>
        </w:rPr>
        <w:t>Increased efficiency of calcium absorption, probably secondary to estrogen-induced enhancement of the availability of vitamin D, and a direct role for the estrogen receptors in the osteoblasts are likely important factors. Many estrogen-dependent growth factors and cytokines are involved in bone remodeling.</w:t>
      </w:r>
      <w:r>
        <w:rPr>
          <w:vertAlign w:val="superscript"/>
        </w:rPr>
        <w:t>22,23</w:t>
      </w:r>
      <w:r>
        <w:rPr>
          <w:vertAlign w:val="baseline"/>
        </w:rPr>
        <w:t> Estrogen modulates the production of bone-resorbing cytokines such as interleukin (IL)-1 and IL-6, bone-stimulating factors such as insulin-like growth factor 1, colony-stimulating factor, OPG, and</w:t>
      </w:r>
      <w:r>
        <w:rPr>
          <w:spacing w:val="40"/>
          <w:vertAlign w:val="baseline"/>
        </w:rPr>
        <w:t> </w:t>
      </w:r>
      <w:r>
        <w:rPr>
          <w:vertAlign w:val="baseline"/>
        </w:rPr>
        <w:t>proteins that are members of the transforming growth factor-β family.</w:t>
      </w:r>
      <w:r>
        <w:rPr>
          <w:vertAlign w:val="superscript"/>
        </w:rPr>
        <w:t>24</w:t>
      </w:r>
      <w:r>
        <w:rPr>
          <w:vertAlign w:val="baseline"/>
        </w:rPr>
        <w:t> Estrogen increases vitamin D receptors in osteoblasts, and this may be a means by which estrogen modulates vitamin D activity in the bone.</w:t>
      </w:r>
      <w:r>
        <w:rPr>
          <w:vertAlign w:val="superscript"/>
        </w:rPr>
        <w:t>25</w:t>
      </w:r>
      <w:r>
        <w:rPr>
          <w:vertAlign w:val="baseline"/>
        </w:rPr>
        <w:t> There is little evidence that estrogen affects bone by altering the circulating calciotropic hormones.</w:t>
      </w:r>
      <w:r>
        <w:rPr>
          <w:vertAlign w:val="superscript"/>
        </w:rPr>
        <w:t>26</w:t>
      </w:r>
      <w:r>
        <w:rPr>
          <w:vertAlign w:val="baseline"/>
        </w:rPr>
        <w:t> Thus, the actions of estrogen are primarily direct effects on bone and important effects on vitamin D metabolism and renal and intestinal handling of calcium.</w:t>
      </w:r>
    </w:p>
    <w:p>
      <w:pPr>
        <w:pStyle w:val="BodyText"/>
        <w:spacing w:line="249" w:lineRule="auto" w:before="23"/>
        <w:ind w:right="97" w:firstLine="450"/>
      </w:pPr>
      <w:r>
        <w:rPr/>
        <w:t>Estrogen is a critical hormone for skeletal health in both males and females. Individuals of male genotype (XY) who have mutations in the estrogen receptor-a or who have aromatase deficiencies are known to grow slowly and have markedly reduced bone densities.</w:t>
      </w:r>
      <w:r>
        <w:rPr>
          <w:vertAlign w:val="superscript"/>
        </w:rPr>
        <w:t>27,28</w:t>
      </w:r>
      <w:r>
        <w:rPr>
          <w:vertAlign w:val="baseline"/>
        </w:rPr>
        <w:t> Analysis of the decline in testosterone and circulating estrogen levels with aging </w:t>
      </w:r>
      <w:r>
        <w:rPr>
          <w:vertAlign w:val="baseline"/>
        </w:rPr>
        <w:t>indicates that the amount of bioavailable estrogen circulating in the blood is the most consistent predictor of bone density in men and women.</w:t>
      </w:r>
      <w:r>
        <w:rPr>
          <w:vertAlign w:val="superscript"/>
        </w:rPr>
        <w:t>29</w:t>
      </w:r>
      <w:r>
        <w:rPr>
          <w:vertAlign w:val="baseline"/>
        </w:rPr>
        <w:t> And most impressively, men with an aromatase deficiency, treated with estrogen, demonstrated that both androgens and estrogens are necessary in order for biological males to reach optimal bone mass.</w:t>
      </w:r>
      <w:r>
        <w:rPr>
          <w:vertAlign w:val="superscript"/>
        </w:rPr>
        <w:t>30,31</w:t>
      </w:r>
    </w:p>
    <w:p>
      <w:pPr>
        <w:pStyle w:val="BodyText"/>
        <w:spacing w:line="249" w:lineRule="auto" w:before="12"/>
        <w:ind w:right="102" w:firstLine="450"/>
      </w:pPr>
      <w:r>
        <w:rPr/>
        <w:t>Racial differences in bone mass are well recognized. Bone mass, adjusted for body size, is greater in the Black compared to White populations. It is believed that racial differences in bone density </w:t>
      </w:r>
      <w:r>
        <w:rPr/>
        <w:t>are established in childhood and early adolescence.</w:t>
      </w:r>
      <w:r>
        <w:rPr>
          <w:vertAlign w:val="superscript"/>
        </w:rPr>
        <w:t>32,33</w:t>
      </w:r>
      <w:r>
        <w:rPr>
          <w:vertAlign w:val="baseline"/>
        </w:rPr>
        <w:t> More than half the difference, comparing Black children with White children, is due to differences in body size and composition; a significant contribution is made by</w:t>
      </w:r>
      <w:r>
        <w:rPr>
          <w:spacing w:val="8"/>
          <w:vertAlign w:val="baseline"/>
        </w:rPr>
        <w:t> </w:t>
      </w:r>
      <w:r>
        <w:rPr>
          <w:vertAlign w:val="baseline"/>
        </w:rPr>
        <w:t>bone</w:t>
      </w:r>
      <w:r>
        <w:rPr>
          <w:spacing w:val="8"/>
          <w:vertAlign w:val="baseline"/>
        </w:rPr>
        <w:t> </w:t>
      </w:r>
      <w:r>
        <w:rPr>
          <w:vertAlign w:val="baseline"/>
        </w:rPr>
        <w:t>metabolism,</w:t>
      </w:r>
      <w:r>
        <w:rPr>
          <w:spacing w:val="8"/>
          <w:vertAlign w:val="baseline"/>
        </w:rPr>
        <w:t> </w:t>
      </w:r>
      <w:r>
        <w:rPr>
          <w:vertAlign w:val="baseline"/>
        </w:rPr>
        <w:t>a</w:t>
      </w:r>
      <w:r>
        <w:rPr>
          <w:spacing w:val="8"/>
          <w:vertAlign w:val="baseline"/>
        </w:rPr>
        <w:t> </w:t>
      </w:r>
      <w:r>
        <w:rPr>
          <w:vertAlign w:val="baseline"/>
        </w:rPr>
        <w:t>smaller</w:t>
      </w:r>
      <w:r>
        <w:rPr>
          <w:spacing w:val="8"/>
          <w:vertAlign w:val="baseline"/>
        </w:rPr>
        <w:t> </w:t>
      </w:r>
      <w:r>
        <w:rPr>
          <w:vertAlign w:val="baseline"/>
        </w:rPr>
        <w:t>portion</w:t>
      </w:r>
      <w:r>
        <w:rPr>
          <w:spacing w:val="8"/>
          <w:vertAlign w:val="baseline"/>
        </w:rPr>
        <w:t> </w:t>
      </w:r>
      <w:r>
        <w:rPr>
          <w:vertAlign w:val="baseline"/>
        </w:rPr>
        <w:t>by</w:t>
      </w:r>
      <w:r>
        <w:rPr>
          <w:spacing w:val="8"/>
          <w:vertAlign w:val="baseline"/>
        </w:rPr>
        <w:t> </w:t>
      </w:r>
      <w:r>
        <w:rPr>
          <w:vertAlign w:val="baseline"/>
        </w:rPr>
        <w:t>sex</w:t>
      </w:r>
      <w:r>
        <w:rPr>
          <w:spacing w:val="8"/>
          <w:vertAlign w:val="baseline"/>
        </w:rPr>
        <w:t> </w:t>
      </w:r>
      <w:r>
        <w:rPr>
          <w:vertAlign w:val="baseline"/>
        </w:rPr>
        <w:t>hormone</w:t>
      </w:r>
      <w:r>
        <w:rPr>
          <w:spacing w:val="8"/>
          <w:vertAlign w:val="baseline"/>
        </w:rPr>
        <w:t> </w:t>
      </w:r>
      <w:r>
        <w:rPr>
          <w:vertAlign w:val="baseline"/>
        </w:rPr>
        <w:t>levels,</w:t>
      </w:r>
      <w:r>
        <w:rPr>
          <w:spacing w:val="8"/>
          <w:vertAlign w:val="baseline"/>
        </w:rPr>
        <w:t> </w:t>
      </w:r>
      <w:r>
        <w:rPr>
          <w:vertAlign w:val="baseline"/>
        </w:rPr>
        <w:t>and</w:t>
      </w:r>
      <w:r>
        <w:rPr>
          <w:spacing w:val="8"/>
          <w:vertAlign w:val="baseline"/>
        </w:rPr>
        <w:t> </w:t>
      </w:r>
      <w:r>
        <w:rPr>
          <w:vertAlign w:val="baseline"/>
        </w:rPr>
        <w:t>only</w:t>
      </w:r>
      <w:r>
        <w:rPr>
          <w:spacing w:val="8"/>
          <w:vertAlign w:val="baseline"/>
        </w:rPr>
        <w:t> </w:t>
      </w:r>
      <w:r>
        <w:rPr>
          <w:spacing w:val="-5"/>
          <w:vertAlign w:val="baseline"/>
        </w:rPr>
        <w:t>2%</w:t>
      </w:r>
    </w:p>
    <w:p>
      <w:pPr>
        <w:pStyle w:val="BodyText"/>
        <w:spacing w:after="0" w:line="249" w:lineRule="auto"/>
        <w:sectPr>
          <w:pgSz w:w="12240" w:h="15840"/>
          <w:pgMar w:top="1380" w:bottom="280" w:left="1440" w:right="1440"/>
        </w:sectPr>
      </w:pPr>
    </w:p>
    <w:p>
      <w:pPr>
        <w:pStyle w:val="BodyText"/>
        <w:spacing w:line="249" w:lineRule="auto"/>
        <w:ind w:right="100"/>
      </w:pPr>
      <w:r>
        <w:rPr/>
        <w:t>of the difference is unexplained.</w:t>
      </w:r>
      <w:r>
        <w:rPr>
          <w:vertAlign w:val="superscript"/>
        </w:rPr>
        <w:t>34</w:t>
      </w:r>
      <w:r>
        <w:rPr>
          <w:spacing w:val="-1"/>
          <w:vertAlign w:val="baseline"/>
        </w:rPr>
        <w:t> </w:t>
      </w:r>
      <w:r>
        <w:rPr>
          <w:vertAlign w:val="baseline"/>
        </w:rPr>
        <w:t>During adolescence, Black people absorb calcium more efficiently and bone turnover is greater with more net </w:t>
      </w:r>
      <w:r>
        <w:rPr>
          <w:vertAlign w:val="baseline"/>
        </w:rPr>
        <w:t>bone </w:t>
      </w:r>
      <w:r>
        <w:rPr>
          <w:spacing w:val="-2"/>
          <w:vertAlign w:val="baseline"/>
        </w:rPr>
        <w:t>formation.</w:t>
      </w:r>
      <w:r>
        <w:rPr>
          <w:spacing w:val="-2"/>
          <w:vertAlign w:val="superscript"/>
        </w:rPr>
        <w:t>35</w:t>
      </w:r>
    </w:p>
    <w:p>
      <w:pPr>
        <w:pStyle w:val="BodyText"/>
        <w:spacing w:before="0"/>
        <w:ind w:left="0"/>
        <w:jc w:val="left"/>
        <w:rPr>
          <w:sz w:val="20"/>
        </w:rPr>
      </w:pPr>
    </w:p>
    <w:p>
      <w:pPr>
        <w:pStyle w:val="BodyText"/>
        <w:spacing w:before="114"/>
        <w:ind w:left="0"/>
        <w:jc w:val="left"/>
        <w:rPr>
          <w:sz w:val="20"/>
        </w:rPr>
      </w:pPr>
      <w:r>
        <w:rPr>
          <w:sz w:val="20"/>
        </w:rPr>
        <w:drawing>
          <wp:anchor distT="0" distB="0" distL="0" distR="0" allowOverlap="1" layoutInCell="1" locked="0" behindDoc="1" simplePos="0" relativeHeight="487592448">
            <wp:simplePos x="0" y="0"/>
            <wp:positionH relativeFrom="page">
              <wp:posOffset>981075</wp:posOffset>
            </wp:positionH>
            <wp:positionV relativeFrom="paragraph">
              <wp:posOffset>234134</wp:posOffset>
            </wp:positionV>
            <wp:extent cx="5793853" cy="3096387"/>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0" cstate="print"/>
                    <a:stretch>
                      <a:fillRect/>
                    </a:stretch>
                  </pic:blipFill>
                  <pic:spPr>
                    <a:xfrm>
                      <a:off x="0" y="0"/>
                      <a:ext cx="5793853" cy="309638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92960">
                <wp:simplePos x="0" y="0"/>
                <wp:positionH relativeFrom="page">
                  <wp:posOffset>981075</wp:posOffset>
                </wp:positionH>
                <wp:positionV relativeFrom="paragraph">
                  <wp:posOffset>3529784</wp:posOffset>
                </wp:positionV>
                <wp:extent cx="856615" cy="5715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856615" cy="57150"/>
                        </a:xfrm>
                        <a:custGeom>
                          <a:avLst/>
                          <a:gdLst/>
                          <a:ahLst/>
                          <a:cxnLst/>
                          <a:rect l="l" t="t" r="r" b="b"/>
                          <a:pathLst>
                            <a:path w="856615" h="57150">
                              <a:moveTo>
                                <a:pt x="32364" y="57145"/>
                              </a:moveTo>
                              <a:lnTo>
                                <a:pt x="24785" y="57145"/>
                              </a:lnTo>
                              <a:lnTo>
                                <a:pt x="21140" y="56419"/>
                              </a:lnTo>
                              <a:lnTo>
                                <a:pt x="0" y="32356"/>
                              </a:lnTo>
                              <a:lnTo>
                                <a:pt x="0" y="24780"/>
                              </a:lnTo>
                              <a:lnTo>
                                <a:pt x="24785" y="0"/>
                              </a:lnTo>
                              <a:lnTo>
                                <a:pt x="32364" y="0"/>
                              </a:lnTo>
                              <a:lnTo>
                                <a:pt x="57149" y="24780"/>
                              </a:lnTo>
                              <a:lnTo>
                                <a:pt x="57149" y="32356"/>
                              </a:lnTo>
                              <a:lnTo>
                                <a:pt x="32364" y="57145"/>
                              </a:lnTo>
                              <a:close/>
                            </a:path>
                            <a:path w="856615" h="57150">
                              <a:moveTo>
                                <a:pt x="146569" y="57145"/>
                              </a:moveTo>
                              <a:lnTo>
                                <a:pt x="138990" y="57145"/>
                              </a:lnTo>
                              <a:lnTo>
                                <a:pt x="135345" y="56419"/>
                              </a:lnTo>
                              <a:lnTo>
                                <a:pt x="114204" y="32356"/>
                              </a:lnTo>
                              <a:lnTo>
                                <a:pt x="114204" y="24780"/>
                              </a:lnTo>
                              <a:lnTo>
                                <a:pt x="138990" y="0"/>
                              </a:lnTo>
                              <a:lnTo>
                                <a:pt x="146569" y="0"/>
                              </a:lnTo>
                              <a:lnTo>
                                <a:pt x="171354" y="24780"/>
                              </a:lnTo>
                              <a:lnTo>
                                <a:pt x="171354" y="32356"/>
                              </a:lnTo>
                              <a:lnTo>
                                <a:pt x="146569" y="57145"/>
                              </a:lnTo>
                              <a:close/>
                            </a:path>
                            <a:path w="856615" h="57150">
                              <a:moveTo>
                                <a:pt x="260773" y="57145"/>
                              </a:moveTo>
                              <a:lnTo>
                                <a:pt x="253195" y="57145"/>
                              </a:lnTo>
                              <a:lnTo>
                                <a:pt x="249550" y="56419"/>
                              </a:lnTo>
                              <a:lnTo>
                                <a:pt x="228409" y="32356"/>
                              </a:lnTo>
                              <a:lnTo>
                                <a:pt x="228409" y="24780"/>
                              </a:lnTo>
                              <a:lnTo>
                                <a:pt x="253195" y="0"/>
                              </a:lnTo>
                              <a:lnTo>
                                <a:pt x="260773" y="0"/>
                              </a:lnTo>
                              <a:lnTo>
                                <a:pt x="285559" y="24780"/>
                              </a:lnTo>
                              <a:lnTo>
                                <a:pt x="285559" y="32356"/>
                              </a:lnTo>
                              <a:lnTo>
                                <a:pt x="260773" y="57145"/>
                              </a:lnTo>
                              <a:close/>
                            </a:path>
                            <a:path w="856615" h="57150">
                              <a:moveTo>
                                <a:pt x="374978" y="57145"/>
                              </a:moveTo>
                              <a:lnTo>
                                <a:pt x="367399" y="57145"/>
                              </a:lnTo>
                              <a:lnTo>
                                <a:pt x="363754" y="56419"/>
                              </a:lnTo>
                              <a:lnTo>
                                <a:pt x="342614" y="32356"/>
                              </a:lnTo>
                              <a:lnTo>
                                <a:pt x="342614" y="24780"/>
                              </a:lnTo>
                              <a:lnTo>
                                <a:pt x="367399" y="0"/>
                              </a:lnTo>
                              <a:lnTo>
                                <a:pt x="374978" y="0"/>
                              </a:lnTo>
                              <a:lnTo>
                                <a:pt x="399764" y="24780"/>
                              </a:lnTo>
                              <a:lnTo>
                                <a:pt x="399764" y="32356"/>
                              </a:lnTo>
                              <a:lnTo>
                                <a:pt x="374978" y="57145"/>
                              </a:lnTo>
                              <a:close/>
                            </a:path>
                            <a:path w="856615" h="57150">
                              <a:moveTo>
                                <a:pt x="489183" y="57145"/>
                              </a:moveTo>
                              <a:lnTo>
                                <a:pt x="481604" y="57145"/>
                              </a:lnTo>
                              <a:lnTo>
                                <a:pt x="477959" y="56419"/>
                              </a:lnTo>
                              <a:lnTo>
                                <a:pt x="456818" y="32356"/>
                              </a:lnTo>
                              <a:lnTo>
                                <a:pt x="456818" y="24780"/>
                              </a:lnTo>
                              <a:lnTo>
                                <a:pt x="481604" y="0"/>
                              </a:lnTo>
                              <a:lnTo>
                                <a:pt x="489183" y="0"/>
                              </a:lnTo>
                              <a:lnTo>
                                <a:pt x="513968" y="24780"/>
                              </a:lnTo>
                              <a:lnTo>
                                <a:pt x="513968" y="32356"/>
                              </a:lnTo>
                              <a:lnTo>
                                <a:pt x="489183" y="57145"/>
                              </a:lnTo>
                              <a:close/>
                            </a:path>
                            <a:path w="856615" h="57150">
                              <a:moveTo>
                                <a:pt x="603387" y="57145"/>
                              </a:moveTo>
                              <a:lnTo>
                                <a:pt x="595809" y="57145"/>
                              </a:lnTo>
                              <a:lnTo>
                                <a:pt x="592164" y="56419"/>
                              </a:lnTo>
                              <a:lnTo>
                                <a:pt x="571023" y="32356"/>
                              </a:lnTo>
                              <a:lnTo>
                                <a:pt x="571023" y="24780"/>
                              </a:lnTo>
                              <a:lnTo>
                                <a:pt x="595809" y="0"/>
                              </a:lnTo>
                              <a:lnTo>
                                <a:pt x="603387" y="0"/>
                              </a:lnTo>
                              <a:lnTo>
                                <a:pt x="628173" y="24780"/>
                              </a:lnTo>
                              <a:lnTo>
                                <a:pt x="628173" y="32356"/>
                              </a:lnTo>
                              <a:lnTo>
                                <a:pt x="603387" y="57145"/>
                              </a:lnTo>
                              <a:close/>
                            </a:path>
                            <a:path w="856615" h="57150">
                              <a:moveTo>
                                <a:pt x="717592" y="57145"/>
                              </a:moveTo>
                              <a:lnTo>
                                <a:pt x="710014" y="57145"/>
                              </a:lnTo>
                              <a:lnTo>
                                <a:pt x="706369" y="56419"/>
                              </a:lnTo>
                              <a:lnTo>
                                <a:pt x="685228" y="32356"/>
                              </a:lnTo>
                              <a:lnTo>
                                <a:pt x="685228" y="24780"/>
                              </a:lnTo>
                              <a:lnTo>
                                <a:pt x="710014" y="0"/>
                              </a:lnTo>
                              <a:lnTo>
                                <a:pt x="717592" y="0"/>
                              </a:lnTo>
                              <a:lnTo>
                                <a:pt x="742378" y="24780"/>
                              </a:lnTo>
                              <a:lnTo>
                                <a:pt x="742378" y="32356"/>
                              </a:lnTo>
                              <a:lnTo>
                                <a:pt x="717592" y="57145"/>
                              </a:lnTo>
                              <a:close/>
                            </a:path>
                            <a:path w="856615" h="57150">
                              <a:moveTo>
                                <a:pt x="831797" y="57145"/>
                              </a:moveTo>
                              <a:lnTo>
                                <a:pt x="824218" y="57145"/>
                              </a:lnTo>
                              <a:lnTo>
                                <a:pt x="820573" y="56419"/>
                              </a:lnTo>
                              <a:lnTo>
                                <a:pt x="799433" y="32356"/>
                              </a:lnTo>
                              <a:lnTo>
                                <a:pt x="799433" y="24780"/>
                              </a:lnTo>
                              <a:lnTo>
                                <a:pt x="824218" y="0"/>
                              </a:lnTo>
                              <a:lnTo>
                                <a:pt x="831797" y="0"/>
                              </a:lnTo>
                              <a:lnTo>
                                <a:pt x="856583" y="24780"/>
                              </a:lnTo>
                              <a:lnTo>
                                <a:pt x="856583" y="32356"/>
                              </a:lnTo>
                              <a:lnTo>
                                <a:pt x="831797" y="57145"/>
                              </a:lnTo>
                              <a:close/>
                            </a:path>
                          </a:pathLst>
                        </a:custGeom>
                        <a:solidFill>
                          <a:srgbClr val="2B816F"/>
                        </a:solidFill>
                      </wps:spPr>
                      <wps:bodyPr wrap="square" lIns="0" tIns="0" rIns="0" bIns="0" rtlCol="0">
                        <a:prstTxWarp prst="textNoShape">
                          <a:avLst/>
                        </a:prstTxWarp>
                        <a:noAutofit/>
                      </wps:bodyPr>
                    </wps:wsp>
                  </a:graphicData>
                </a:graphic>
              </wp:anchor>
            </w:drawing>
          </mc:Choice>
          <mc:Fallback>
            <w:pict>
              <v:shape style="position:absolute;margin-left:77.25pt;margin-top:277.935791pt;width:67.45pt;height:4.5pt;mso-position-horizontal-relative:page;mso-position-vertical-relative:paragraph;z-index:-15723520;mso-wrap-distance-left:0;mso-wrap-distance-right:0" id="docshape7" coordorigin="1545,5559" coordsize="1349,90" path="m1596,5649l1584,5649,1578,5648,1567,5643,1562,5640,1554,5631,1551,5626,1546,5615,1545,5610,1545,5598,1546,5592,1551,5581,1554,5576,1562,5568,1567,5564,1578,5560,1584,5559,1596,5559,1602,5560,1613,5564,1618,5568,1626,5576,1629,5581,1634,5592,1635,5598,1635,5610,1634,5615,1629,5626,1626,5631,1618,5640,1613,5643,1602,5648,1596,5649xm1776,5649l1764,5649,1758,5648,1747,5643,1742,5640,1734,5631,1731,5626,1726,5615,1725,5610,1725,5598,1726,5592,1731,5581,1734,5576,1742,5568,1747,5564,1758,5560,1764,5559,1776,5559,1782,5560,1793,5564,1797,5568,1806,5576,1809,5581,1814,5592,1815,5598,1815,5610,1814,5615,1809,5626,1806,5631,1797,5640,1793,5643,1782,5648,1776,5649xm1956,5649l1944,5649,1938,5648,1927,5643,1922,5640,1914,5631,1910,5626,1906,5615,1905,5610,1905,5598,1906,5592,1910,5581,1914,5576,1922,5568,1927,5564,1938,5560,1944,5559,1956,5559,1961,5560,1972,5564,1977,5568,1986,5576,1989,5581,1994,5592,1995,5598,1995,5610,1994,5615,1989,5626,1986,5631,1977,5640,1972,5643,1961,5648,1956,5649xm2136,5649l2124,5649,2118,5648,2107,5643,2102,5640,2094,5631,2090,5626,2086,5615,2085,5610,2085,5598,2086,5592,2090,5581,2094,5576,2102,5568,2107,5564,2118,5560,2124,5559,2136,5559,2141,5560,2152,5564,2157,5568,2166,5576,2169,5581,2173,5592,2175,5598,2175,5610,2173,5615,2169,5626,2166,5631,2157,5640,2152,5643,2141,5648,2136,5649xm2315,5649l2303,5649,2298,5648,2287,5643,2282,5640,2273,5631,2270,5626,2266,5615,2264,5610,2264,5598,2266,5592,2270,5581,2273,5576,2282,5568,2287,5564,2298,5560,2303,5559,2315,5559,2321,5560,2332,5564,2337,5568,2345,5576,2349,5581,2353,5592,2354,5598,2354,5610,2353,5615,2349,5626,2345,5631,2337,5640,2332,5643,2321,5648,2315,5649xm2495,5649l2483,5649,2478,5648,2467,5643,2462,5640,2453,5631,2450,5626,2445,5615,2444,5610,2444,5598,2445,5592,2450,5581,2453,5576,2462,5568,2467,5564,2478,5560,2483,5559,2495,5559,2501,5560,2512,5564,2517,5568,2525,5576,2529,5581,2533,5592,2534,5598,2534,5610,2533,5615,2529,5626,2525,5631,2517,5640,2512,5643,2501,5648,2495,5649xm2675,5649l2663,5649,2657,5648,2646,5643,2641,5640,2633,5631,2630,5626,2625,5615,2624,5610,2624,5598,2625,5592,2630,5581,2633,5576,2641,5568,2646,5564,2657,5560,2663,5559,2675,5559,2681,5560,2692,5564,2697,5568,2705,5576,2708,5581,2713,5592,2714,5598,2714,5610,2713,5615,2708,5626,2705,5631,2697,5640,2692,5643,2681,5648,2675,5649xm2855,5649l2843,5649,2837,5648,2826,5643,2821,5640,2813,5631,2810,5626,2805,5615,2804,5610,2804,5598,2805,5592,2810,5581,2813,5576,2821,5568,2826,5564,2837,5560,2843,5559,2855,5559,2861,5560,2872,5564,2877,5568,2885,5576,2888,5581,2893,5592,2894,5598,2894,5610,2893,5615,2888,5626,2885,5631,2877,5640,2872,5643,2861,5648,2855,5649xe" filled="true" fillcolor="#2b816f" stroked="false">
                <v:path arrowok="t"/>
                <v:fill type="solid"/>
                <w10:wrap type="topAndBottom"/>
              </v:shape>
            </w:pict>
          </mc:Fallback>
        </mc:AlternateContent>
      </w:r>
    </w:p>
    <w:p>
      <w:pPr>
        <w:pStyle w:val="BodyText"/>
        <w:spacing w:before="59"/>
        <w:ind w:left="0"/>
        <w:jc w:val="left"/>
        <w:rPr>
          <w:sz w:val="20"/>
        </w:rPr>
      </w:pPr>
    </w:p>
    <w:p>
      <w:pPr>
        <w:spacing w:before="63"/>
        <w:ind w:left="99" w:right="0" w:firstLine="0"/>
        <w:jc w:val="left"/>
        <w:rPr>
          <w:rFonts w:ascii="Arial"/>
          <w:b/>
          <w:sz w:val="22"/>
        </w:rPr>
      </w:pPr>
      <w:r>
        <w:rPr>
          <w:rFonts w:ascii="Arial"/>
          <w:b/>
          <w:color w:val="2B816F"/>
          <w:sz w:val="22"/>
        </w:rPr>
        <w:t>FIGURE</w:t>
      </w:r>
      <w:r>
        <w:rPr>
          <w:rFonts w:ascii="Arial"/>
          <w:b/>
          <w:color w:val="2B816F"/>
          <w:spacing w:val="17"/>
          <w:sz w:val="22"/>
        </w:rPr>
        <w:t> </w:t>
      </w:r>
      <w:r>
        <w:rPr>
          <w:rFonts w:ascii="Arial"/>
          <w:b/>
          <w:color w:val="2B816F"/>
          <w:spacing w:val="-4"/>
          <w:sz w:val="22"/>
        </w:rPr>
        <w:t>23.4</w:t>
      </w:r>
    </w:p>
    <w:p>
      <w:pPr>
        <w:pStyle w:val="BodyText"/>
        <w:spacing w:before="215"/>
        <w:ind w:left="0"/>
        <w:jc w:val="left"/>
        <w:rPr>
          <w:rFonts w:ascii="Arial"/>
          <w:b/>
          <w:sz w:val="22"/>
        </w:rPr>
      </w:pPr>
    </w:p>
    <w:p>
      <w:pPr>
        <w:pStyle w:val="BodyText"/>
        <w:spacing w:line="249" w:lineRule="auto" w:before="1"/>
        <w:ind w:right="98" w:firstLine="450"/>
      </w:pPr>
      <w:r>
        <w:rPr/>
        <w:t>In general, bone mass is greater in Black women who have obesity and less in White slender-framed women with sedentary lifestyle. Spinal bone density is similar among Black and Asian women (lower in White women), and hip bone density is higher among Black women compared to White and Asian women.</w:t>
      </w:r>
      <w:r>
        <w:rPr>
          <w:vertAlign w:val="superscript"/>
        </w:rPr>
        <w:t>36</w:t>
      </w:r>
      <w:r>
        <w:rPr>
          <w:vertAlign w:val="baseline"/>
        </w:rPr>
        <w:t> Conventional wisdom has held that Asian women </w:t>
      </w:r>
      <w:r>
        <w:rPr>
          <w:vertAlign w:val="baseline"/>
        </w:rPr>
        <w:t>have even lower bone densities than White women. The Study of Women’s Health Across the Nation (SWAN) study demonstrated that the apparent racial</w:t>
      </w:r>
      <w:r>
        <w:rPr>
          <w:spacing w:val="-8"/>
          <w:vertAlign w:val="baseline"/>
        </w:rPr>
        <w:t> </w:t>
      </w:r>
      <w:r>
        <w:rPr>
          <w:vertAlign w:val="baseline"/>
        </w:rPr>
        <w:t>differences</w:t>
      </w:r>
      <w:r>
        <w:rPr>
          <w:spacing w:val="-8"/>
          <w:vertAlign w:val="baseline"/>
        </w:rPr>
        <w:t> </w:t>
      </w:r>
      <w:r>
        <w:rPr>
          <w:vertAlign w:val="baseline"/>
        </w:rPr>
        <w:t>disappeared</w:t>
      </w:r>
      <w:r>
        <w:rPr>
          <w:spacing w:val="-8"/>
          <w:vertAlign w:val="baseline"/>
        </w:rPr>
        <w:t> </w:t>
      </w:r>
      <w:r>
        <w:rPr>
          <w:vertAlign w:val="baseline"/>
        </w:rPr>
        <w:t>when</w:t>
      </w:r>
      <w:r>
        <w:rPr>
          <w:spacing w:val="-8"/>
          <w:vertAlign w:val="baseline"/>
        </w:rPr>
        <w:t> </w:t>
      </w:r>
      <w:r>
        <w:rPr>
          <w:vertAlign w:val="baseline"/>
        </w:rPr>
        <w:t>the</w:t>
      </w:r>
      <w:r>
        <w:rPr>
          <w:spacing w:val="-8"/>
          <w:vertAlign w:val="baseline"/>
        </w:rPr>
        <w:t> </w:t>
      </w:r>
      <w:r>
        <w:rPr>
          <w:vertAlign w:val="baseline"/>
        </w:rPr>
        <w:t>data</w:t>
      </w:r>
      <w:r>
        <w:rPr>
          <w:spacing w:val="-8"/>
          <w:vertAlign w:val="baseline"/>
        </w:rPr>
        <w:t> </w:t>
      </w:r>
      <w:r>
        <w:rPr>
          <w:vertAlign w:val="baseline"/>
        </w:rPr>
        <w:t>were</w:t>
      </w:r>
      <w:r>
        <w:rPr>
          <w:spacing w:val="-8"/>
          <w:vertAlign w:val="baseline"/>
        </w:rPr>
        <w:t> </w:t>
      </w:r>
      <w:r>
        <w:rPr>
          <w:vertAlign w:val="baseline"/>
        </w:rPr>
        <w:t>adjusted</w:t>
      </w:r>
      <w:r>
        <w:rPr>
          <w:spacing w:val="-8"/>
          <w:vertAlign w:val="baseline"/>
        </w:rPr>
        <w:t> </w:t>
      </w:r>
      <w:r>
        <w:rPr>
          <w:vertAlign w:val="baseline"/>
        </w:rPr>
        <w:t>for</w:t>
      </w:r>
      <w:r>
        <w:rPr>
          <w:spacing w:val="-8"/>
          <w:vertAlign w:val="baseline"/>
        </w:rPr>
        <w:t> </w:t>
      </w:r>
      <w:r>
        <w:rPr>
          <w:vertAlign w:val="baseline"/>
        </w:rPr>
        <w:t>body</w:t>
      </w:r>
      <w:r>
        <w:rPr>
          <w:spacing w:val="-8"/>
          <w:vertAlign w:val="baseline"/>
        </w:rPr>
        <w:t> </w:t>
      </w:r>
      <w:r>
        <w:rPr>
          <w:vertAlign w:val="baseline"/>
        </w:rPr>
        <w:t>size.</w:t>
      </w:r>
      <w:r>
        <w:rPr>
          <w:vertAlign w:val="superscript"/>
        </w:rPr>
        <w:t>36,37</w:t>
      </w:r>
      <w:r>
        <w:rPr>
          <w:vertAlign w:val="baseline"/>
        </w:rPr>
        <w:t> Both Black and Asian women have higher bone density and lower fracture rates than White women. Despite the greater bone mass and lower fracture rates, the impact of osteoporotic fractures in Black and Asian women is still considerable.</w:t>
      </w:r>
      <w:r>
        <w:rPr>
          <w:spacing w:val="-6"/>
          <w:vertAlign w:val="baseline"/>
        </w:rPr>
        <w:t> </w:t>
      </w:r>
      <w:r>
        <w:rPr>
          <w:vertAlign w:val="baseline"/>
        </w:rPr>
        <w:t>Postmenopausal estrogen therapy is associated with improved bone</w:t>
      </w:r>
      <w:r>
        <w:rPr>
          <w:spacing w:val="15"/>
          <w:vertAlign w:val="baseline"/>
        </w:rPr>
        <w:t> </w:t>
      </w:r>
      <w:r>
        <w:rPr>
          <w:vertAlign w:val="baseline"/>
        </w:rPr>
        <w:t>mineral</w:t>
      </w:r>
      <w:r>
        <w:rPr>
          <w:spacing w:val="15"/>
          <w:vertAlign w:val="baseline"/>
        </w:rPr>
        <w:t> </w:t>
      </w:r>
      <w:r>
        <w:rPr>
          <w:vertAlign w:val="baseline"/>
        </w:rPr>
        <w:t>density</w:t>
      </w:r>
      <w:r>
        <w:rPr>
          <w:spacing w:val="15"/>
          <w:vertAlign w:val="baseline"/>
        </w:rPr>
        <w:t> </w:t>
      </w:r>
      <w:r>
        <w:rPr>
          <w:vertAlign w:val="baseline"/>
        </w:rPr>
        <w:t>(BMD)</w:t>
      </w:r>
      <w:r>
        <w:rPr>
          <w:spacing w:val="15"/>
          <w:vertAlign w:val="baseline"/>
        </w:rPr>
        <w:t> </w:t>
      </w:r>
      <w:r>
        <w:rPr>
          <w:vertAlign w:val="baseline"/>
        </w:rPr>
        <w:t>and</w:t>
      </w:r>
      <w:r>
        <w:rPr>
          <w:spacing w:val="15"/>
          <w:vertAlign w:val="baseline"/>
        </w:rPr>
        <w:t> </w:t>
      </w:r>
      <w:r>
        <w:rPr>
          <w:vertAlign w:val="baseline"/>
        </w:rPr>
        <w:t>protection</w:t>
      </w:r>
      <w:r>
        <w:rPr>
          <w:spacing w:val="15"/>
          <w:vertAlign w:val="baseline"/>
        </w:rPr>
        <w:t> </w:t>
      </w:r>
      <w:r>
        <w:rPr>
          <w:vertAlign w:val="baseline"/>
        </w:rPr>
        <w:t>against</w:t>
      </w:r>
      <w:r>
        <w:rPr>
          <w:spacing w:val="15"/>
          <w:vertAlign w:val="baseline"/>
        </w:rPr>
        <w:t> </w:t>
      </w:r>
      <w:r>
        <w:rPr>
          <w:vertAlign w:val="baseline"/>
        </w:rPr>
        <w:t>fracture</w:t>
      </w:r>
      <w:r>
        <w:rPr>
          <w:spacing w:val="15"/>
          <w:vertAlign w:val="baseline"/>
        </w:rPr>
        <w:t> </w:t>
      </w:r>
      <w:r>
        <w:rPr>
          <w:vertAlign w:val="baseline"/>
        </w:rPr>
        <w:t>risk</w:t>
      </w:r>
      <w:r>
        <w:rPr>
          <w:spacing w:val="15"/>
          <w:vertAlign w:val="baseline"/>
        </w:rPr>
        <w:t> </w:t>
      </w:r>
      <w:r>
        <w:rPr>
          <w:spacing w:val="-2"/>
          <w:vertAlign w:val="baseline"/>
        </w:rPr>
        <w:t>regardless</w:t>
      </w:r>
    </w:p>
    <w:p>
      <w:pPr>
        <w:pStyle w:val="BodyText"/>
        <w:spacing w:after="0" w:line="249" w:lineRule="auto"/>
        <w:sectPr>
          <w:pgSz w:w="12240" w:h="15840"/>
          <w:pgMar w:top="1380" w:bottom="280" w:left="1440" w:right="1440"/>
        </w:sectPr>
      </w:pPr>
    </w:p>
    <w:p>
      <w:pPr>
        <w:pStyle w:val="BodyText"/>
        <w:spacing w:line="249" w:lineRule="auto"/>
        <w:ind w:right="110"/>
      </w:pPr>
      <w:r>
        <w:rPr/>
        <w:t>of race.</w:t>
      </w:r>
      <w:r>
        <w:rPr>
          <w:vertAlign w:val="superscript"/>
        </w:rPr>
        <w:t>38</w:t>
      </w:r>
      <w:r>
        <w:rPr>
          <w:vertAlign w:val="baseline"/>
        </w:rPr>
        <w:t> Japanese women demonstrate the same amount and pattern </w:t>
      </w:r>
      <w:r>
        <w:rPr>
          <w:vertAlign w:val="baseline"/>
        </w:rPr>
        <w:t>of bone loss after menopause as White women.</w:t>
      </w:r>
      <w:r>
        <w:rPr>
          <w:vertAlign w:val="superscript"/>
        </w:rPr>
        <w:t>39</w:t>
      </w:r>
    </w:p>
    <w:p>
      <w:pPr>
        <w:spacing w:line="249" w:lineRule="auto" w:before="2"/>
        <w:ind w:left="99" w:right="99" w:firstLine="450"/>
        <w:jc w:val="both"/>
        <w:rPr>
          <w:sz w:val="30"/>
        </w:rPr>
      </w:pPr>
      <w:r>
        <w:rPr>
          <w:sz w:val="30"/>
        </w:rPr>
        <w:t>Although estrogen plays a principal role in regulating bone </w:t>
      </w:r>
      <w:r>
        <w:rPr>
          <w:sz w:val="30"/>
        </w:rPr>
        <w:t>density, genetic susceptibility for low bone mass and that for bone loss are important. A study of the premenopausal daughters of women with osteoporosis</w:t>
      </w:r>
      <w:r>
        <w:rPr>
          <w:spacing w:val="-3"/>
          <w:sz w:val="30"/>
        </w:rPr>
        <w:t> </w:t>
      </w:r>
      <w:r>
        <w:rPr>
          <w:sz w:val="30"/>
        </w:rPr>
        <w:t>revealed</w:t>
      </w:r>
      <w:r>
        <w:rPr>
          <w:spacing w:val="-3"/>
          <w:sz w:val="30"/>
        </w:rPr>
        <w:t> </w:t>
      </w:r>
      <w:r>
        <w:rPr>
          <w:sz w:val="30"/>
        </w:rPr>
        <w:t>lesser</w:t>
      </w:r>
      <w:r>
        <w:rPr>
          <w:spacing w:val="-3"/>
          <w:sz w:val="30"/>
        </w:rPr>
        <w:t> </w:t>
      </w:r>
      <w:r>
        <w:rPr>
          <w:sz w:val="30"/>
        </w:rPr>
        <w:t>bone</w:t>
      </w:r>
      <w:r>
        <w:rPr>
          <w:spacing w:val="-3"/>
          <w:sz w:val="30"/>
        </w:rPr>
        <w:t> </w:t>
      </w:r>
      <w:r>
        <w:rPr>
          <w:sz w:val="30"/>
        </w:rPr>
        <w:t>mass</w:t>
      </w:r>
      <w:r>
        <w:rPr>
          <w:spacing w:val="-3"/>
          <w:sz w:val="30"/>
        </w:rPr>
        <w:t> </w:t>
      </w:r>
      <w:r>
        <w:rPr>
          <w:sz w:val="30"/>
        </w:rPr>
        <w:t>in</w:t>
      </w:r>
      <w:r>
        <w:rPr>
          <w:spacing w:val="-3"/>
          <w:sz w:val="30"/>
        </w:rPr>
        <w:t> </w:t>
      </w:r>
      <w:r>
        <w:rPr>
          <w:sz w:val="30"/>
        </w:rPr>
        <w:t>daughters</w:t>
      </w:r>
      <w:r>
        <w:rPr>
          <w:spacing w:val="-3"/>
          <w:sz w:val="30"/>
        </w:rPr>
        <w:t> </w:t>
      </w:r>
      <w:r>
        <w:rPr>
          <w:sz w:val="30"/>
        </w:rPr>
        <w:t>of</w:t>
      </w:r>
      <w:r>
        <w:rPr>
          <w:spacing w:val="-3"/>
          <w:sz w:val="30"/>
        </w:rPr>
        <w:t> </w:t>
      </w:r>
      <w:r>
        <w:rPr>
          <w:sz w:val="30"/>
        </w:rPr>
        <w:t>osteoporotic</w:t>
      </w:r>
      <w:r>
        <w:rPr>
          <w:spacing w:val="-3"/>
          <w:sz w:val="30"/>
        </w:rPr>
        <w:t> </w:t>
      </w:r>
      <w:r>
        <w:rPr>
          <w:sz w:val="30"/>
        </w:rPr>
        <w:t>women, suggesting genetic influence as well as the sharing of a lifestyle that may contribute to a relatively low peak bone mass.</w:t>
      </w:r>
      <w:r>
        <w:rPr>
          <w:sz w:val="30"/>
          <w:vertAlign w:val="superscript"/>
        </w:rPr>
        <w:t>40</w:t>
      </w:r>
      <w:r>
        <w:rPr>
          <w:sz w:val="30"/>
          <w:vertAlign w:val="baseline"/>
        </w:rPr>
        <w:t> </w:t>
      </w:r>
      <w:r>
        <w:rPr>
          <w:b/>
          <w:sz w:val="30"/>
          <w:vertAlign w:val="baseline"/>
        </w:rPr>
        <w:t>Studies of twins and mother-daughter pairs indicate that up to 70% of the variation in bone density is determined by heredity.</w:t>
      </w:r>
      <w:r>
        <w:rPr>
          <w:sz w:val="30"/>
          <w:vertAlign w:val="superscript"/>
        </w:rPr>
        <w:t>41</w:t>
      </w:r>
    </w:p>
    <w:p>
      <w:pPr>
        <w:pStyle w:val="BodyText"/>
        <w:spacing w:line="249" w:lineRule="auto" w:before="10"/>
        <w:ind w:right="97" w:firstLine="450"/>
      </w:pPr>
      <w:r>
        <w:rPr/>
        <w:t>Variations in the gene that encodes the vitamin D receptor are prevalent in postmenopausal women with decreased bone densities.</w:t>
      </w:r>
      <w:r>
        <w:rPr>
          <w:vertAlign w:val="superscript"/>
        </w:rPr>
        <w:t>42</w:t>
      </w:r>
      <w:r>
        <w:rPr>
          <w:vertAlign w:val="baseline"/>
        </w:rPr>
        <w:t> The absence of vitamin D receptor gene allelic polymorphisms was reported in </w:t>
      </w:r>
      <w:r>
        <w:rPr>
          <w:vertAlign w:val="baseline"/>
        </w:rPr>
        <w:t>older women who neither lose significant bone nor respond to calcium supplementation.</w:t>
      </w:r>
      <w:r>
        <w:rPr>
          <w:vertAlign w:val="superscript"/>
        </w:rPr>
        <w:t>43</w:t>
      </w:r>
      <w:r>
        <w:rPr>
          <w:vertAlign w:val="baseline"/>
        </w:rPr>
        <w:t> The inherited aspects of osteoporosis are likely to be influenced by multiple susceptibility genes. For example, low bone density is associated with specific alleles of </w:t>
      </w:r>
      <w:r>
        <w:rPr>
          <w:i/>
          <w:vertAlign w:val="baseline"/>
        </w:rPr>
        <w:t>COLIA1</w:t>
      </w:r>
      <w:r>
        <w:rPr>
          <w:vertAlign w:val="baseline"/>
        </w:rPr>
        <w:t>, one of the two genes that encode the two polypeptides of collagen.</w:t>
      </w:r>
      <w:r>
        <w:rPr>
          <w:vertAlign w:val="superscript"/>
        </w:rPr>
        <w:t>44</w:t>
      </w:r>
      <w:r>
        <w:rPr>
          <w:vertAlign w:val="baseline"/>
        </w:rPr>
        <w:t> Two single nucleotide polymorphisms, variants for key biologic proteins (the OPG and lipoprotein receptor-related genes), are present in slightly over 20% of White people and are associated with an increased risk for osteoporosis.</w:t>
      </w:r>
      <w:r>
        <w:rPr>
          <w:vertAlign w:val="superscript"/>
        </w:rPr>
        <w:t>45</w:t>
      </w:r>
      <w:r>
        <w:rPr>
          <w:vertAlign w:val="baseline"/>
        </w:rPr>
        <w:t> Clarity on genetic markers to identify individuals at increased risk for osteoporosis is still lacking and informative yield of existing efforts is, at best, limited.</w:t>
      </w:r>
    </w:p>
    <w:p>
      <w:pPr>
        <w:pStyle w:val="BodyText"/>
        <w:spacing w:line="249" w:lineRule="auto" w:before="16"/>
        <w:ind w:right="100" w:firstLine="450"/>
      </w:pPr>
      <w:r>
        <w:rPr/>
        <w:t>The accelerated loss of bone in postmenopausal women is </w:t>
      </w:r>
      <w:r>
        <w:rPr/>
        <w:t>largely attributed to estrogen loss; 75% or more of the bone loss that occurs in women during the first 15 years after menopause is due to estrogen deficiency rather than to aging itself.</w:t>
      </w:r>
      <w:r>
        <w:rPr>
          <w:vertAlign w:val="superscript"/>
        </w:rPr>
        <w:t>46,47</w:t>
      </w:r>
      <w:r>
        <w:rPr>
          <w:vertAlign w:val="baseline"/>
        </w:rPr>
        <w:t> Vertebral bone is especially vulnerable, beginning to decline as early as 20 years of age.</w:t>
      </w:r>
      <w:r>
        <w:rPr>
          <w:vertAlign w:val="superscript"/>
        </w:rPr>
        <w:t>48</w:t>
      </w:r>
      <w:r>
        <w:rPr>
          <w:vertAlign w:val="baseline"/>
        </w:rPr>
        <w:t> Vertebral bone mass is significantly decreased in perimenopausal and early postmenopausal women who have rising follicle-stimulating hormone (FSH) and decreasing estrogen levels, whereas bone loss from the radius is not observed until at least a year after menopause.</w:t>
      </w:r>
      <w:r>
        <w:rPr>
          <w:vertAlign w:val="superscript"/>
        </w:rPr>
        <w:t>49</w:t>
      </w:r>
      <w:r>
        <w:rPr>
          <w:vertAlign w:val="baseline"/>
        </w:rPr>
        <w:t> This early loss of axial skeleton bone mass suggests that the hypoestrogenic postmenopausal state is not the only cause of vertebral osteoporosis.</w:t>
      </w:r>
      <w:r>
        <w:rPr>
          <w:vertAlign w:val="superscript"/>
        </w:rPr>
        <w:t>50</w:t>
      </w:r>
      <w:r>
        <w:rPr>
          <w:vertAlign w:val="baseline"/>
        </w:rPr>
        <w:t> One obvious suspect is a decline in dietary intake of calcium and vitamin D in the premenopausal years;</w:t>
      </w:r>
      <w:r>
        <w:rPr>
          <w:spacing w:val="34"/>
          <w:vertAlign w:val="baseline"/>
        </w:rPr>
        <w:t> </w:t>
      </w:r>
      <w:r>
        <w:rPr>
          <w:vertAlign w:val="baseline"/>
        </w:rPr>
        <w:t>nevertheless,</w:t>
      </w:r>
      <w:r>
        <w:rPr>
          <w:spacing w:val="34"/>
          <w:vertAlign w:val="baseline"/>
        </w:rPr>
        <w:t> </w:t>
      </w:r>
      <w:r>
        <w:rPr>
          <w:vertAlign w:val="baseline"/>
        </w:rPr>
        <w:t>menopause</w:t>
      </w:r>
      <w:r>
        <w:rPr>
          <w:spacing w:val="34"/>
          <w:vertAlign w:val="baseline"/>
        </w:rPr>
        <w:t> </w:t>
      </w:r>
      <w:r>
        <w:rPr>
          <w:vertAlign w:val="baseline"/>
        </w:rPr>
        <w:t>and</w:t>
      </w:r>
      <w:r>
        <w:rPr>
          <w:spacing w:val="34"/>
          <w:vertAlign w:val="baseline"/>
        </w:rPr>
        <w:t> </w:t>
      </w:r>
      <w:r>
        <w:rPr>
          <w:vertAlign w:val="baseline"/>
        </w:rPr>
        <w:t>the</w:t>
      </w:r>
      <w:r>
        <w:rPr>
          <w:spacing w:val="34"/>
          <w:vertAlign w:val="baseline"/>
        </w:rPr>
        <w:t> </w:t>
      </w:r>
      <w:r>
        <w:rPr>
          <w:vertAlign w:val="baseline"/>
        </w:rPr>
        <w:t>loss</w:t>
      </w:r>
      <w:r>
        <w:rPr>
          <w:spacing w:val="34"/>
          <w:vertAlign w:val="baseline"/>
        </w:rPr>
        <w:t> </w:t>
      </w:r>
      <w:r>
        <w:rPr>
          <w:vertAlign w:val="baseline"/>
        </w:rPr>
        <w:t>of</w:t>
      </w:r>
      <w:r>
        <w:rPr>
          <w:spacing w:val="34"/>
          <w:vertAlign w:val="baseline"/>
        </w:rPr>
        <w:t> </w:t>
      </w:r>
      <w:r>
        <w:rPr>
          <w:vertAlign w:val="baseline"/>
        </w:rPr>
        <w:t>estrogen</w:t>
      </w:r>
      <w:r>
        <w:rPr>
          <w:spacing w:val="34"/>
          <w:vertAlign w:val="baseline"/>
        </w:rPr>
        <w:t> </w:t>
      </w:r>
      <w:r>
        <w:rPr>
          <w:vertAlign w:val="baseline"/>
        </w:rPr>
        <w:t>remain</w:t>
      </w:r>
      <w:r>
        <w:rPr>
          <w:spacing w:val="34"/>
          <w:vertAlign w:val="baseline"/>
        </w:rPr>
        <w:t> </w:t>
      </w:r>
      <w:r>
        <w:rPr>
          <w:vertAlign w:val="baseline"/>
        </w:rPr>
        <w:t>the</w:t>
      </w:r>
      <w:r>
        <w:rPr>
          <w:spacing w:val="34"/>
          <w:vertAlign w:val="baseline"/>
        </w:rPr>
        <w:t> </w:t>
      </w:r>
      <w:r>
        <w:rPr>
          <w:spacing w:val="-2"/>
          <w:vertAlign w:val="baseline"/>
        </w:rPr>
        <w:t>major</w:t>
      </w:r>
    </w:p>
    <w:p>
      <w:pPr>
        <w:pStyle w:val="BodyText"/>
        <w:spacing w:after="0" w:line="249" w:lineRule="auto"/>
        <w:sectPr>
          <w:pgSz w:w="12240" w:h="15840"/>
          <w:pgMar w:top="1380" w:bottom="280" w:left="1440" w:right="1440"/>
        </w:sectPr>
      </w:pPr>
    </w:p>
    <w:p>
      <w:pPr>
        <w:pStyle w:val="BodyText"/>
        <w:spacing w:line="249" w:lineRule="auto"/>
        <w:ind w:right="100"/>
      </w:pPr>
      <w:r>
        <w:rPr/>
        <w:t>contributors to bone loss. The risk of fracture, therefore, depends on two factors: the bone mass achieved at maturity and the subsequent rate of bone loss. </w:t>
      </w:r>
      <w:r>
        <w:rPr>
          <w:b/>
        </w:rPr>
        <w:t>A high rate of bone loss after menopause (the “fast loser”) is</w:t>
      </w:r>
      <w:r>
        <w:rPr>
          <w:b/>
          <w:spacing w:val="40"/>
        </w:rPr>
        <w:t> </w:t>
      </w:r>
      <w:r>
        <w:rPr>
          <w:b/>
        </w:rPr>
        <w:t>highly predictive of an increased risk of fracture. </w:t>
      </w:r>
      <w:r>
        <w:rPr/>
        <w:t>The combination of a low bone mass and fast losing is additive, and thus, these individuals are at the highest risk of fracture. Fast losing probably reflects lower </w:t>
      </w:r>
      <w:r>
        <w:rPr/>
        <w:t>endogenous estrogen levels. Bone density, which is the threshold for vertebral fractures, is only slightly below the lower limit of normal for premenopausal women.</w:t>
      </w:r>
      <w:r>
        <w:rPr>
          <w:vertAlign w:val="superscript"/>
        </w:rPr>
        <w:t>51</w:t>
      </w:r>
      <w:r>
        <w:rPr>
          <w:vertAlign w:val="baseline"/>
        </w:rPr>
        <w:t> </w:t>
      </w:r>
      <w:r>
        <w:rPr>
          <w:b/>
          <w:color w:val="256E60"/>
          <w:vertAlign w:val="baseline"/>
        </w:rPr>
        <w:t>Figure 23.5 </w:t>
      </w:r>
      <w:r>
        <w:rPr>
          <w:vertAlign w:val="baseline"/>
        </w:rPr>
        <w:t>outlines the various factors contributing to </w:t>
      </w:r>
      <w:r>
        <w:rPr>
          <w:spacing w:val="-2"/>
          <w:vertAlign w:val="baseline"/>
        </w:rPr>
        <w:t>osteoporosis.</w:t>
      </w:r>
    </w:p>
    <w:p>
      <w:pPr>
        <w:pStyle w:val="BodyText"/>
        <w:spacing w:after="0" w:line="249" w:lineRule="auto"/>
        <w:sectPr>
          <w:pgSz w:w="12240" w:h="15840"/>
          <w:pgMar w:top="1380" w:bottom="280" w:left="1440" w:right="1440"/>
        </w:sectPr>
      </w:pPr>
    </w:p>
    <w:p>
      <w:pPr>
        <w:spacing w:line="240" w:lineRule="auto"/>
        <w:ind w:left="105" w:right="0" w:firstLine="0"/>
        <w:rPr>
          <w:sz w:val="20"/>
        </w:rPr>
      </w:pPr>
      <w:r>
        <w:rPr>
          <w:sz w:val="20"/>
        </w:rPr>
        <w:drawing>
          <wp:inline distT="0" distB="0" distL="0" distR="0">
            <wp:extent cx="5772079" cy="7144131"/>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1" cstate="print"/>
                    <a:stretch>
                      <a:fillRect/>
                    </a:stretch>
                  </pic:blipFill>
                  <pic:spPr>
                    <a:xfrm>
                      <a:off x="0" y="0"/>
                      <a:ext cx="5772079" cy="7144131"/>
                    </a:xfrm>
                    <a:prstGeom prst="rect">
                      <a:avLst/>
                    </a:prstGeom>
                  </pic:spPr>
                </pic:pic>
              </a:graphicData>
            </a:graphic>
          </wp:inline>
        </w:drawing>
      </w:r>
      <w:r>
        <w:rPr>
          <w:sz w:val="20"/>
        </w:rPr>
      </w:r>
    </w:p>
    <w:p>
      <w:pPr>
        <w:pStyle w:val="BodyText"/>
        <w:spacing w:before="120"/>
        <w:ind w:left="0"/>
        <w:jc w:val="left"/>
        <w:rPr>
          <w:sz w:val="20"/>
        </w:rPr>
      </w:pPr>
      <w:r>
        <w:rPr>
          <w:sz w:val="20"/>
        </w:rPr>
        <mc:AlternateContent>
          <mc:Choice Requires="wps">
            <w:drawing>
              <wp:anchor distT="0" distB="0" distL="0" distR="0" allowOverlap="1" layoutInCell="1" locked="0" behindDoc="1" simplePos="0" relativeHeight="487593472">
                <wp:simplePos x="0" y="0"/>
                <wp:positionH relativeFrom="page">
                  <wp:posOffset>981075</wp:posOffset>
                </wp:positionH>
                <wp:positionV relativeFrom="paragraph">
                  <wp:posOffset>237489</wp:posOffset>
                </wp:positionV>
                <wp:extent cx="856615" cy="5715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856615" cy="57150"/>
                        </a:xfrm>
                        <a:custGeom>
                          <a:avLst/>
                          <a:gdLst/>
                          <a:ahLst/>
                          <a:cxnLst/>
                          <a:rect l="l" t="t" r="r" b="b"/>
                          <a:pathLst>
                            <a:path w="856615" h="57150">
                              <a:moveTo>
                                <a:pt x="32364" y="57140"/>
                              </a:moveTo>
                              <a:lnTo>
                                <a:pt x="24785" y="57140"/>
                              </a:lnTo>
                              <a:lnTo>
                                <a:pt x="21140" y="56415"/>
                              </a:lnTo>
                              <a:lnTo>
                                <a:pt x="0" y="32361"/>
                              </a:lnTo>
                              <a:lnTo>
                                <a:pt x="0" y="24780"/>
                              </a:lnTo>
                              <a:lnTo>
                                <a:pt x="24785" y="0"/>
                              </a:lnTo>
                              <a:lnTo>
                                <a:pt x="32364" y="0"/>
                              </a:lnTo>
                              <a:lnTo>
                                <a:pt x="57149" y="24780"/>
                              </a:lnTo>
                              <a:lnTo>
                                <a:pt x="57149" y="32361"/>
                              </a:lnTo>
                              <a:lnTo>
                                <a:pt x="32364" y="57140"/>
                              </a:lnTo>
                              <a:close/>
                            </a:path>
                            <a:path w="856615" h="57150">
                              <a:moveTo>
                                <a:pt x="146569" y="57140"/>
                              </a:moveTo>
                              <a:lnTo>
                                <a:pt x="138990" y="57140"/>
                              </a:lnTo>
                              <a:lnTo>
                                <a:pt x="135345" y="56415"/>
                              </a:lnTo>
                              <a:lnTo>
                                <a:pt x="114204" y="32361"/>
                              </a:lnTo>
                              <a:lnTo>
                                <a:pt x="114204" y="24780"/>
                              </a:lnTo>
                              <a:lnTo>
                                <a:pt x="138990" y="0"/>
                              </a:lnTo>
                              <a:lnTo>
                                <a:pt x="146569" y="0"/>
                              </a:lnTo>
                              <a:lnTo>
                                <a:pt x="171354" y="24780"/>
                              </a:lnTo>
                              <a:lnTo>
                                <a:pt x="171354" y="32361"/>
                              </a:lnTo>
                              <a:lnTo>
                                <a:pt x="146569" y="57140"/>
                              </a:lnTo>
                              <a:close/>
                            </a:path>
                            <a:path w="856615" h="57150">
                              <a:moveTo>
                                <a:pt x="260773" y="57140"/>
                              </a:moveTo>
                              <a:lnTo>
                                <a:pt x="253195" y="57140"/>
                              </a:lnTo>
                              <a:lnTo>
                                <a:pt x="249550" y="56415"/>
                              </a:lnTo>
                              <a:lnTo>
                                <a:pt x="228409" y="32361"/>
                              </a:lnTo>
                              <a:lnTo>
                                <a:pt x="228409" y="24780"/>
                              </a:lnTo>
                              <a:lnTo>
                                <a:pt x="253195" y="0"/>
                              </a:lnTo>
                              <a:lnTo>
                                <a:pt x="260773" y="0"/>
                              </a:lnTo>
                              <a:lnTo>
                                <a:pt x="285559" y="24780"/>
                              </a:lnTo>
                              <a:lnTo>
                                <a:pt x="285559" y="32361"/>
                              </a:lnTo>
                              <a:lnTo>
                                <a:pt x="260773" y="57140"/>
                              </a:lnTo>
                              <a:close/>
                            </a:path>
                            <a:path w="856615" h="57150">
                              <a:moveTo>
                                <a:pt x="374978" y="57140"/>
                              </a:moveTo>
                              <a:lnTo>
                                <a:pt x="367399" y="57140"/>
                              </a:lnTo>
                              <a:lnTo>
                                <a:pt x="363754" y="56415"/>
                              </a:lnTo>
                              <a:lnTo>
                                <a:pt x="342614" y="32361"/>
                              </a:lnTo>
                              <a:lnTo>
                                <a:pt x="342614" y="24780"/>
                              </a:lnTo>
                              <a:lnTo>
                                <a:pt x="367399" y="0"/>
                              </a:lnTo>
                              <a:lnTo>
                                <a:pt x="374978" y="0"/>
                              </a:lnTo>
                              <a:lnTo>
                                <a:pt x="399764" y="24780"/>
                              </a:lnTo>
                              <a:lnTo>
                                <a:pt x="399764" y="32361"/>
                              </a:lnTo>
                              <a:lnTo>
                                <a:pt x="374978" y="57140"/>
                              </a:lnTo>
                              <a:close/>
                            </a:path>
                            <a:path w="856615" h="57150">
                              <a:moveTo>
                                <a:pt x="489183" y="57140"/>
                              </a:moveTo>
                              <a:lnTo>
                                <a:pt x="481604" y="57140"/>
                              </a:lnTo>
                              <a:lnTo>
                                <a:pt x="477959" y="56415"/>
                              </a:lnTo>
                              <a:lnTo>
                                <a:pt x="456818" y="32361"/>
                              </a:lnTo>
                              <a:lnTo>
                                <a:pt x="456818" y="24780"/>
                              </a:lnTo>
                              <a:lnTo>
                                <a:pt x="481604" y="0"/>
                              </a:lnTo>
                              <a:lnTo>
                                <a:pt x="489183" y="0"/>
                              </a:lnTo>
                              <a:lnTo>
                                <a:pt x="513968" y="24780"/>
                              </a:lnTo>
                              <a:lnTo>
                                <a:pt x="513968" y="32361"/>
                              </a:lnTo>
                              <a:lnTo>
                                <a:pt x="489183" y="57140"/>
                              </a:lnTo>
                              <a:close/>
                            </a:path>
                            <a:path w="856615" h="57150">
                              <a:moveTo>
                                <a:pt x="603387" y="57140"/>
                              </a:moveTo>
                              <a:lnTo>
                                <a:pt x="595809" y="57140"/>
                              </a:lnTo>
                              <a:lnTo>
                                <a:pt x="592164" y="56415"/>
                              </a:lnTo>
                              <a:lnTo>
                                <a:pt x="571023" y="32361"/>
                              </a:lnTo>
                              <a:lnTo>
                                <a:pt x="571023" y="24780"/>
                              </a:lnTo>
                              <a:lnTo>
                                <a:pt x="595809" y="0"/>
                              </a:lnTo>
                              <a:lnTo>
                                <a:pt x="603387" y="0"/>
                              </a:lnTo>
                              <a:lnTo>
                                <a:pt x="628173" y="24780"/>
                              </a:lnTo>
                              <a:lnTo>
                                <a:pt x="628173" y="32361"/>
                              </a:lnTo>
                              <a:lnTo>
                                <a:pt x="603387" y="57140"/>
                              </a:lnTo>
                              <a:close/>
                            </a:path>
                            <a:path w="856615" h="57150">
                              <a:moveTo>
                                <a:pt x="717592" y="57140"/>
                              </a:moveTo>
                              <a:lnTo>
                                <a:pt x="710014" y="57140"/>
                              </a:lnTo>
                              <a:lnTo>
                                <a:pt x="706369" y="56415"/>
                              </a:lnTo>
                              <a:lnTo>
                                <a:pt x="685228" y="32361"/>
                              </a:lnTo>
                              <a:lnTo>
                                <a:pt x="685228" y="24780"/>
                              </a:lnTo>
                              <a:lnTo>
                                <a:pt x="710014" y="0"/>
                              </a:lnTo>
                              <a:lnTo>
                                <a:pt x="717592" y="0"/>
                              </a:lnTo>
                              <a:lnTo>
                                <a:pt x="742378" y="24780"/>
                              </a:lnTo>
                              <a:lnTo>
                                <a:pt x="742378" y="32361"/>
                              </a:lnTo>
                              <a:lnTo>
                                <a:pt x="717592" y="57140"/>
                              </a:lnTo>
                              <a:close/>
                            </a:path>
                            <a:path w="856615" h="57150">
                              <a:moveTo>
                                <a:pt x="831797" y="57140"/>
                              </a:moveTo>
                              <a:lnTo>
                                <a:pt x="824218" y="57140"/>
                              </a:lnTo>
                              <a:lnTo>
                                <a:pt x="820573" y="56415"/>
                              </a:lnTo>
                              <a:lnTo>
                                <a:pt x="799433" y="32361"/>
                              </a:lnTo>
                              <a:lnTo>
                                <a:pt x="799433" y="24780"/>
                              </a:lnTo>
                              <a:lnTo>
                                <a:pt x="824218" y="0"/>
                              </a:lnTo>
                              <a:lnTo>
                                <a:pt x="831797" y="0"/>
                              </a:lnTo>
                              <a:lnTo>
                                <a:pt x="856583" y="24780"/>
                              </a:lnTo>
                              <a:lnTo>
                                <a:pt x="856583" y="32361"/>
                              </a:lnTo>
                              <a:lnTo>
                                <a:pt x="831797" y="57140"/>
                              </a:lnTo>
                              <a:close/>
                            </a:path>
                          </a:pathLst>
                        </a:custGeom>
                        <a:solidFill>
                          <a:srgbClr val="2B816F"/>
                        </a:solidFill>
                      </wps:spPr>
                      <wps:bodyPr wrap="square" lIns="0" tIns="0" rIns="0" bIns="0" rtlCol="0">
                        <a:prstTxWarp prst="textNoShape">
                          <a:avLst/>
                        </a:prstTxWarp>
                        <a:noAutofit/>
                      </wps:bodyPr>
                    </wps:wsp>
                  </a:graphicData>
                </a:graphic>
              </wp:anchor>
            </w:drawing>
          </mc:Choice>
          <mc:Fallback>
            <w:pict>
              <v:shape style="position:absolute;margin-left:77.25pt;margin-top:18.699986pt;width:67.45pt;height:4.5pt;mso-position-horizontal-relative:page;mso-position-vertical-relative:paragraph;z-index:-15723008;mso-wrap-distance-left:0;mso-wrap-distance-right:0" id="docshape8" coordorigin="1545,374" coordsize="1349,90" path="m1596,464l1584,464,1578,463,1567,458,1562,455,1554,447,1551,442,1546,431,1545,425,1545,413,1546,407,1551,396,1554,391,1562,383,1567,380,1578,375,1584,374,1596,374,1602,375,1613,380,1618,383,1626,391,1629,396,1634,407,1635,413,1635,425,1634,431,1629,442,1626,447,1618,455,1613,458,1602,463,1596,464xm1776,464l1764,464,1758,463,1747,458,1742,455,1734,447,1731,442,1726,431,1725,425,1725,413,1726,407,1731,396,1734,391,1742,383,1747,380,1758,375,1764,374,1776,374,1782,375,1793,380,1797,383,1806,391,1809,396,1814,407,1815,413,1815,425,1814,431,1809,442,1806,447,1797,455,1793,458,1782,463,1776,464xm1956,464l1944,464,1938,463,1927,458,1922,455,1914,447,1910,442,1906,431,1905,425,1905,413,1906,407,1910,396,1914,391,1922,383,1927,380,1938,375,1944,374,1956,374,1961,375,1972,380,1977,383,1986,391,1989,396,1994,407,1995,413,1995,425,1994,431,1989,442,1986,447,1977,455,1972,458,1961,463,1956,464xm2136,464l2124,464,2118,463,2107,458,2102,455,2094,447,2090,442,2086,431,2085,425,2085,413,2086,407,2090,396,2094,391,2102,383,2107,380,2118,375,2124,374,2136,374,2141,375,2152,380,2157,383,2166,391,2169,396,2173,407,2175,413,2175,425,2173,431,2169,442,2166,447,2157,455,2152,458,2141,463,2136,464xm2315,464l2303,464,2298,463,2287,458,2282,455,2273,447,2270,442,2266,431,2264,425,2264,413,2266,407,2270,396,2273,391,2282,383,2287,380,2298,375,2303,374,2315,374,2321,375,2332,380,2337,383,2345,391,2349,396,2353,407,2354,413,2354,425,2353,431,2349,442,2345,447,2337,455,2332,458,2321,463,2315,464xm2495,464l2483,464,2478,463,2467,458,2462,455,2453,447,2450,442,2445,431,2444,425,2444,413,2445,407,2450,396,2453,391,2462,383,2467,380,2478,375,2483,374,2495,374,2501,375,2512,380,2517,383,2525,391,2529,396,2533,407,2534,413,2534,425,2533,431,2529,442,2525,447,2517,455,2512,458,2501,463,2495,464xm2675,464l2663,464,2657,463,2646,458,2641,455,2633,447,2630,442,2625,431,2624,425,2624,413,2625,407,2630,396,2633,391,2641,383,2646,380,2657,375,2663,374,2675,374,2681,375,2692,380,2697,383,2705,391,2708,396,2713,407,2714,413,2714,425,2713,431,2708,442,2705,447,2697,455,2692,458,2681,463,2675,464xm2855,464l2843,464,2837,463,2826,458,2821,455,2813,447,2810,442,2805,431,2804,425,2804,413,2805,407,2810,396,2813,391,2821,383,2826,380,2837,375,2843,374,2855,374,2861,375,2872,380,2877,383,2885,391,2888,396,2893,407,2894,413,2894,425,2893,431,2888,442,2885,447,2877,455,2872,458,2861,463,2855,464xe" filled="true" fillcolor="#2b816f" stroked="false">
                <v:path arrowok="t"/>
                <v:fill type="solid"/>
                <w10:wrap type="topAndBottom"/>
              </v:shape>
            </w:pict>
          </mc:Fallback>
        </mc:AlternateContent>
      </w:r>
    </w:p>
    <w:p>
      <w:pPr>
        <w:spacing w:before="78"/>
        <w:ind w:left="99" w:right="0" w:firstLine="0"/>
        <w:jc w:val="left"/>
        <w:rPr>
          <w:rFonts w:ascii="Arial"/>
          <w:b/>
          <w:sz w:val="22"/>
        </w:rPr>
      </w:pPr>
      <w:r>
        <w:rPr>
          <w:rFonts w:ascii="Arial"/>
          <w:b/>
          <w:color w:val="2B816F"/>
          <w:sz w:val="22"/>
        </w:rPr>
        <w:t>FIGURE</w:t>
      </w:r>
      <w:r>
        <w:rPr>
          <w:rFonts w:ascii="Arial"/>
          <w:b/>
          <w:color w:val="2B816F"/>
          <w:spacing w:val="17"/>
          <w:sz w:val="22"/>
        </w:rPr>
        <w:t> </w:t>
      </w:r>
      <w:r>
        <w:rPr>
          <w:rFonts w:ascii="Arial"/>
          <w:b/>
          <w:color w:val="2B816F"/>
          <w:spacing w:val="-4"/>
          <w:sz w:val="22"/>
        </w:rPr>
        <w:t>23.5</w:t>
      </w:r>
    </w:p>
    <w:p>
      <w:pPr>
        <w:pStyle w:val="BodyText"/>
        <w:spacing w:before="214"/>
        <w:ind w:left="0"/>
        <w:jc w:val="left"/>
        <w:rPr>
          <w:rFonts w:ascii="Arial"/>
          <w:b/>
          <w:sz w:val="22"/>
        </w:rPr>
      </w:pPr>
    </w:p>
    <w:p>
      <w:pPr>
        <w:spacing w:before="0"/>
        <w:ind w:left="99" w:right="0" w:firstLine="0"/>
        <w:jc w:val="left"/>
        <w:rPr>
          <w:rFonts w:ascii="Arial"/>
          <w:b/>
          <w:sz w:val="30"/>
        </w:rPr>
      </w:pPr>
      <w:r>
        <w:rPr>
          <w:rFonts w:ascii="Arial"/>
          <w:b/>
          <w:color w:val="2674AE"/>
          <w:sz w:val="30"/>
        </w:rPr>
        <w:t>Bone Loss During the Menopausal </w:t>
      </w:r>
      <w:r>
        <w:rPr>
          <w:rFonts w:ascii="Arial"/>
          <w:b/>
          <w:color w:val="2674AE"/>
          <w:spacing w:val="-2"/>
          <w:sz w:val="30"/>
        </w:rPr>
        <w:t>Transition</w:t>
      </w:r>
    </w:p>
    <w:p>
      <w:pPr>
        <w:spacing w:after="0"/>
        <w:jc w:val="left"/>
        <w:rPr>
          <w:rFonts w:ascii="Arial"/>
          <w:b/>
          <w:sz w:val="30"/>
        </w:rPr>
        <w:sectPr>
          <w:pgSz w:w="12240" w:h="15840"/>
          <w:pgMar w:top="1440" w:bottom="280" w:left="1440" w:right="1440"/>
        </w:sectPr>
      </w:pPr>
    </w:p>
    <w:p>
      <w:pPr>
        <w:pStyle w:val="BodyText"/>
        <w:spacing w:line="249" w:lineRule="auto"/>
        <w:ind w:right="97"/>
      </w:pPr>
      <w:r>
        <w:rPr/>
        <w:t>Should a clinician be concerned about bone loss and consider interventions during the perimenopausal years? A decline in BMD as well as</w:t>
      </w:r>
      <w:r>
        <w:rPr>
          <w:spacing w:val="40"/>
        </w:rPr>
        <w:t> </w:t>
      </w:r>
      <w:r>
        <w:rPr/>
        <w:t>upregulation of circulating and urinary levels of CTX (C-telopeptide), a marker representing degradation of bone collagen, is apparent in the menopause transition, well before the final menstrual period (FMP). Some studies concluded that calcium supplementation of perimenopausal women retards metacarpal and lumbar bone loss.</w:t>
      </w:r>
      <w:r>
        <w:rPr>
          <w:vertAlign w:val="superscript"/>
        </w:rPr>
        <w:t>52,53</w:t>
      </w:r>
      <w:r>
        <w:rPr>
          <w:vertAlign w:val="baseline"/>
        </w:rPr>
        <w:t> Perimenopausal women in </w:t>
      </w:r>
      <w:r>
        <w:rPr>
          <w:vertAlign w:val="baseline"/>
        </w:rPr>
        <w:t>the SWAN study demonstrated decreasing bone densities that correlated with increasing FSH levels; however, accelerated bone loss did not occur until late in the perimenopause.</w:t>
      </w:r>
      <w:r>
        <w:rPr>
          <w:vertAlign w:val="superscript"/>
        </w:rPr>
        <w:t>37</w:t>
      </w:r>
      <w:r>
        <w:rPr>
          <w:vertAlign w:val="baseline"/>
        </w:rPr>
        <w:t> The amount of perimenopausal bone loss is small unless estrogen levels are below normal.</w:t>
      </w:r>
      <w:r>
        <w:rPr>
          <w:vertAlign w:val="superscript"/>
        </w:rPr>
        <w:t>54-57</w:t>
      </w:r>
      <w:r>
        <w:rPr>
          <w:vertAlign w:val="baseline"/>
        </w:rPr>
        <w:t> Unlike those in perimenopause (discussed earlier in this chapter), otherwise healthy women who are anovulatory or those who demonstrate inadequate luteal phase ovarian function (and thus are exposed to less progesterone) but are not hypergonadotropic do not have an increase in bone loss.</w:t>
      </w:r>
      <w:r>
        <w:rPr>
          <w:vertAlign w:val="superscript"/>
        </w:rPr>
        <w:t>58,59</w:t>
      </w:r>
      <w:r>
        <w:rPr>
          <w:vertAlign w:val="baseline"/>
        </w:rPr>
        <w:t> </w:t>
      </w:r>
      <w:r>
        <w:rPr>
          <w:b/>
          <w:vertAlign w:val="baseline"/>
        </w:rPr>
        <w:t>Bone loss in the perimenopausal period is unlikely to be clinically consequential for the majority and interventions and treatments to prevent future osteoporosis are not necessary in perimenopausal women who have adequate estrogen levels and who are not deemed at an exaggerated risk for low bone mass (such as those with a known eating disorder). </w:t>
      </w:r>
      <w:r>
        <w:rPr>
          <w:vertAlign w:val="baseline"/>
        </w:rPr>
        <w:t>However, those who had failed to attain optimal peak bone mass in their younger years, an earlier onset of bone loss in the menopause transition, may contribute toward an enhanced lifetime fracture risk; such women will benefit from an individualized risk assessment and consideration of timely initiation of antifracture interventions (discussed later in this chapter).</w:t>
      </w:r>
    </w:p>
    <w:p>
      <w:pPr>
        <w:pStyle w:val="BodyText"/>
        <w:spacing w:before="74"/>
        <w:ind w:left="0"/>
        <w:jc w:val="left"/>
      </w:pPr>
    </w:p>
    <w:p>
      <w:pPr>
        <w:spacing w:before="0"/>
        <w:ind w:left="99" w:right="0" w:firstLine="0"/>
        <w:jc w:val="both"/>
        <w:rPr>
          <w:rFonts w:ascii="Arial"/>
          <w:b/>
          <w:sz w:val="30"/>
        </w:rPr>
      </w:pPr>
      <w:r>
        <w:rPr>
          <w:rFonts w:ascii="Arial"/>
          <w:b/>
          <w:color w:val="2674AE"/>
          <w:sz w:val="30"/>
        </w:rPr>
        <w:t>Signs and Symptoms of </w:t>
      </w:r>
      <w:r>
        <w:rPr>
          <w:rFonts w:ascii="Arial"/>
          <w:b/>
          <w:color w:val="2674AE"/>
          <w:spacing w:val="-2"/>
          <w:sz w:val="30"/>
        </w:rPr>
        <w:t>Osteoporosis</w:t>
      </w:r>
    </w:p>
    <w:p>
      <w:pPr>
        <w:pStyle w:val="BodyText"/>
        <w:spacing w:line="249" w:lineRule="auto" w:before="166"/>
        <w:ind w:right="98"/>
      </w:pPr>
      <w:r>
        <w:rPr>
          <w:i/>
        </w:rPr>
        <w:t>Fragility fracture </w:t>
      </w:r>
      <w:r>
        <w:rPr/>
        <w:t>is a fracture that results from minimal trauma, or from a person falling from a standing height. Fragility fractures are the </w:t>
      </w:r>
      <w:r>
        <w:rPr/>
        <w:t>most common consequence of osteoporosis and commonly involved anatomic sites such as the humerus, upper femur, distal forearm, and ribs. Osteoporosis is recognized as a “silent disease” that, in the absence of targeted screening, may only present itself once the affected individual sustains a fracture. Osteoporosis is responsible for more than 2 million fractures</w:t>
      </w:r>
      <w:r>
        <w:rPr>
          <w:spacing w:val="41"/>
        </w:rPr>
        <w:t> </w:t>
      </w:r>
      <w:r>
        <w:rPr/>
        <w:t>per</w:t>
      </w:r>
      <w:r>
        <w:rPr>
          <w:spacing w:val="41"/>
        </w:rPr>
        <w:t> </w:t>
      </w:r>
      <w:r>
        <w:rPr/>
        <w:t>year</w:t>
      </w:r>
      <w:r>
        <w:rPr>
          <w:spacing w:val="42"/>
        </w:rPr>
        <w:t> </w:t>
      </w:r>
      <w:r>
        <w:rPr/>
        <w:t>in</w:t>
      </w:r>
      <w:r>
        <w:rPr>
          <w:spacing w:val="41"/>
        </w:rPr>
        <w:t> </w:t>
      </w:r>
      <w:r>
        <w:rPr/>
        <w:t>the</w:t>
      </w:r>
      <w:r>
        <w:rPr>
          <w:spacing w:val="42"/>
        </w:rPr>
        <w:t> </w:t>
      </w:r>
      <w:r>
        <w:rPr/>
        <w:t>United</w:t>
      </w:r>
      <w:r>
        <w:rPr>
          <w:spacing w:val="41"/>
        </w:rPr>
        <w:t> </w:t>
      </w:r>
      <w:r>
        <w:rPr/>
        <w:t>States.</w:t>
      </w:r>
      <w:r>
        <w:rPr>
          <w:vertAlign w:val="superscript"/>
        </w:rPr>
        <w:t>1</w:t>
      </w:r>
      <w:r>
        <w:rPr>
          <w:spacing w:val="44"/>
          <w:vertAlign w:val="baseline"/>
        </w:rPr>
        <w:t> </w:t>
      </w:r>
      <w:r>
        <w:rPr>
          <w:vertAlign w:val="baseline"/>
        </w:rPr>
        <w:t>About</w:t>
      </w:r>
      <w:r>
        <w:rPr>
          <w:spacing w:val="44"/>
          <w:vertAlign w:val="baseline"/>
        </w:rPr>
        <w:t> </w:t>
      </w:r>
      <w:r>
        <w:rPr>
          <w:vertAlign w:val="baseline"/>
        </w:rPr>
        <w:t>one</w:t>
      </w:r>
      <w:r>
        <w:rPr>
          <w:spacing w:val="45"/>
          <w:vertAlign w:val="baseline"/>
        </w:rPr>
        <w:t> </w:t>
      </w:r>
      <w:r>
        <w:rPr>
          <w:vertAlign w:val="baseline"/>
        </w:rPr>
        <w:t>in</w:t>
      </w:r>
      <w:r>
        <w:rPr>
          <w:spacing w:val="44"/>
          <w:vertAlign w:val="baseline"/>
        </w:rPr>
        <w:t> </w:t>
      </w:r>
      <w:r>
        <w:rPr>
          <w:vertAlign w:val="baseline"/>
        </w:rPr>
        <w:t>two</w:t>
      </w:r>
      <w:r>
        <w:rPr>
          <w:spacing w:val="44"/>
          <w:vertAlign w:val="baseline"/>
        </w:rPr>
        <w:t> </w:t>
      </w:r>
      <w:r>
        <w:rPr>
          <w:vertAlign w:val="baseline"/>
        </w:rPr>
        <w:t>White</w:t>
      </w:r>
      <w:r>
        <w:rPr>
          <w:spacing w:val="45"/>
          <w:vertAlign w:val="baseline"/>
        </w:rPr>
        <w:t> </w:t>
      </w:r>
      <w:r>
        <w:rPr>
          <w:spacing w:val="-2"/>
          <w:vertAlign w:val="baseline"/>
        </w:rPr>
        <w:t>women</w:t>
      </w:r>
    </w:p>
    <w:p>
      <w:pPr>
        <w:pStyle w:val="BodyText"/>
        <w:spacing w:after="0" w:line="249" w:lineRule="auto"/>
        <w:sectPr>
          <w:pgSz w:w="12240" w:h="15840"/>
          <w:pgMar w:top="1380" w:bottom="280" w:left="1440" w:right="1440"/>
        </w:sectPr>
      </w:pPr>
    </w:p>
    <w:p>
      <w:pPr>
        <w:pStyle w:val="BodyText"/>
        <w:spacing w:line="249" w:lineRule="auto"/>
        <w:ind w:right="98"/>
      </w:pPr>
      <w:r>
        <w:rPr/>
        <w:t>over age 50 will experience an osteoporosis-related fracture. Lack of estrogen and advancing age are both causative to the cumulative fracture burden of postmenopausal years. Back pain is a major clinical symptom </w:t>
      </w:r>
      <w:r>
        <w:rPr/>
        <w:t>of vertebral compression fractures. The pain with a fracture is acute, and then it decreases over 2 to 3 months, but lingers as chronic low back pain due to increasing lumbar lordosis. The pain subsides within 6 months unless multiple fractures produce a picture of constant pain. </w:t>
      </w:r>
      <w:r>
        <w:rPr>
          <w:b/>
        </w:rPr>
        <w:t>Many individuals will not know they have osteoporosis until they experience a fracture. </w:t>
      </w:r>
      <w:r>
        <w:rPr/>
        <w:t>Loss of height, kyphosis, decreased mobility, and even respiratory compromise and worsening constipation are recognized disabilities</w:t>
      </w:r>
      <w:r>
        <w:rPr>
          <w:spacing w:val="40"/>
        </w:rPr>
        <w:t> </w:t>
      </w:r>
      <w:r>
        <w:rPr/>
        <w:t>resulting from fractures of the thoracolumbar spine.</w:t>
      </w:r>
    </w:p>
    <w:p>
      <w:pPr>
        <w:pStyle w:val="BodyText"/>
        <w:spacing w:before="0"/>
        <w:ind w:left="0"/>
        <w:jc w:val="left"/>
        <w:rPr>
          <w:sz w:val="20"/>
        </w:rPr>
      </w:pPr>
    </w:p>
    <w:p>
      <w:pPr>
        <w:pStyle w:val="BodyText"/>
        <w:spacing w:before="124"/>
        <w:ind w:left="0"/>
        <w:jc w:val="left"/>
        <w:rPr>
          <w:sz w:val="20"/>
        </w:rPr>
      </w:pPr>
      <w:r>
        <w:rPr>
          <w:sz w:val="20"/>
        </w:rPr>
        <w:drawing>
          <wp:anchor distT="0" distB="0" distL="0" distR="0" allowOverlap="1" layoutInCell="1" locked="0" behindDoc="1" simplePos="0" relativeHeight="487593984">
            <wp:simplePos x="0" y="0"/>
            <wp:positionH relativeFrom="page">
              <wp:posOffset>981075</wp:posOffset>
            </wp:positionH>
            <wp:positionV relativeFrom="paragraph">
              <wp:posOffset>240388</wp:posOffset>
            </wp:positionV>
            <wp:extent cx="2524125" cy="3733800"/>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2" cstate="print"/>
                    <a:stretch>
                      <a:fillRect/>
                    </a:stretch>
                  </pic:blipFill>
                  <pic:spPr>
                    <a:xfrm>
                      <a:off x="0" y="0"/>
                      <a:ext cx="2524125" cy="37338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94496">
                <wp:simplePos x="0" y="0"/>
                <wp:positionH relativeFrom="page">
                  <wp:posOffset>981075</wp:posOffset>
                </wp:positionH>
                <wp:positionV relativeFrom="paragraph">
                  <wp:posOffset>4164688</wp:posOffset>
                </wp:positionV>
                <wp:extent cx="856615" cy="5715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856615" cy="57150"/>
                        </a:xfrm>
                        <a:custGeom>
                          <a:avLst/>
                          <a:gdLst/>
                          <a:ahLst/>
                          <a:cxnLst/>
                          <a:rect l="l" t="t" r="r" b="b"/>
                          <a:pathLst>
                            <a:path w="856615" h="57150">
                              <a:moveTo>
                                <a:pt x="32364" y="57149"/>
                              </a:moveTo>
                              <a:lnTo>
                                <a:pt x="24785" y="57149"/>
                              </a:lnTo>
                              <a:lnTo>
                                <a:pt x="21140" y="56424"/>
                              </a:lnTo>
                              <a:lnTo>
                                <a:pt x="0" y="32361"/>
                              </a:lnTo>
                              <a:lnTo>
                                <a:pt x="0" y="24780"/>
                              </a:lnTo>
                              <a:lnTo>
                                <a:pt x="24785" y="0"/>
                              </a:lnTo>
                              <a:lnTo>
                                <a:pt x="32364" y="0"/>
                              </a:lnTo>
                              <a:lnTo>
                                <a:pt x="57149" y="24780"/>
                              </a:lnTo>
                              <a:lnTo>
                                <a:pt x="57149" y="32361"/>
                              </a:lnTo>
                              <a:lnTo>
                                <a:pt x="32364" y="57149"/>
                              </a:lnTo>
                              <a:close/>
                            </a:path>
                            <a:path w="856615" h="57150">
                              <a:moveTo>
                                <a:pt x="146569" y="57149"/>
                              </a:moveTo>
                              <a:lnTo>
                                <a:pt x="138990" y="57149"/>
                              </a:lnTo>
                              <a:lnTo>
                                <a:pt x="135345" y="56424"/>
                              </a:lnTo>
                              <a:lnTo>
                                <a:pt x="114204" y="32361"/>
                              </a:lnTo>
                              <a:lnTo>
                                <a:pt x="114204" y="24780"/>
                              </a:lnTo>
                              <a:lnTo>
                                <a:pt x="138990" y="0"/>
                              </a:lnTo>
                              <a:lnTo>
                                <a:pt x="146569" y="0"/>
                              </a:lnTo>
                              <a:lnTo>
                                <a:pt x="171354" y="24780"/>
                              </a:lnTo>
                              <a:lnTo>
                                <a:pt x="171354" y="32361"/>
                              </a:lnTo>
                              <a:lnTo>
                                <a:pt x="146569" y="57149"/>
                              </a:lnTo>
                              <a:close/>
                            </a:path>
                            <a:path w="856615" h="57150">
                              <a:moveTo>
                                <a:pt x="260773" y="57149"/>
                              </a:moveTo>
                              <a:lnTo>
                                <a:pt x="253195" y="57149"/>
                              </a:lnTo>
                              <a:lnTo>
                                <a:pt x="249550" y="56424"/>
                              </a:lnTo>
                              <a:lnTo>
                                <a:pt x="228409" y="32361"/>
                              </a:lnTo>
                              <a:lnTo>
                                <a:pt x="228409" y="24780"/>
                              </a:lnTo>
                              <a:lnTo>
                                <a:pt x="253195" y="0"/>
                              </a:lnTo>
                              <a:lnTo>
                                <a:pt x="260773" y="0"/>
                              </a:lnTo>
                              <a:lnTo>
                                <a:pt x="285559" y="24780"/>
                              </a:lnTo>
                              <a:lnTo>
                                <a:pt x="285559" y="32361"/>
                              </a:lnTo>
                              <a:lnTo>
                                <a:pt x="260773" y="57149"/>
                              </a:lnTo>
                              <a:close/>
                            </a:path>
                            <a:path w="856615" h="57150">
                              <a:moveTo>
                                <a:pt x="374978" y="57149"/>
                              </a:moveTo>
                              <a:lnTo>
                                <a:pt x="367399" y="57149"/>
                              </a:lnTo>
                              <a:lnTo>
                                <a:pt x="363754" y="56424"/>
                              </a:lnTo>
                              <a:lnTo>
                                <a:pt x="342614" y="32361"/>
                              </a:lnTo>
                              <a:lnTo>
                                <a:pt x="342614" y="24780"/>
                              </a:lnTo>
                              <a:lnTo>
                                <a:pt x="367399" y="0"/>
                              </a:lnTo>
                              <a:lnTo>
                                <a:pt x="374978" y="0"/>
                              </a:lnTo>
                              <a:lnTo>
                                <a:pt x="399764" y="24780"/>
                              </a:lnTo>
                              <a:lnTo>
                                <a:pt x="399764" y="32361"/>
                              </a:lnTo>
                              <a:lnTo>
                                <a:pt x="374978" y="57149"/>
                              </a:lnTo>
                              <a:close/>
                            </a:path>
                            <a:path w="856615" h="57150">
                              <a:moveTo>
                                <a:pt x="489183" y="57149"/>
                              </a:moveTo>
                              <a:lnTo>
                                <a:pt x="481604" y="57149"/>
                              </a:lnTo>
                              <a:lnTo>
                                <a:pt x="477959" y="56424"/>
                              </a:lnTo>
                              <a:lnTo>
                                <a:pt x="456818" y="32361"/>
                              </a:lnTo>
                              <a:lnTo>
                                <a:pt x="456818" y="24780"/>
                              </a:lnTo>
                              <a:lnTo>
                                <a:pt x="481604" y="0"/>
                              </a:lnTo>
                              <a:lnTo>
                                <a:pt x="489183" y="0"/>
                              </a:lnTo>
                              <a:lnTo>
                                <a:pt x="513968" y="24780"/>
                              </a:lnTo>
                              <a:lnTo>
                                <a:pt x="513968" y="32361"/>
                              </a:lnTo>
                              <a:lnTo>
                                <a:pt x="489183" y="57149"/>
                              </a:lnTo>
                              <a:close/>
                            </a:path>
                            <a:path w="856615" h="57150">
                              <a:moveTo>
                                <a:pt x="603387" y="57149"/>
                              </a:moveTo>
                              <a:lnTo>
                                <a:pt x="595809" y="57149"/>
                              </a:lnTo>
                              <a:lnTo>
                                <a:pt x="592164" y="56424"/>
                              </a:lnTo>
                              <a:lnTo>
                                <a:pt x="571023" y="32361"/>
                              </a:lnTo>
                              <a:lnTo>
                                <a:pt x="571023" y="24780"/>
                              </a:lnTo>
                              <a:lnTo>
                                <a:pt x="595809" y="0"/>
                              </a:lnTo>
                              <a:lnTo>
                                <a:pt x="603387" y="0"/>
                              </a:lnTo>
                              <a:lnTo>
                                <a:pt x="628173" y="24780"/>
                              </a:lnTo>
                              <a:lnTo>
                                <a:pt x="628173" y="32361"/>
                              </a:lnTo>
                              <a:lnTo>
                                <a:pt x="603387" y="57149"/>
                              </a:lnTo>
                              <a:close/>
                            </a:path>
                            <a:path w="856615" h="57150">
                              <a:moveTo>
                                <a:pt x="717592" y="57149"/>
                              </a:moveTo>
                              <a:lnTo>
                                <a:pt x="710014" y="57149"/>
                              </a:lnTo>
                              <a:lnTo>
                                <a:pt x="706369" y="56424"/>
                              </a:lnTo>
                              <a:lnTo>
                                <a:pt x="685228" y="32361"/>
                              </a:lnTo>
                              <a:lnTo>
                                <a:pt x="685228" y="24780"/>
                              </a:lnTo>
                              <a:lnTo>
                                <a:pt x="710014" y="0"/>
                              </a:lnTo>
                              <a:lnTo>
                                <a:pt x="717592" y="0"/>
                              </a:lnTo>
                              <a:lnTo>
                                <a:pt x="742378" y="24780"/>
                              </a:lnTo>
                              <a:lnTo>
                                <a:pt x="742378" y="32361"/>
                              </a:lnTo>
                              <a:lnTo>
                                <a:pt x="717592" y="57149"/>
                              </a:lnTo>
                              <a:close/>
                            </a:path>
                            <a:path w="856615" h="57150">
                              <a:moveTo>
                                <a:pt x="831797" y="57149"/>
                              </a:moveTo>
                              <a:lnTo>
                                <a:pt x="824218" y="57149"/>
                              </a:lnTo>
                              <a:lnTo>
                                <a:pt x="820573" y="56424"/>
                              </a:lnTo>
                              <a:lnTo>
                                <a:pt x="799433" y="32361"/>
                              </a:lnTo>
                              <a:lnTo>
                                <a:pt x="799433" y="24780"/>
                              </a:lnTo>
                              <a:lnTo>
                                <a:pt x="824218" y="0"/>
                              </a:lnTo>
                              <a:lnTo>
                                <a:pt x="831797" y="0"/>
                              </a:lnTo>
                              <a:lnTo>
                                <a:pt x="856583" y="24780"/>
                              </a:lnTo>
                              <a:lnTo>
                                <a:pt x="856583" y="32361"/>
                              </a:lnTo>
                              <a:lnTo>
                                <a:pt x="831797" y="57149"/>
                              </a:lnTo>
                              <a:close/>
                            </a:path>
                          </a:pathLst>
                        </a:custGeom>
                        <a:solidFill>
                          <a:srgbClr val="2B816F"/>
                        </a:solidFill>
                      </wps:spPr>
                      <wps:bodyPr wrap="square" lIns="0" tIns="0" rIns="0" bIns="0" rtlCol="0">
                        <a:prstTxWarp prst="textNoShape">
                          <a:avLst/>
                        </a:prstTxWarp>
                        <a:noAutofit/>
                      </wps:bodyPr>
                    </wps:wsp>
                  </a:graphicData>
                </a:graphic>
              </wp:anchor>
            </w:drawing>
          </mc:Choice>
          <mc:Fallback>
            <w:pict>
              <v:shape style="position:absolute;margin-left:77.25pt;margin-top:327.928192pt;width:67.45pt;height:4.5pt;mso-position-horizontal-relative:page;mso-position-vertical-relative:paragraph;z-index:-15721984;mso-wrap-distance-left:0;mso-wrap-distance-right:0" id="docshape9" coordorigin="1545,6559" coordsize="1349,90" path="m1596,6649l1584,6649,1578,6647,1567,6643,1562,6640,1554,6631,1551,6626,1546,6615,1545,6610,1545,6598,1546,6592,1551,6581,1554,6576,1562,6567,1567,6564,1578,6560,1584,6559,1596,6559,1602,6560,1613,6564,1618,6567,1626,6576,1629,6581,1634,6592,1635,6598,1635,6610,1634,6615,1629,6626,1626,6631,1618,6640,1613,6643,1602,6647,1596,6649xm1776,6649l1764,6649,1758,6647,1747,6643,1742,6640,1734,6631,1731,6626,1726,6615,1725,6610,1725,6598,1726,6592,1731,6581,1734,6576,1742,6567,1747,6564,1758,6560,1764,6559,1776,6559,1782,6560,1793,6564,1797,6567,1806,6576,1809,6581,1814,6592,1815,6598,1815,6610,1814,6615,1809,6626,1806,6631,1797,6640,1793,6643,1782,6647,1776,6649xm1956,6649l1944,6649,1938,6647,1927,6643,1922,6640,1914,6631,1910,6626,1906,6615,1905,6610,1905,6598,1906,6592,1910,6581,1914,6576,1922,6567,1927,6564,1938,6560,1944,6559,1956,6559,1961,6560,1972,6564,1977,6567,1986,6576,1989,6581,1994,6592,1995,6598,1995,6610,1994,6615,1989,6626,1986,6631,1977,6640,1972,6643,1961,6647,1956,6649xm2136,6649l2124,6649,2118,6647,2107,6643,2102,6640,2094,6631,2090,6626,2086,6615,2085,6610,2085,6598,2086,6592,2090,6581,2094,6576,2102,6567,2107,6564,2118,6560,2124,6559,2136,6559,2141,6560,2152,6564,2157,6567,2166,6576,2169,6581,2173,6592,2175,6598,2175,6610,2173,6615,2169,6626,2166,6631,2157,6640,2152,6643,2141,6647,2136,6649xm2315,6649l2303,6649,2298,6647,2287,6643,2282,6640,2273,6631,2270,6626,2266,6615,2264,6610,2264,6598,2266,6592,2270,6581,2273,6576,2282,6567,2287,6564,2298,6560,2303,6559,2315,6559,2321,6560,2332,6564,2337,6567,2345,6576,2349,6581,2353,6592,2354,6598,2354,6610,2353,6615,2349,6626,2345,6631,2337,6640,2332,6643,2321,6647,2315,6649xm2495,6649l2483,6649,2478,6647,2467,6643,2462,6640,2453,6631,2450,6626,2445,6615,2444,6610,2444,6598,2445,6592,2450,6581,2453,6576,2462,6567,2467,6564,2478,6560,2483,6559,2495,6559,2501,6560,2512,6564,2517,6567,2525,6576,2529,6581,2533,6592,2534,6598,2534,6610,2533,6615,2529,6626,2525,6631,2517,6640,2512,6643,2501,6647,2495,6649xm2675,6649l2663,6649,2657,6647,2646,6643,2641,6640,2633,6631,2630,6626,2625,6615,2624,6610,2624,6598,2625,6592,2630,6581,2633,6576,2641,6567,2646,6564,2657,6560,2663,6559,2675,6559,2681,6560,2692,6564,2697,6567,2705,6576,2708,6581,2713,6592,2714,6598,2714,6610,2713,6615,2708,6626,2705,6631,2697,6640,2692,6643,2681,6647,2675,6649xm2855,6649l2843,6649,2837,6647,2826,6643,2821,6640,2813,6631,2810,6626,2805,6615,2804,6610,2804,6598,2805,6592,2810,6581,2813,6576,2821,6567,2826,6564,2837,6560,2843,6559,2855,6559,2861,6560,2872,6564,2877,6567,2885,6576,2888,6581,2893,6592,2894,6598,2894,6610,2893,6615,2888,6626,2885,6631,2877,6640,2872,6643,2861,6647,2855,6649xe" filled="true" fillcolor="#2b816f" stroked="false">
                <v:path arrowok="t"/>
                <v:fill type="solid"/>
                <w10:wrap type="topAndBottom"/>
              </v:shape>
            </w:pict>
          </mc:Fallback>
        </mc:AlternateContent>
      </w:r>
    </w:p>
    <w:p>
      <w:pPr>
        <w:pStyle w:val="BodyText"/>
        <w:spacing w:before="46"/>
        <w:ind w:left="0"/>
        <w:jc w:val="left"/>
        <w:rPr>
          <w:sz w:val="20"/>
        </w:rPr>
      </w:pPr>
    </w:p>
    <w:p>
      <w:pPr>
        <w:spacing w:before="78"/>
        <w:ind w:left="99" w:right="0" w:firstLine="0"/>
        <w:jc w:val="left"/>
        <w:rPr>
          <w:rFonts w:ascii="Arial"/>
          <w:b/>
          <w:sz w:val="22"/>
        </w:rPr>
      </w:pPr>
      <w:r>
        <w:rPr>
          <w:rFonts w:ascii="Arial"/>
          <w:b/>
          <w:color w:val="2B816F"/>
          <w:sz w:val="22"/>
        </w:rPr>
        <w:t>FIGURE</w:t>
      </w:r>
      <w:r>
        <w:rPr>
          <w:rFonts w:ascii="Arial"/>
          <w:b/>
          <w:color w:val="2B816F"/>
          <w:spacing w:val="17"/>
          <w:sz w:val="22"/>
        </w:rPr>
        <w:t> </w:t>
      </w:r>
      <w:r>
        <w:rPr>
          <w:rFonts w:ascii="Arial"/>
          <w:b/>
          <w:color w:val="2B816F"/>
          <w:spacing w:val="-4"/>
          <w:sz w:val="22"/>
        </w:rPr>
        <w:t>23.6</w:t>
      </w:r>
    </w:p>
    <w:p>
      <w:pPr>
        <w:pStyle w:val="BodyText"/>
        <w:spacing w:before="215"/>
        <w:ind w:left="0"/>
        <w:jc w:val="left"/>
        <w:rPr>
          <w:rFonts w:ascii="Arial"/>
          <w:b/>
          <w:sz w:val="22"/>
        </w:rPr>
      </w:pPr>
    </w:p>
    <w:p>
      <w:pPr>
        <w:spacing w:before="1"/>
        <w:ind w:left="549" w:right="0" w:firstLine="0"/>
        <w:jc w:val="left"/>
        <w:rPr>
          <w:b/>
          <w:sz w:val="30"/>
        </w:rPr>
      </w:pPr>
      <w:r>
        <w:rPr>
          <w:b/>
          <w:sz w:val="30"/>
        </w:rPr>
        <w:t>Epidemiologic</w:t>
      </w:r>
      <w:r>
        <w:rPr>
          <w:b/>
          <w:spacing w:val="-4"/>
          <w:sz w:val="30"/>
        </w:rPr>
        <w:t> </w:t>
      </w:r>
      <w:r>
        <w:rPr>
          <w:b/>
          <w:sz w:val="30"/>
        </w:rPr>
        <w:t>studies</w:t>
      </w:r>
      <w:r>
        <w:rPr>
          <w:b/>
          <w:spacing w:val="-1"/>
          <w:sz w:val="30"/>
        </w:rPr>
        <w:t> </w:t>
      </w:r>
      <w:r>
        <w:rPr>
          <w:b/>
          <w:sz w:val="30"/>
        </w:rPr>
        <w:t>have</w:t>
      </w:r>
      <w:r>
        <w:rPr>
          <w:b/>
          <w:spacing w:val="-1"/>
          <w:sz w:val="30"/>
        </w:rPr>
        <w:t> </w:t>
      </w:r>
      <w:r>
        <w:rPr>
          <w:b/>
          <w:sz w:val="30"/>
        </w:rPr>
        <w:t>revealed</w:t>
      </w:r>
      <w:r>
        <w:rPr>
          <w:b/>
          <w:spacing w:val="-1"/>
          <w:sz w:val="30"/>
        </w:rPr>
        <w:t> </w:t>
      </w:r>
      <w:r>
        <w:rPr>
          <w:b/>
          <w:sz w:val="30"/>
        </w:rPr>
        <w:t>the</w:t>
      </w:r>
      <w:r>
        <w:rPr>
          <w:b/>
          <w:spacing w:val="-1"/>
          <w:sz w:val="30"/>
        </w:rPr>
        <w:t> </w:t>
      </w:r>
      <w:r>
        <w:rPr>
          <w:b/>
          <w:spacing w:val="-2"/>
          <w:sz w:val="30"/>
        </w:rPr>
        <w:t>following</w:t>
      </w:r>
      <w:r>
        <w:rPr>
          <w:spacing w:val="-2"/>
          <w:sz w:val="30"/>
          <w:vertAlign w:val="superscript"/>
        </w:rPr>
        <w:t>60,61</w:t>
      </w:r>
      <w:r>
        <w:rPr>
          <w:b/>
          <w:spacing w:val="-2"/>
          <w:sz w:val="30"/>
          <w:vertAlign w:val="baseline"/>
        </w:rPr>
        <w:t>:</w:t>
      </w:r>
    </w:p>
    <w:p>
      <w:pPr>
        <w:pStyle w:val="ListParagraph"/>
        <w:numPr>
          <w:ilvl w:val="0"/>
          <w:numId w:val="1"/>
        </w:numPr>
        <w:tabs>
          <w:tab w:pos="434" w:val="left" w:leader="none"/>
          <w:tab w:pos="437" w:val="left" w:leader="none"/>
        </w:tabs>
        <w:spacing w:line="256" w:lineRule="auto" w:before="238" w:after="0"/>
        <w:ind w:left="437" w:right="105" w:hanging="243"/>
        <w:jc w:val="left"/>
        <w:rPr>
          <w:sz w:val="22"/>
        </w:rPr>
      </w:pPr>
      <w:r>
        <w:rPr>
          <w:b/>
          <w:sz w:val="22"/>
        </w:rPr>
        <w:t>Spinal</w:t>
      </w:r>
      <w:r>
        <w:rPr>
          <w:b/>
          <w:spacing w:val="40"/>
          <w:sz w:val="22"/>
        </w:rPr>
        <w:t> </w:t>
      </w:r>
      <w:r>
        <w:rPr>
          <w:b/>
          <w:sz w:val="22"/>
        </w:rPr>
        <w:t>(vertebral)</w:t>
      </w:r>
      <w:r>
        <w:rPr>
          <w:b/>
          <w:spacing w:val="40"/>
          <w:sz w:val="22"/>
        </w:rPr>
        <w:t> </w:t>
      </w:r>
      <w:r>
        <w:rPr>
          <w:b/>
          <w:sz w:val="22"/>
        </w:rPr>
        <w:t>compression</w:t>
      </w:r>
      <w:r>
        <w:rPr>
          <w:b/>
          <w:spacing w:val="40"/>
          <w:sz w:val="22"/>
        </w:rPr>
        <w:t> </w:t>
      </w:r>
      <w:r>
        <w:rPr>
          <w:b/>
          <w:sz w:val="22"/>
        </w:rPr>
        <w:t>fracture.</w:t>
      </w:r>
      <w:r>
        <w:rPr>
          <w:b/>
          <w:spacing w:val="40"/>
          <w:sz w:val="22"/>
        </w:rPr>
        <w:t> </w:t>
      </w:r>
      <w:r>
        <w:rPr>
          <w:sz w:val="22"/>
        </w:rPr>
        <w:t>Symptomatic</w:t>
      </w:r>
      <w:r>
        <w:rPr>
          <w:spacing w:val="40"/>
          <w:sz w:val="22"/>
        </w:rPr>
        <w:t> </w:t>
      </w:r>
      <w:r>
        <w:rPr>
          <w:sz w:val="22"/>
        </w:rPr>
        <w:t>spinal</w:t>
      </w:r>
      <w:r>
        <w:rPr>
          <w:spacing w:val="40"/>
          <w:sz w:val="22"/>
        </w:rPr>
        <w:t> </w:t>
      </w:r>
      <w:r>
        <w:rPr>
          <w:sz w:val="22"/>
        </w:rPr>
        <w:t>osteoporosis,</w:t>
      </w:r>
      <w:r>
        <w:rPr>
          <w:spacing w:val="40"/>
          <w:sz w:val="22"/>
        </w:rPr>
        <w:t> </w:t>
      </w:r>
      <w:r>
        <w:rPr>
          <w:sz w:val="22"/>
        </w:rPr>
        <w:t>causing</w:t>
      </w:r>
      <w:r>
        <w:rPr>
          <w:spacing w:val="40"/>
          <w:sz w:val="22"/>
        </w:rPr>
        <w:t> </w:t>
      </w:r>
      <w:r>
        <w:rPr>
          <w:sz w:val="22"/>
        </w:rPr>
        <w:t>pain,</w:t>
      </w:r>
      <w:r>
        <w:rPr>
          <w:spacing w:val="40"/>
          <w:sz w:val="22"/>
        </w:rPr>
        <w:t> </w:t>
      </w:r>
      <w:r>
        <w:rPr>
          <w:sz w:val="22"/>
        </w:rPr>
        <w:t>loss of</w:t>
      </w:r>
      <w:r>
        <w:rPr>
          <w:spacing w:val="80"/>
          <w:sz w:val="22"/>
        </w:rPr>
        <w:t> </w:t>
      </w:r>
      <w:r>
        <w:rPr>
          <w:sz w:val="22"/>
        </w:rPr>
        <w:t>height,</w:t>
      </w:r>
      <w:r>
        <w:rPr>
          <w:spacing w:val="80"/>
          <w:sz w:val="22"/>
        </w:rPr>
        <w:t> </w:t>
      </w:r>
      <w:r>
        <w:rPr>
          <w:sz w:val="22"/>
        </w:rPr>
        <w:t>postural</w:t>
      </w:r>
      <w:r>
        <w:rPr>
          <w:spacing w:val="80"/>
          <w:sz w:val="22"/>
        </w:rPr>
        <w:t> </w:t>
      </w:r>
      <w:r>
        <w:rPr>
          <w:sz w:val="22"/>
        </w:rPr>
        <w:t>deformities</w:t>
      </w:r>
      <w:r>
        <w:rPr>
          <w:spacing w:val="80"/>
          <w:sz w:val="22"/>
        </w:rPr>
        <w:t> </w:t>
      </w:r>
      <w:r>
        <w:rPr>
          <w:sz w:val="22"/>
        </w:rPr>
        <w:t>(the</w:t>
      </w:r>
      <w:r>
        <w:rPr>
          <w:spacing w:val="80"/>
          <w:sz w:val="22"/>
        </w:rPr>
        <w:t> </w:t>
      </w:r>
      <w:r>
        <w:rPr>
          <w:sz w:val="22"/>
        </w:rPr>
        <w:t>kyphotic</w:t>
      </w:r>
      <w:r>
        <w:rPr>
          <w:spacing w:val="80"/>
          <w:sz w:val="22"/>
        </w:rPr>
        <w:t> </w:t>
      </w:r>
      <w:r>
        <w:rPr>
          <w:sz w:val="22"/>
        </w:rPr>
        <w:t>dowager</w:t>
      </w:r>
      <w:r>
        <w:rPr>
          <w:spacing w:val="80"/>
          <w:sz w:val="22"/>
        </w:rPr>
        <w:t> </w:t>
      </w:r>
      <w:r>
        <w:rPr>
          <w:sz w:val="22"/>
        </w:rPr>
        <w:t>hump)</w:t>
      </w:r>
      <w:r>
        <w:rPr>
          <w:spacing w:val="80"/>
          <w:sz w:val="22"/>
        </w:rPr>
        <w:t> </w:t>
      </w:r>
      <w:r>
        <w:rPr>
          <w:sz w:val="22"/>
        </w:rPr>
        <w:t>with</w:t>
      </w:r>
      <w:r>
        <w:rPr>
          <w:spacing w:val="80"/>
          <w:sz w:val="22"/>
        </w:rPr>
        <w:t> </w:t>
      </w:r>
      <w:r>
        <w:rPr>
          <w:sz w:val="22"/>
        </w:rPr>
        <w:t>consequent</w:t>
      </w:r>
      <w:r>
        <w:rPr>
          <w:spacing w:val="80"/>
          <w:sz w:val="22"/>
        </w:rPr>
        <w:t> </w:t>
      </w:r>
      <w:r>
        <w:rPr>
          <w:sz w:val="22"/>
        </w:rPr>
        <w:t>pulmonary,</w:t>
      </w:r>
    </w:p>
    <w:p>
      <w:pPr>
        <w:pStyle w:val="ListParagraph"/>
        <w:spacing w:after="0" w:line="256" w:lineRule="auto"/>
        <w:jc w:val="left"/>
        <w:rPr>
          <w:sz w:val="22"/>
        </w:rPr>
        <w:sectPr>
          <w:pgSz w:w="12240" w:h="15840"/>
          <w:pgMar w:top="1380" w:bottom="280" w:left="1440" w:right="1440"/>
        </w:sectPr>
      </w:pPr>
    </w:p>
    <w:p>
      <w:pPr>
        <w:spacing w:line="256" w:lineRule="auto" w:before="84"/>
        <w:ind w:left="437" w:right="97" w:firstLine="0"/>
        <w:jc w:val="both"/>
        <w:rPr>
          <w:sz w:val="22"/>
        </w:rPr>
      </w:pPr>
      <w:r>
        <w:rPr>
          <w:sz w:val="22"/>
        </w:rPr>
        <w:t>gastrointestinal, and bladder dysfunction, is 5 times more common in White women than men. Approximately</w:t>
      </w:r>
      <w:r>
        <w:rPr>
          <w:spacing w:val="40"/>
          <w:sz w:val="22"/>
        </w:rPr>
        <w:t> </w:t>
      </w:r>
      <w:r>
        <w:rPr>
          <w:sz w:val="22"/>
        </w:rPr>
        <w:t>50%</w:t>
      </w:r>
      <w:r>
        <w:rPr>
          <w:spacing w:val="40"/>
          <w:sz w:val="22"/>
        </w:rPr>
        <w:t> </w:t>
      </w:r>
      <w:r>
        <w:rPr>
          <w:sz w:val="22"/>
        </w:rPr>
        <w:t>of</w:t>
      </w:r>
      <w:r>
        <w:rPr>
          <w:spacing w:val="40"/>
          <w:sz w:val="22"/>
        </w:rPr>
        <w:t> </w:t>
      </w:r>
      <w:r>
        <w:rPr>
          <w:sz w:val="22"/>
        </w:rPr>
        <w:t>women</w:t>
      </w:r>
      <w:r>
        <w:rPr>
          <w:spacing w:val="40"/>
          <w:sz w:val="22"/>
        </w:rPr>
        <w:t> </w:t>
      </w:r>
      <w:r>
        <w:rPr>
          <w:sz w:val="22"/>
        </w:rPr>
        <w:t>over</w:t>
      </w:r>
      <w:r>
        <w:rPr>
          <w:spacing w:val="40"/>
          <w:sz w:val="22"/>
        </w:rPr>
        <w:t> </w:t>
      </w:r>
      <w:r>
        <w:rPr>
          <w:sz w:val="22"/>
        </w:rPr>
        <w:t>65</w:t>
      </w:r>
      <w:r>
        <w:rPr>
          <w:spacing w:val="40"/>
          <w:sz w:val="22"/>
        </w:rPr>
        <w:t> </w:t>
      </w:r>
      <w:r>
        <w:rPr>
          <w:sz w:val="22"/>
        </w:rPr>
        <w:t>years</w:t>
      </w:r>
      <w:r>
        <w:rPr>
          <w:spacing w:val="40"/>
          <w:sz w:val="22"/>
        </w:rPr>
        <w:t> </w:t>
      </w:r>
      <w:r>
        <w:rPr>
          <w:sz w:val="22"/>
        </w:rPr>
        <w:t>of</w:t>
      </w:r>
      <w:r>
        <w:rPr>
          <w:spacing w:val="40"/>
          <w:sz w:val="22"/>
        </w:rPr>
        <w:t> </w:t>
      </w:r>
      <w:r>
        <w:rPr>
          <w:sz w:val="22"/>
        </w:rPr>
        <w:t>age</w:t>
      </w:r>
      <w:r>
        <w:rPr>
          <w:spacing w:val="40"/>
          <w:sz w:val="22"/>
        </w:rPr>
        <w:t> </w:t>
      </w:r>
      <w:r>
        <w:rPr>
          <w:sz w:val="22"/>
        </w:rPr>
        <w:t>have</w:t>
      </w:r>
      <w:r>
        <w:rPr>
          <w:spacing w:val="40"/>
          <w:sz w:val="22"/>
        </w:rPr>
        <w:t> </w:t>
      </w:r>
      <w:r>
        <w:rPr>
          <w:sz w:val="22"/>
        </w:rPr>
        <w:t>spinal</w:t>
      </w:r>
      <w:r>
        <w:rPr>
          <w:spacing w:val="40"/>
          <w:sz w:val="22"/>
        </w:rPr>
        <w:t> </w:t>
      </w:r>
      <w:r>
        <w:rPr>
          <w:sz w:val="22"/>
        </w:rPr>
        <w:t>compression</w:t>
      </w:r>
      <w:r>
        <w:rPr>
          <w:spacing w:val="40"/>
          <w:sz w:val="22"/>
        </w:rPr>
        <w:t> </w:t>
      </w:r>
      <w:r>
        <w:rPr>
          <w:sz w:val="22"/>
        </w:rPr>
        <w:t>fractures;</w:t>
      </w:r>
      <w:r>
        <w:rPr>
          <w:spacing w:val="40"/>
          <w:sz w:val="22"/>
        </w:rPr>
        <w:t> </w:t>
      </w:r>
      <w:r>
        <w:rPr>
          <w:sz w:val="22"/>
        </w:rPr>
        <w:t>about two-thirds</w:t>
      </w:r>
      <w:r>
        <w:rPr>
          <w:spacing w:val="40"/>
          <w:sz w:val="22"/>
        </w:rPr>
        <w:t> </w:t>
      </w:r>
      <w:r>
        <w:rPr>
          <w:sz w:val="22"/>
        </w:rPr>
        <w:t>are</w:t>
      </w:r>
      <w:r>
        <w:rPr>
          <w:spacing w:val="40"/>
          <w:sz w:val="22"/>
        </w:rPr>
        <w:t> </w:t>
      </w:r>
      <w:r>
        <w:rPr>
          <w:sz w:val="22"/>
        </w:rPr>
        <w:t>clinically</w:t>
      </w:r>
      <w:r>
        <w:rPr>
          <w:spacing w:val="40"/>
          <w:sz w:val="22"/>
        </w:rPr>
        <w:t> </w:t>
      </w:r>
      <w:r>
        <w:rPr>
          <w:sz w:val="22"/>
        </w:rPr>
        <w:t>unrecognized.</w:t>
      </w:r>
      <w:r>
        <w:rPr>
          <w:spacing w:val="40"/>
          <w:sz w:val="22"/>
        </w:rPr>
        <w:t> </w:t>
      </w:r>
      <w:r>
        <w:rPr>
          <w:b/>
          <w:sz w:val="22"/>
        </w:rPr>
        <w:t>Each</w:t>
      </w:r>
      <w:r>
        <w:rPr>
          <w:b/>
          <w:spacing w:val="40"/>
          <w:sz w:val="22"/>
        </w:rPr>
        <w:t> </w:t>
      </w:r>
      <w:r>
        <w:rPr>
          <w:b/>
          <w:sz w:val="22"/>
        </w:rPr>
        <w:t>complete</w:t>
      </w:r>
      <w:r>
        <w:rPr>
          <w:b/>
          <w:spacing w:val="40"/>
          <w:sz w:val="22"/>
        </w:rPr>
        <w:t> </w:t>
      </w:r>
      <w:r>
        <w:rPr>
          <w:b/>
          <w:sz w:val="22"/>
        </w:rPr>
        <w:t>compression</w:t>
      </w:r>
      <w:r>
        <w:rPr>
          <w:b/>
          <w:spacing w:val="40"/>
          <w:sz w:val="22"/>
        </w:rPr>
        <w:t> </w:t>
      </w:r>
      <w:r>
        <w:rPr>
          <w:b/>
          <w:sz w:val="22"/>
        </w:rPr>
        <w:t>fracture</w:t>
      </w:r>
      <w:r>
        <w:rPr>
          <w:b/>
          <w:spacing w:val="40"/>
          <w:sz w:val="22"/>
        </w:rPr>
        <w:t> </w:t>
      </w:r>
      <w:r>
        <w:rPr>
          <w:b/>
          <w:sz w:val="22"/>
        </w:rPr>
        <w:t>of</w:t>
      </w:r>
      <w:r>
        <w:rPr>
          <w:b/>
          <w:spacing w:val="40"/>
          <w:sz w:val="22"/>
        </w:rPr>
        <w:t> </w:t>
      </w:r>
      <w:r>
        <w:rPr>
          <w:b/>
          <w:sz w:val="22"/>
        </w:rPr>
        <w:t>a</w:t>
      </w:r>
      <w:r>
        <w:rPr>
          <w:b/>
          <w:spacing w:val="40"/>
          <w:sz w:val="22"/>
        </w:rPr>
        <w:t> </w:t>
      </w:r>
      <w:r>
        <w:rPr>
          <w:b/>
          <w:sz w:val="22"/>
        </w:rPr>
        <w:t>vertebral body </w:t>
      </w:r>
      <w:r>
        <w:rPr>
          <w:sz w:val="22"/>
        </w:rPr>
        <w:t>(</w:t>
      </w:r>
      <w:r>
        <w:rPr>
          <w:b/>
          <w:color w:val="256E60"/>
          <w:sz w:val="22"/>
        </w:rPr>
        <w:t>Figure 23.6</w:t>
      </w:r>
      <w:r>
        <w:rPr>
          <w:sz w:val="22"/>
        </w:rPr>
        <w:t>) </w:t>
      </w:r>
      <w:r>
        <w:rPr>
          <w:b/>
          <w:sz w:val="22"/>
        </w:rPr>
        <w:t>causes the loss of approximately 1 cm in height. </w:t>
      </w:r>
      <w:r>
        <w:rPr>
          <w:sz w:val="22"/>
        </w:rPr>
        <w:t>The average untreated postmenopausal White woman can expect to shrink 2.5 in (6.4 cm) over the course of post-menopausal</w:t>
      </w:r>
      <w:r>
        <w:rPr>
          <w:spacing w:val="32"/>
          <w:sz w:val="22"/>
        </w:rPr>
        <w:t> </w:t>
      </w:r>
      <w:r>
        <w:rPr>
          <w:sz w:val="22"/>
        </w:rPr>
        <w:t>years.</w:t>
      </w:r>
      <w:r>
        <w:rPr>
          <w:spacing w:val="32"/>
          <w:sz w:val="22"/>
        </w:rPr>
        <w:t> </w:t>
      </w:r>
      <w:r>
        <w:rPr>
          <w:sz w:val="22"/>
        </w:rPr>
        <w:t>The</w:t>
      </w:r>
      <w:r>
        <w:rPr>
          <w:spacing w:val="34"/>
          <w:sz w:val="22"/>
        </w:rPr>
        <w:t> </w:t>
      </w:r>
      <w:r>
        <w:rPr>
          <w:sz w:val="22"/>
        </w:rPr>
        <w:t>most</w:t>
      </w:r>
      <w:r>
        <w:rPr>
          <w:spacing w:val="34"/>
          <w:sz w:val="22"/>
        </w:rPr>
        <w:t> </w:t>
      </w:r>
      <w:r>
        <w:rPr>
          <w:sz w:val="22"/>
        </w:rPr>
        <w:t>common</w:t>
      </w:r>
      <w:r>
        <w:rPr>
          <w:spacing w:val="34"/>
          <w:sz w:val="22"/>
        </w:rPr>
        <w:t> </w:t>
      </w:r>
      <w:r>
        <w:rPr>
          <w:sz w:val="22"/>
        </w:rPr>
        <w:t>sites</w:t>
      </w:r>
      <w:r>
        <w:rPr>
          <w:spacing w:val="34"/>
          <w:sz w:val="22"/>
        </w:rPr>
        <w:t> </w:t>
      </w:r>
      <w:r>
        <w:rPr>
          <w:sz w:val="22"/>
        </w:rPr>
        <w:t>for</w:t>
      </w:r>
      <w:r>
        <w:rPr>
          <w:spacing w:val="34"/>
          <w:sz w:val="22"/>
        </w:rPr>
        <w:t> </w:t>
      </w:r>
      <w:r>
        <w:rPr>
          <w:sz w:val="22"/>
        </w:rPr>
        <w:t>vertebral</w:t>
      </w:r>
      <w:r>
        <w:rPr>
          <w:spacing w:val="34"/>
          <w:sz w:val="22"/>
        </w:rPr>
        <w:t> </w:t>
      </w:r>
      <w:r>
        <w:rPr>
          <w:sz w:val="22"/>
        </w:rPr>
        <w:t>fractures</w:t>
      </w:r>
      <w:r>
        <w:rPr>
          <w:spacing w:val="34"/>
          <w:sz w:val="22"/>
        </w:rPr>
        <w:t> </w:t>
      </w:r>
      <w:r>
        <w:rPr>
          <w:sz w:val="22"/>
        </w:rPr>
        <w:t>are</w:t>
      </w:r>
      <w:r>
        <w:rPr>
          <w:spacing w:val="34"/>
          <w:sz w:val="22"/>
        </w:rPr>
        <w:t> </w:t>
      </w:r>
      <w:r>
        <w:rPr>
          <w:sz w:val="22"/>
        </w:rPr>
        <w:t>the</w:t>
      </w:r>
      <w:r>
        <w:rPr>
          <w:spacing w:val="34"/>
          <w:sz w:val="22"/>
        </w:rPr>
        <w:t> </w:t>
      </w:r>
      <w:r>
        <w:rPr>
          <w:sz w:val="22"/>
        </w:rPr>
        <w:t>12th</w:t>
      </w:r>
      <w:r>
        <w:rPr>
          <w:spacing w:val="34"/>
          <w:sz w:val="22"/>
        </w:rPr>
        <w:t> </w:t>
      </w:r>
      <w:r>
        <w:rPr>
          <w:sz w:val="22"/>
        </w:rPr>
        <w:t>thoracic</w:t>
      </w:r>
      <w:r>
        <w:rPr>
          <w:spacing w:val="34"/>
          <w:sz w:val="22"/>
        </w:rPr>
        <w:t> </w:t>
      </w:r>
      <w:r>
        <w:rPr>
          <w:sz w:val="22"/>
        </w:rPr>
        <w:t>and</w:t>
      </w:r>
      <w:r>
        <w:rPr>
          <w:spacing w:val="34"/>
          <w:sz w:val="22"/>
        </w:rPr>
        <w:t> </w:t>
      </w:r>
      <w:r>
        <w:rPr>
          <w:sz w:val="22"/>
        </w:rPr>
        <w:t>the first three lumbar vertebrae. These physical changes also have a negative impact on body image</w:t>
      </w:r>
      <w:r>
        <w:rPr>
          <w:spacing w:val="80"/>
          <w:sz w:val="22"/>
        </w:rPr>
        <w:t> </w:t>
      </w:r>
      <w:r>
        <w:rPr>
          <w:sz w:val="22"/>
        </w:rPr>
        <w:t>and self-esteem.</w:t>
      </w:r>
    </w:p>
    <w:p>
      <w:pPr>
        <w:pStyle w:val="ListParagraph"/>
        <w:numPr>
          <w:ilvl w:val="0"/>
          <w:numId w:val="1"/>
        </w:numPr>
        <w:tabs>
          <w:tab w:pos="434" w:val="left" w:leader="none"/>
          <w:tab w:pos="437" w:val="left" w:leader="none"/>
        </w:tabs>
        <w:spacing w:line="256" w:lineRule="auto" w:before="0" w:after="0"/>
        <w:ind w:left="437" w:right="109" w:hanging="243"/>
        <w:jc w:val="both"/>
        <w:rPr>
          <w:sz w:val="22"/>
        </w:rPr>
      </w:pPr>
      <w:r>
        <w:rPr>
          <w:b/>
          <w:sz w:val="22"/>
        </w:rPr>
        <w:t>Colles fracture. </w:t>
      </w:r>
      <w:r>
        <w:rPr>
          <w:sz w:val="22"/>
        </w:rPr>
        <w:t>There is a 10-fold increase in distal forearm fracture (</w:t>
      </w:r>
      <w:r>
        <w:rPr>
          <w:b/>
          <w:color w:val="256E60"/>
          <w:sz w:val="22"/>
        </w:rPr>
        <w:t>Figure 23.7</w:t>
      </w:r>
      <w:r>
        <w:rPr>
          <w:sz w:val="22"/>
        </w:rPr>
        <w:t>) in women as they progress from age 35 to 60 years. White women are more predisposed to wrist fracture than those of other races; a White woman has approximately a 15% lifetime risk of a forearm </w:t>
      </w:r>
      <w:r>
        <w:rPr>
          <w:sz w:val="22"/>
        </w:rPr>
        <w:t>fracture. Colles fractures are the most common fractures among women until age 75, when hip fractures become more common.</w:t>
      </w:r>
    </w:p>
    <w:p>
      <w:pPr>
        <w:pStyle w:val="BodyText"/>
        <w:spacing w:before="182"/>
        <w:ind w:left="0"/>
        <w:jc w:val="left"/>
        <w:rPr>
          <w:sz w:val="20"/>
        </w:rPr>
      </w:pPr>
      <w:r>
        <w:rPr>
          <w:sz w:val="20"/>
        </w:rPr>
        <w:drawing>
          <wp:anchor distT="0" distB="0" distL="0" distR="0" allowOverlap="1" layoutInCell="1" locked="0" behindDoc="1" simplePos="0" relativeHeight="487595008">
            <wp:simplePos x="0" y="0"/>
            <wp:positionH relativeFrom="page">
              <wp:posOffset>1190624</wp:posOffset>
            </wp:positionH>
            <wp:positionV relativeFrom="paragraph">
              <wp:posOffset>276930</wp:posOffset>
            </wp:positionV>
            <wp:extent cx="2962275" cy="2514600"/>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3" cstate="print"/>
                    <a:stretch>
                      <a:fillRect/>
                    </a:stretch>
                  </pic:blipFill>
                  <pic:spPr>
                    <a:xfrm>
                      <a:off x="0" y="0"/>
                      <a:ext cx="2962275" cy="25146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95520">
                <wp:simplePos x="0" y="0"/>
                <wp:positionH relativeFrom="page">
                  <wp:posOffset>1190624</wp:posOffset>
                </wp:positionH>
                <wp:positionV relativeFrom="paragraph">
                  <wp:posOffset>2943930</wp:posOffset>
                </wp:positionV>
                <wp:extent cx="856615" cy="5715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856615" cy="57150"/>
                        </a:xfrm>
                        <a:custGeom>
                          <a:avLst/>
                          <a:gdLst/>
                          <a:ahLst/>
                          <a:cxnLst/>
                          <a:rect l="l" t="t" r="r" b="b"/>
                          <a:pathLst>
                            <a:path w="856615" h="57150">
                              <a:moveTo>
                                <a:pt x="32364" y="57140"/>
                              </a:moveTo>
                              <a:lnTo>
                                <a:pt x="24785" y="57140"/>
                              </a:lnTo>
                              <a:lnTo>
                                <a:pt x="21140" y="56415"/>
                              </a:lnTo>
                              <a:lnTo>
                                <a:pt x="0" y="32361"/>
                              </a:lnTo>
                              <a:lnTo>
                                <a:pt x="0" y="24770"/>
                              </a:lnTo>
                              <a:lnTo>
                                <a:pt x="24785" y="0"/>
                              </a:lnTo>
                              <a:lnTo>
                                <a:pt x="32364" y="0"/>
                              </a:lnTo>
                              <a:lnTo>
                                <a:pt x="57149" y="24770"/>
                              </a:lnTo>
                              <a:lnTo>
                                <a:pt x="57149" y="32361"/>
                              </a:lnTo>
                              <a:lnTo>
                                <a:pt x="32364" y="57140"/>
                              </a:lnTo>
                              <a:close/>
                            </a:path>
                            <a:path w="856615" h="57150">
                              <a:moveTo>
                                <a:pt x="146569" y="57140"/>
                              </a:moveTo>
                              <a:lnTo>
                                <a:pt x="138990" y="57140"/>
                              </a:lnTo>
                              <a:lnTo>
                                <a:pt x="135345" y="56415"/>
                              </a:lnTo>
                              <a:lnTo>
                                <a:pt x="114204" y="32361"/>
                              </a:lnTo>
                              <a:lnTo>
                                <a:pt x="114204" y="24770"/>
                              </a:lnTo>
                              <a:lnTo>
                                <a:pt x="138990" y="0"/>
                              </a:lnTo>
                              <a:lnTo>
                                <a:pt x="146569" y="0"/>
                              </a:lnTo>
                              <a:lnTo>
                                <a:pt x="171354" y="24770"/>
                              </a:lnTo>
                              <a:lnTo>
                                <a:pt x="171354" y="32361"/>
                              </a:lnTo>
                              <a:lnTo>
                                <a:pt x="146569" y="57140"/>
                              </a:lnTo>
                              <a:close/>
                            </a:path>
                            <a:path w="856615" h="57150">
                              <a:moveTo>
                                <a:pt x="260773" y="57140"/>
                              </a:moveTo>
                              <a:lnTo>
                                <a:pt x="253195" y="57140"/>
                              </a:lnTo>
                              <a:lnTo>
                                <a:pt x="249550" y="56415"/>
                              </a:lnTo>
                              <a:lnTo>
                                <a:pt x="228409" y="32361"/>
                              </a:lnTo>
                              <a:lnTo>
                                <a:pt x="228409" y="24770"/>
                              </a:lnTo>
                              <a:lnTo>
                                <a:pt x="253195" y="0"/>
                              </a:lnTo>
                              <a:lnTo>
                                <a:pt x="260773" y="0"/>
                              </a:lnTo>
                              <a:lnTo>
                                <a:pt x="285559" y="24770"/>
                              </a:lnTo>
                              <a:lnTo>
                                <a:pt x="285559" y="32361"/>
                              </a:lnTo>
                              <a:lnTo>
                                <a:pt x="260773" y="57140"/>
                              </a:lnTo>
                              <a:close/>
                            </a:path>
                            <a:path w="856615" h="57150">
                              <a:moveTo>
                                <a:pt x="374978" y="57140"/>
                              </a:moveTo>
                              <a:lnTo>
                                <a:pt x="367399" y="57140"/>
                              </a:lnTo>
                              <a:lnTo>
                                <a:pt x="363754" y="56415"/>
                              </a:lnTo>
                              <a:lnTo>
                                <a:pt x="342614" y="32361"/>
                              </a:lnTo>
                              <a:lnTo>
                                <a:pt x="342614" y="24770"/>
                              </a:lnTo>
                              <a:lnTo>
                                <a:pt x="367399" y="0"/>
                              </a:lnTo>
                              <a:lnTo>
                                <a:pt x="374978" y="0"/>
                              </a:lnTo>
                              <a:lnTo>
                                <a:pt x="399764" y="24770"/>
                              </a:lnTo>
                              <a:lnTo>
                                <a:pt x="399764" y="32361"/>
                              </a:lnTo>
                              <a:lnTo>
                                <a:pt x="374978" y="57140"/>
                              </a:lnTo>
                              <a:close/>
                            </a:path>
                            <a:path w="856615" h="57150">
                              <a:moveTo>
                                <a:pt x="489183" y="57140"/>
                              </a:moveTo>
                              <a:lnTo>
                                <a:pt x="481604" y="57140"/>
                              </a:lnTo>
                              <a:lnTo>
                                <a:pt x="477959" y="56415"/>
                              </a:lnTo>
                              <a:lnTo>
                                <a:pt x="456818" y="32361"/>
                              </a:lnTo>
                              <a:lnTo>
                                <a:pt x="456818" y="24770"/>
                              </a:lnTo>
                              <a:lnTo>
                                <a:pt x="481604" y="0"/>
                              </a:lnTo>
                              <a:lnTo>
                                <a:pt x="489183" y="0"/>
                              </a:lnTo>
                              <a:lnTo>
                                <a:pt x="513968" y="24770"/>
                              </a:lnTo>
                              <a:lnTo>
                                <a:pt x="513968" y="32361"/>
                              </a:lnTo>
                              <a:lnTo>
                                <a:pt x="489183" y="57140"/>
                              </a:lnTo>
                              <a:close/>
                            </a:path>
                            <a:path w="856615" h="57150">
                              <a:moveTo>
                                <a:pt x="603387" y="57140"/>
                              </a:moveTo>
                              <a:lnTo>
                                <a:pt x="595809" y="57140"/>
                              </a:lnTo>
                              <a:lnTo>
                                <a:pt x="592164" y="56415"/>
                              </a:lnTo>
                              <a:lnTo>
                                <a:pt x="571023" y="32361"/>
                              </a:lnTo>
                              <a:lnTo>
                                <a:pt x="571023" y="24770"/>
                              </a:lnTo>
                              <a:lnTo>
                                <a:pt x="595809" y="0"/>
                              </a:lnTo>
                              <a:lnTo>
                                <a:pt x="603387" y="0"/>
                              </a:lnTo>
                              <a:lnTo>
                                <a:pt x="628173" y="24770"/>
                              </a:lnTo>
                              <a:lnTo>
                                <a:pt x="628173" y="32361"/>
                              </a:lnTo>
                              <a:lnTo>
                                <a:pt x="603387" y="57140"/>
                              </a:lnTo>
                              <a:close/>
                            </a:path>
                            <a:path w="856615" h="57150">
                              <a:moveTo>
                                <a:pt x="717592" y="57140"/>
                              </a:moveTo>
                              <a:lnTo>
                                <a:pt x="710014" y="57140"/>
                              </a:lnTo>
                              <a:lnTo>
                                <a:pt x="706369" y="56415"/>
                              </a:lnTo>
                              <a:lnTo>
                                <a:pt x="685228" y="32361"/>
                              </a:lnTo>
                              <a:lnTo>
                                <a:pt x="685228" y="24770"/>
                              </a:lnTo>
                              <a:lnTo>
                                <a:pt x="710014" y="0"/>
                              </a:lnTo>
                              <a:lnTo>
                                <a:pt x="717592" y="0"/>
                              </a:lnTo>
                              <a:lnTo>
                                <a:pt x="742378" y="24770"/>
                              </a:lnTo>
                              <a:lnTo>
                                <a:pt x="742378" y="32361"/>
                              </a:lnTo>
                              <a:lnTo>
                                <a:pt x="717592" y="57140"/>
                              </a:lnTo>
                              <a:close/>
                            </a:path>
                            <a:path w="856615" h="57150">
                              <a:moveTo>
                                <a:pt x="831797" y="57140"/>
                              </a:moveTo>
                              <a:lnTo>
                                <a:pt x="824218" y="57140"/>
                              </a:lnTo>
                              <a:lnTo>
                                <a:pt x="820573" y="56415"/>
                              </a:lnTo>
                              <a:lnTo>
                                <a:pt x="799433" y="32361"/>
                              </a:lnTo>
                              <a:lnTo>
                                <a:pt x="799433" y="24770"/>
                              </a:lnTo>
                              <a:lnTo>
                                <a:pt x="824218" y="0"/>
                              </a:lnTo>
                              <a:lnTo>
                                <a:pt x="831797" y="0"/>
                              </a:lnTo>
                              <a:lnTo>
                                <a:pt x="856583" y="24770"/>
                              </a:lnTo>
                              <a:lnTo>
                                <a:pt x="856583" y="32361"/>
                              </a:lnTo>
                              <a:lnTo>
                                <a:pt x="831797" y="57140"/>
                              </a:lnTo>
                              <a:close/>
                            </a:path>
                          </a:pathLst>
                        </a:custGeom>
                        <a:solidFill>
                          <a:srgbClr val="2B816F"/>
                        </a:solidFill>
                      </wps:spPr>
                      <wps:bodyPr wrap="square" lIns="0" tIns="0" rIns="0" bIns="0" rtlCol="0">
                        <a:prstTxWarp prst="textNoShape">
                          <a:avLst/>
                        </a:prstTxWarp>
                        <a:noAutofit/>
                      </wps:bodyPr>
                    </wps:wsp>
                  </a:graphicData>
                </a:graphic>
              </wp:anchor>
            </w:drawing>
          </mc:Choice>
          <mc:Fallback>
            <w:pict>
              <v:shape style="position:absolute;margin-left:93.749992pt;margin-top:231.805573pt;width:67.45pt;height:4.5pt;mso-position-horizontal-relative:page;mso-position-vertical-relative:paragraph;z-index:-15720960;mso-wrap-distance-left:0;mso-wrap-distance-right:0" id="docshape10" coordorigin="1875,4636" coordsize="1349,90" path="m1926,4726l1914,4726,1908,4725,1897,4720,1892,4717,1884,4709,1881,4704,1876,4693,1875,4687,1875,4675,1876,4669,1881,4658,1884,4653,1892,4645,1897,4642,1908,4637,1914,4636,1926,4636,1932,4637,1943,4642,1948,4645,1956,4653,1959,4658,1964,4669,1965,4675,1965,4687,1964,4693,1959,4704,1956,4709,1948,4717,1943,4720,1932,4725,1926,4726xm2106,4726l2094,4726,2088,4725,2077,4720,2072,4717,2064,4709,2061,4704,2056,4693,2055,4687,2055,4675,2056,4669,2061,4658,2064,4653,2072,4645,2077,4642,2088,4637,2094,4636,2106,4636,2112,4637,2123,4642,2127,4645,2136,4653,2139,4658,2144,4669,2145,4675,2145,4687,2144,4693,2139,4704,2136,4709,2127,4717,2123,4720,2112,4725,2106,4726xm2286,4726l2274,4726,2268,4725,2257,4720,2252,4717,2244,4709,2240,4704,2236,4693,2235,4687,2235,4675,2236,4669,2240,4658,2244,4653,2252,4645,2257,4642,2268,4637,2274,4636,2286,4636,2291,4637,2302,4642,2307,4645,2316,4653,2319,4658,2324,4669,2325,4675,2325,4687,2324,4693,2319,4704,2316,4709,2307,4717,2302,4720,2291,4725,2286,4726xm2466,4726l2454,4726,2448,4725,2437,4720,2432,4717,2424,4709,2420,4704,2416,4693,2415,4687,2415,4675,2416,4669,2420,4658,2424,4653,2432,4645,2437,4642,2448,4637,2454,4636,2466,4636,2471,4637,2482,4642,2487,4645,2496,4653,2499,4658,2503,4669,2505,4675,2505,4687,2503,4693,2499,4704,2496,4709,2487,4717,2482,4720,2471,4725,2466,4726xm2645,4726l2633,4726,2628,4725,2617,4720,2612,4717,2603,4709,2600,4704,2596,4693,2594,4687,2594,4675,2596,4669,2600,4658,2603,4653,2612,4645,2617,4642,2628,4637,2633,4636,2645,4636,2651,4637,2662,4642,2667,4645,2675,4653,2679,4658,2683,4669,2684,4675,2684,4687,2683,4693,2679,4704,2675,4709,2667,4717,2662,4720,2651,4725,2645,4726xm2825,4726l2813,4726,2808,4725,2797,4720,2792,4717,2783,4709,2780,4704,2775,4693,2774,4687,2774,4675,2775,4669,2780,4658,2783,4653,2792,4645,2797,4642,2808,4637,2813,4636,2825,4636,2831,4637,2842,4642,2847,4645,2855,4653,2859,4658,2863,4669,2864,4675,2864,4687,2863,4693,2859,4704,2855,4709,2847,4717,2842,4720,2831,4725,2825,4726xm3005,4726l2993,4726,2987,4725,2976,4720,2971,4717,2963,4709,2960,4704,2955,4693,2954,4687,2954,4675,2955,4669,2960,4658,2963,4653,2971,4645,2976,4642,2987,4637,2993,4636,3005,4636,3011,4637,3022,4642,3027,4645,3035,4653,3038,4658,3043,4669,3044,4675,3044,4687,3043,4693,3038,4704,3035,4709,3027,4717,3022,4720,3011,4725,3005,4726xm3185,4726l3173,4726,3167,4725,3156,4720,3151,4717,3143,4709,3140,4704,3135,4693,3134,4687,3134,4675,3135,4669,3140,4658,3143,4653,3151,4645,3156,4642,3167,4637,3173,4636,3185,4636,3191,4637,3202,4642,3207,4645,3215,4653,3218,4658,3223,4669,3224,4675,3224,4687,3223,4693,3218,4704,3215,4709,3207,4717,3202,4720,3191,4725,3185,4726xe" filled="true" fillcolor="#2b816f" stroked="false">
                <v:path arrowok="t"/>
                <v:fill type="solid"/>
                <w10:wrap type="topAndBottom"/>
              </v:shape>
            </w:pict>
          </mc:Fallback>
        </mc:AlternateContent>
      </w:r>
    </w:p>
    <w:p>
      <w:pPr>
        <w:pStyle w:val="BodyText"/>
        <w:spacing w:before="9"/>
        <w:ind w:left="0"/>
        <w:jc w:val="left"/>
        <w:rPr>
          <w:sz w:val="18"/>
        </w:rPr>
      </w:pPr>
    </w:p>
    <w:p>
      <w:pPr>
        <w:spacing w:before="78"/>
        <w:ind w:left="437" w:right="0" w:firstLine="0"/>
        <w:jc w:val="left"/>
        <w:rPr>
          <w:rFonts w:ascii="Arial"/>
          <w:b/>
          <w:sz w:val="22"/>
        </w:rPr>
      </w:pPr>
      <w:r>
        <w:rPr>
          <w:rFonts w:ascii="Arial"/>
          <w:b/>
          <w:color w:val="2B816F"/>
          <w:sz w:val="22"/>
        </w:rPr>
        <w:t>FIGURE</w:t>
      </w:r>
      <w:r>
        <w:rPr>
          <w:rFonts w:ascii="Arial"/>
          <w:b/>
          <w:color w:val="2B816F"/>
          <w:spacing w:val="17"/>
          <w:sz w:val="22"/>
        </w:rPr>
        <w:t> </w:t>
      </w:r>
      <w:r>
        <w:rPr>
          <w:rFonts w:ascii="Arial"/>
          <w:b/>
          <w:color w:val="2B816F"/>
          <w:spacing w:val="-4"/>
          <w:sz w:val="22"/>
        </w:rPr>
        <w:t>23.7</w:t>
      </w:r>
    </w:p>
    <w:p>
      <w:pPr>
        <w:spacing w:after="0"/>
        <w:jc w:val="left"/>
        <w:rPr>
          <w:rFonts w:ascii="Arial"/>
          <w:b/>
          <w:sz w:val="22"/>
        </w:rPr>
        <w:sectPr>
          <w:pgSz w:w="12240" w:h="15840"/>
          <w:pgMar w:top="1360" w:bottom="280" w:left="1440" w:right="1440"/>
        </w:sectPr>
      </w:pPr>
    </w:p>
    <w:p>
      <w:pPr>
        <w:spacing w:line="240" w:lineRule="auto"/>
        <w:ind w:left="435" w:right="0" w:firstLine="0"/>
        <w:rPr>
          <w:rFonts w:ascii="Arial"/>
          <w:sz w:val="20"/>
        </w:rPr>
      </w:pPr>
      <w:r>
        <w:rPr>
          <w:rFonts w:ascii="Arial"/>
          <w:sz w:val="20"/>
        </w:rPr>
        <w:drawing>
          <wp:inline distT="0" distB="0" distL="0" distR="0">
            <wp:extent cx="3343275" cy="3543300"/>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4" cstate="print"/>
                    <a:stretch>
                      <a:fillRect/>
                    </a:stretch>
                  </pic:blipFill>
                  <pic:spPr>
                    <a:xfrm>
                      <a:off x="0" y="0"/>
                      <a:ext cx="3343275" cy="3543300"/>
                    </a:xfrm>
                    <a:prstGeom prst="rect">
                      <a:avLst/>
                    </a:prstGeom>
                  </pic:spPr>
                </pic:pic>
              </a:graphicData>
            </a:graphic>
          </wp:inline>
        </w:drawing>
      </w:r>
      <w:r>
        <w:rPr>
          <w:rFonts w:ascii="Arial"/>
          <w:sz w:val="20"/>
        </w:rPr>
      </w:r>
    </w:p>
    <w:p>
      <w:pPr>
        <w:pStyle w:val="BodyText"/>
        <w:spacing w:before="9"/>
        <w:ind w:left="0"/>
        <w:jc w:val="left"/>
        <w:rPr>
          <w:rFonts w:ascii="Arial"/>
          <w:b/>
          <w:sz w:val="18"/>
        </w:rPr>
      </w:pPr>
      <w:r>
        <w:rPr>
          <w:rFonts w:ascii="Arial"/>
          <w:b/>
          <w:sz w:val="18"/>
        </w:rPr>
        <mc:AlternateContent>
          <mc:Choice Requires="wps">
            <w:drawing>
              <wp:anchor distT="0" distB="0" distL="0" distR="0" allowOverlap="1" layoutInCell="1" locked="0" behindDoc="1" simplePos="0" relativeHeight="487596032">
                <wp:simplePos x="0" y="0"/>
                <wp:positionH relativeFrom="page">
                  <wp:posOffset>1190624</wp:posOffset>
                </wp:positionH>
                <wp:positionV relativeFrom="paragraph">
                  <wp:posOffset>152400</wp:posOffset>
                </wp:positionV>
                <wp:extent cx="856615" cy="5715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856615" cy="57150"/>
                        </a:xfrm>
                        <a:custGeom>
                          <a:avLst/>
                          <a:gdLst/>
                          <a:ahLst/>
                          <a:cxnLst/>
                          <a:rect l="l" t="t" r="r" b="b"/>
                          <a:pathLst>
                            <a:path w="856615" h="57150">
                              <a:moveTo>
                                <a:pt x="32364" y="57140"/>
                              </a:moveTo>
                              <a:lnTo>
                                <a:pt x="24785" y="57140"/>
                              </a:lnTo>
                              <a:lnTo>
                                <a:pt x="21140" y="56415"/>
                              </a:lnTo>
                              <a:lnTo>
                                <a:pt x="0" y="32351"/>
                              </a:lnTo>
                              <a:lnTo>
                                <a:pt x="0" y="24788"/>
                              </a:lnTo>
                              <a:lnTo>
                                <a:pt x="24785" y="0"/>
                              </a:lnTo>
                              <a:lnTo>
                                <a:pt x="32364" y="0"/>
                              </a:lnTo>
                              <a:lnTo>
                                <a:pt x="57149" y="24788"/>
                              </a:lnTo>
                              <a:lnTo>
                                <a:pt x="57149" y="32351"/>
                              </a:lnTo>
                              <a:lnTo>
                                <a:pt x="32364" y="57140"/>
                              </a:lnTo>
                              <a:close/>
                            </a:path>
                            <a:path w="856615" h="57150">
                              <a:moveTo>
                                <a:pt x="146569" y="57140"/>
                              </a:moveTo>
                              <a:lnTo>
                                <a:pt x="138990" y="57140"/>
                              </a:lnTo>
                              <a:lnTo>
                                <a:pt x="135345" y="56415"/>
                              </a:lnTo>
                              <a:lnTo>
                                <a:pt x="114204" y="32351"/>
                              </a:lnTo>
                              <a:lnTo>
                                <a:pt x="114204" y="24788"/>
                              </a:lnTo>
                              <a:lnTo>
                                <a:pt x="138990" y="0"/>
                              </a:lnTo>
                              <a:lnTo>
                                <a:pt x="146569" y="0"/>
                              </a:lnTo>
                              <a:lnTo>
                                <a:pt x="171354" y="24788"/>
                              </a:lnTo>
                              <a:lnTo>
                                <a:pt x="171354" y="32351"/>
                              </a:lnTo>
                              <a:lnTo>
                                <a:pt x="146569" y="57140"/>
                              </a:lnTo>
                              <a:close/>
                            </a:path>
                            <a:path w="856615" h="57150">
                              <a:moveTo>
                                <a:pt x="260773" y="57140"/>
                              </a:moveTo>
                              <a:lnTo>
                                <a:pt x="253195" y="57140"/>
                              </a:lnTo>
                              <a:lnTo>
                                <a:pt x="249550" y="56415"/>
                              </a:lnTo>
                              <a:lnTo>
                                <a:pt x="228409" y="32351"/>
                              </a:lnTo>
                              <a:lnTo>
                                <a:pt x="228409" y="24788"/>
                              </a:lnTo>
                              <a:lnTo>
                                <a:pt x="253195" y="0"/>
                              </a:lnTo>
                              <a:lnTo>
                                <a:pt x="260773" y="0"/>
                              </a:lnTo>
                              <a:lnTo>
                                <a:pt x="285559" y="24788"/>
                              </a:lnTo>
                              <a:lnTo>
                                <a:pt x="285559" y="32351"/>
                              </a:lnTo>
                              <a:lnTo>
                                <a:pt x="260773" y="57140"/>
                              </a:lnTo>
                              <a:close/>
                            </a:path>
                            <a:path w="856615" h="57150">
                              <a:moveTo>
                                <a:pt x="374978" y="57140"/>
                              </a:moveTo>
                              <a:lnTo>
                                <a:pt x="367399" y="57140"/>
                              </a:lnTo>
                              <a:lnTo>
                                <a:pt x="363754" y="56415"/>
                              </a:lnTo>
                              <a:lnTo>
                                <a:pt x="342614" y="32351"/>
                              </a:lnTo>
                              <a:lnTo>
                                <a:pt x="342614" y="24788"/>
                              </a:lnTo>
                              <a:lnTo>
                                <a:pt x="367399" y="0"/>
                              </a:lnTo>
                              <a:lnTo>
                                <a:pt x="374978" y="0"/>
                              </a:lnTo>
                              <a:lnTo>
                                <a:pt x="399764" y="24788"/>
                              </a:lnTo>
                              <a:lnTo>
                                <a:pt x="399764" y="32351"/>
                              </a:lnTo>
                              <a:lnTo>
                                <a:pt x="374978" y="57140"/>
                              </a:lnTo>
                              <a:close/>
                            </a:path>
                            <a:path w="856615" h="57150">
                              <a:moveTo>
                                <a:pt x="489183" y="57140"/>
                              </a:moveTo>
                              <a:lnTo>
                                <a:pt x="481604" y="57140"/>
                              </a:lnTo>
                              <a:lnTo>
                                <a:pt x="477959" y="56415"/>
                              </a:lnTo>
                              <a:lnTo>
                                <a:pt x="456818" y="32351"/>
                              </a:lnTo>
                              <a:lnTo>
                                <a:pt x="456818" y="24788"/>
                              </a:lnTo>
                              <a:lnTo>
                                <a:pt x="481604" y="0"/>
                              </a:lnTo>
                              <a:lnTo>
                                <a:pt x="489183" y="0"/>
                              </a:lnTo>
                              <a:lnTo>
                                <a:pt x="513968" y="24788"/>
                              </a:lnTo>
                              <a:lnTo>
                                <a:pt x="513968" y="32351"/>
                              </a:lnTo>
                              <a:lnTo>
                                <a:pt x="489183" y="57140"/>
                              </a:lnTo>
                              <a:close/>
                            </a:path>
                            <a:path w="856615" h="57150">
                              <a:moveTo>
                                <a:pt x="603387" y="57140"/>
                              </a:moveTo>
                              <a:lnTo>
                                <a:pt x="595809" y="57140"/>
                              </a:lnTo>
                              <a:lnTo>
                                <a:pt x="592164" y="56415"/>
                              </a:lnTo>
                              <a:lnTo>
                                <a:pt x="571023" y="32351"/>
                              </a:lnTo>
                              <a:lnTo>
                                <a:pt x="571023" y="24788"/>
                              </a:lnTo>
                              <a:lnTo>
                                <a:pt x="595809" y="0"/>
                              </a:lnTo>
                              <a:lnTo>
                                <a:pt x="603387" y="0"/>
                              </a:lnTo>
                              <a:lnTo>
                                <a:pt x="628173" y="24788"/>
                              </a:lnTo>
                              <a:lnTo>
                                <a:pt x="628173" y="32351"/>
                              </a:lnTo>
                              <a:lnTo>
                                <a:pt x="603387" y="57140"/>
                              </a:lnTo>
                              <a:close/>
                            </a:path>
                            <a:path w="856615" h="57150">
                              <a:moveTo>
                                <a:pt x="717592" y="57140"/>
                              </a:moveTo>
                              <a:lnTo>
                                <a:pt x="710014" y="57140"/>
                              </a:lnTo>
                              <a:lnTo>
                                <a:pt x="706369" y="56415"/>
                              </a:lnTo>
                              <a:lnTo>
                                <a:pt x="685228" y="32351"/>
                              </a:lnTo>
                              <a:lnTo>
                                <a:pt x="685228" y="24788"/>
                              </a:lnTo>
                              <a:lnTo>
                                <a:pt x="710014" y="0"/>
                              </a:lnTo>
                              <a:lnTo>
                                <a:pt x="717592" y="0"/>
                              </a:lnTo>
                              <a:lnTo>
                                <a:pt x="742378" y="24788"/>
                              </a:lnTo>
                              <a:lnTo>
                                <a:pt x="742378" y="32351"/>
                              </a:lnTo>
                              <a:lnTo>
                                <a:pt x="717592" y="57140"/>
                              </a:lnTo>
                              <a:close/>
                            </a:path>
                            <a:path w="856615" h="57150">
                              <a:moveTo>
                                <a:pt x="831797" y="57140"/>
                              </a:moveTo>
                              <a:lnTo>
                                <a:pt x="824218" y="57140"/>
                              </a:lnTo>
                              <a:lnTo>
                                <a:pt x="820573" y="56415"/>
                              </a:lnTo>
                              <a:lnTo>
                                <a:pt x="799433" y="32351"/>
                              </a:lnTo>
                              <a:lnTo>
                                <a:pt x="799433" y="24788"/>
                              </a:lnTo>
                              <a:lnTo>
                                <a:pt x="824218" y="0"/>
                              </a:lnTo>
                              <a:lnTo>
                                <a:pt x="831797" y="0"/>
                              </a:lnTo>
                              <a:lnTo>
                                <a:pt x="856583" y="24788"/>
                              </a:lnTo>
                              <a:lnTo>
                                <a:pt x="856583" y="32351"/>
                              </a:lnTo>
                              <a:lnTo>
                                <a:pt x="831797" y="57140"/>
                              </a:lnTo>
                              <a:close/>
                            </a:path>
                          </a:pathLst>
                        </a:custGeom>
                        <a:solidFill>
                          <a:srgbClr val="2B816F"/>
                        </a:solidFill>
                      </wps:spPr>
                      <wps:bodyPr wrap="square" lIns="0" tIns="0" rIns="0" bIns="0" rtlCol="0">
                        <a:prstTxWarp prst="textNoShape">
                          <a:avLst/>
                        </a:prstTxWarp>
                        <a:noAutofit/>
                      </wps:bodyPr>
                    </wps:wsp>
                  </a:graphicData>
                </a:graphic>
              </wp:anchor>
            </w:drawing>
          </mc:Choice>
          <mc:Fallback>
            <w:pict>
              <v:shape style="position:absolute;margin-left:93.749992pt;margin-top:12.000002pt;width:67.45pt;height:4.5pt;mso-position-horizontal-relative:page;mso-position-vertical-relative:paragraph;z-index:-15720448;mso-wrap-distance-left:0;mso-wrap-distance-right:0" id="docshape11" coordorigin="1875,240" coordsize="1349,90" path="m1926,330l1914,330,1908,329,1897,324,1892,321,1884,313,1881,308,1876,297,1875,291,1875,279,1876,273,1881,262,1884,257,1892,249,1897,246,1908,241,1914,240,1926,240,1932,241,1943,246,1948,249,1956,257,1959,262,1964,273,1965,279,1965,291,1964,297,1959,308,1956,313,1948,321,1943,324,1932,329,1926,330xm2106,330l2094,330,2088,329,2077,324,2072,321,2064,313,2061,308,2056,297,2055,291,2055,279,2056,273,2061,262,2064,257,2072,249,2077,246,2088,241,2094,240,2106,240,2112,241,2123,246,2127,249,2136,257,2139,262,2144,273,2145,279,2145,291,2144,297,2139,308,2136,313,2127,321,2123,324,2112,329,2106,330xm2286,330l2274,330,2268,329,2257,324,2252,321,2244,313,2240,308,2236,297,2235,291,2235,279,2236,273,2240,262,2244,257,2252,249,2257,246,2268,241,2274,240,2286,240,2291,241,2302,246,2307,249,2316,257,2319,262,2324,273,2325,279,2325,291,2324,297,2319,308,2316,313,2307,321,2302,324,2291,329,2286,330xm2466,330l2454,330,2448,329,2437,324,2432,321,2424,313,2420,308,2416,297,2415,291,2415,279,2416,273,2420,262,2424,257,2432,249,2437,246,2448,241,2454,240,2466,240,2471,241,2482,246,2487,249,2496,257,2499,262,2503,273,2505,279,2505,291,2503,297,2499,308,2496,313,2487,321,2482,324,2471,329,2466,330xm2645,330l2633,330,2628,329,2617,324,2612,321,2603,313,2600,308,2596,297,2594,291,2594,279,2596,273,2600,262,2603,257,2612,249,2617,246,2628,241,2633,240,2645,240,2651,241,2662,246,2667,249,2675,257,2679,262,2683,273,2684,279,2684,291,2683,297,2679,308,2675,313,2667,321,2662,324,2651,329,2645,330xm2825,330l2813,330,2808,329,2797,324,2792,321,2783,313,2780,308,2775,297,2774,291,2774,279,2775,273,2780,262,2783,257,2792,249,2797,246,2808,241,2813,240,2825,240,2831,241,2842,246,2847,249,2855,257,2859,262,2863,273,2864,279,2864,291,2863,297,2859,308,2855,313,2847,321,2842,324,2831,329,2825,330xm3005,330l2993,330,2987,329,2976,324,2971,321,2963,313,2960,308,2955,297,2954,291,2954,279,2955,273,2960,262,2963,257,2971,249,2976,246,2987,241,2993,240,3005,240,3011,241,3022,246,3027,249,3035,257,3038,262,3043,273,3044,279,3044,291,3043,297,3038,308,3035,313,3027,321,3022,324,3011,329,3005,330xm3185,330l3173,330,3167,329,3156,324,3151,321,3143,313,3140,308,3135,297,3134,291,3134,279,3135,273,3140,262,3143,257,3151,249,3156,246,3167,241,3173,240,3185,240,3191,241,3202,246,3207,249,3215,257,3218,262,3223,273,3224,279,3224,291,3223,297,3218,308,3215,313,3207,321,3202,324,3191,329,3185,330xe" filled="true" fillcolor="#2b816f" stroked="false">
                <v:path arrowok="t"/>
                <v:fill type="solid"/>
                <w10:wrap type="topAndBottom"/>
              </v:shape>
            </w:pict>
          </mc:Fallback>
        </mc:AlternateContent>
      </w:r>
    </w:p>
    <w:p>
      <w:pPr>
        <w:spacing w:before="78"/>
        <w:ind w:left="437" w:right="0" w:firstLine="0"/>
        <w:jc w:val="both"/>
        <w:rPr>
          <w:rFonts w:ascii="Arial"/>
          <w:b/>
          <w:sz w:val="22"/>
        </w:rPr>
      </w:pPr>
      <w:r>
        <w:rPr>
          <w:rFonts w:ascii="Arial"/>
          <w:b/>
          <w:color w:val="2B816F"/>
          <w:sz w:val="22"/>
        </w:rPr>
        <w:t>FIGURE</w:t>
      </w:r>
      <w:r>
        <w:rPr>
          <w:rFonts w:ascii="Arial"/>
          <w:b/>
          <w:color w:val="2B816F"/>
          <w:spacing w:val="17"/>
          <w:sz w:val="22"/>
        </w:rPr>
        <w:t> </w:t>
      </w:r>
      <w:r>
        <w:rPr>
          <w:rFonts w:ascii="Arial"/>
          <w:b/>
          <w:color w:val="2B816F"/>
          <w:spacing w:val="-4"/>
          <w:sz w:val="22"/>
        </w:rPr>
        <w:t>23.8</w:t>
      </w:r>
    </w:p>
    <w:p>
      <w:pPr>
        <w:pStyle w:val="BodyText"/>
        <w:spacing w:before="94"/>
        <w:ind w:left="0"/>
        <w:jc w:val="left"/>
        <w:rPr>
          <w:rFonts w:ascii="Arial"/>
          <w:b/>
          <w:sz w:val="22"/>
        </w:rPr>
      </w:pPr>
    </w:p>
    <w:p>
      <w:pPr>
        <w:pStyle w:val="ListParagraph"/>
        <w:numPr>
          <w:ilvl w:val="0"/>
          <w:numId w:val="1"/>
        </w:numPr>
        <w:tabs>
          <w:tab w:pos="434" w:val="left" w:leader="none"/>
          <w:tab w:pos="437" w:val="left" w:leader="none"/>
        </w:tabs>
        <w:spacing w:line="256" w:lineRule="auto" w:before="0" w:after="0"/>
        <w:ind w:left="437" w:right="98" w:hanging="243"/>
        <w:jc w:val="both"/>
        <w:rPr>
          <w:sz w:val="22"/>
        </w:rPr>
      </w:pPr>
      <w:r>
        <w:rPr>
          <w:b/>
          <w:sz w:val="22"/>
        </w:rPr>
        <w:t>Hip fracture.</w:t>
      </w:r>
      <w:r>
        <w:rPr>
          <w:b/>
          <w:spacing w:val="21"/>
          <w:sz w:val="22"/>
        </w:rPr>
        <w:t> </w:t>
      </w:r>
      <w:r>
        <w:rPr>
          <w:sz w:val="22"/>
        </w:rPr>
        <w:t>The</w:t>
      </w:r>
      <w:r>
        <w:rPr>
          <w:spacing w:val="21"/>
          <w:sz w:val="22"/>
        </w:rPr>
        <w:t> </w:t>
      </w:r>
      <w:r>
        <w:rPr>
          <w:sz w:val="22"/>
        </w:rPr>
        <w:t>incidence</w:t>
      </w:r>
      <w:r>
        <w:rPr>
          <w:spacing w:val="21"/>
          <w:sz w:val="22"/>
        </w:rPr>
        <w:t> </w:t>
      </w:r>
      <w:r>
        <w:rPr>
          <w:sz w:val="22"/>
        </w:rPr>
        <w:t>of</w:t>
      </w:r>
      <w:r>
        <w:rPr>
          <w:spacing w:val="21"/>
          <w:sz w:val="22"/>
        </w:rPr>
        <w:t> </w:t>
      </w:r>
      <w:r>
        <w:rPr>
          <w:sz w:val="22"/>
        </w:rPr>
        <w:t>hip</w:t>
      </w:r>
      <w:r>
        <w:rPr>
          <w:spacing w:val="21"/>
          <w:sz w:val="22"/>
        </w:rPr>
        <w:t> </w:t>
      </w:r>
      <w:r>
        <w:rPr>
          <w:sz w:val="22"/>
        </w:rPr>
        <w:t>fractures</w:t>
      </w:r>
      <w:r>
        <w:rPr>
          <w:spacing w:val="21"/>
          <w:sz w:val="22"/>
        </w:rPr>
        <w:t> </w:t>
      </w:r>
      <w:r>
        <w:rPr>
          <w:sz w:val="22"/>
        </w:rPr>
        <w:t>increases</w:t>
      </w:r>
      <w:r>
        <w:rPr>
          <w:spacing w:val="21"/>
          <w:sz w:val="22"/>
        </w:rPr>
        <w:t> </w:t>
      </w:r>
      <w:r>
        <w:rPr>
          <w:sz w:val="22"/>
        </w:rPr>
        <w:t>with</w:t>
      </w:r>
      <w:r>
        <w:rPr>
          <w:spacing w:val="21"/>
          <w:sz w:val="22"/>
        </w:rPr>
        <w:t> </w:t>
      </w:r>
      <w:r>
        <w:rPr>
          <w:sz w:val="22"/>
        </w:rPr>
        <w:t>age</w:t>
      </w:r>
      <w:r>
        <w:rPr>
          <w:spacing w:val="21"/>
          <w:sz w:val="22"/>
        </w:rPr>
        <w:t> </w:t>
      </w:r>
      <w:r>
        <w:rPr>
          <w:sz w:val="22"/>
        </w:rPr>
        <w:t>in</w:t>
      </w:r>
      <w:r>
        <w:rPr>
          <w:spacing w:val="21"/>
          <w:sz w:val="22"/>
        </w:rPr>
        <w:t> </w:t>
      </w:r>
      <w:r>
        <w:rPr>
          <w:sz w:val="22"/>
        </w:rPr>
        <w:t>women,</w:t>
      </w:r>
      <w:r>
        <w:rPr>
          <w:spacing w:val="21"/>
          <w:sz w:val="22"/>
        </w:rPr>
        <w:t> </w:t>
      </w:r>
      <w:r>
        <w:rPr>
          <w:sz w:val="22"/>
        </w:rPr>
        <w:t>rising</w:t>
      </w:r>
      <w:r>
        <w:rPr>
          <w:spacing w:val="21"/>
          <w:sz w:val="22"/>
        </w:rPr>
        <w:t> </w:t>
      </w:r>
      <w:r>
        <w:rPr>
          <w:sz w:val="22"/>
        </w:rPr>
        <w:t>from</w:t>
      </w:r>
      <w:r>
        <w:rPr>
          <w:spacing w:val="21"/>
          <w:sz w:val="22"/>
        </w:rPr>
        <w:t> </w:t>
      </w:r>
      <w:r>
        <w:rPr>
          <w:sz w:val="22"/>
        </w:rPr>
        <w:t>0.3/1,000 to</w:t>
      </w:r>
      <w:r>
        <w:rPr>
          <w:spacing w:val="40"/>
          <w:sz w:val="22"/>
        </w:rPr>
        <w:t> </w:t>
      </w:r>
      <w:r>
        <w:rPr>
          <w:sz w:val="22"/>
        </w:rPr>
        <w:t>20/1,000</w:t>
      </w:r>
      <w:r>
        <w:rPr>
          <w:spacing w:val="40"/>
          <w:sz w:val="22"/>
        </w:rPr>
        <w:t> </w:t>
      </w:r>
      <w:r>
        <w:rPr>
          <w:sz w:val="22"/>
        </w:rPr>
        <w:t>in</w:t>
      </w:r>
      <w:r>
        <w:rPr>
          <w:spacing w:val="40"/>
          <w:sz w:val="22"/>
        </w:rPr>
        <w:t> </w:t>
      </w:r>
      <w:r>
        <w:rPr>
          <w:sz w:val="22"/>
        </w:rPr>
        <w:t>White</w:t>
      </w:r>
      <w:r>
        <w:rPr>
          <w:spacing w:val="40"/>
          <w:sz w:val="22"/>
        </w:rPr>
        <w:t> </w:t>
      </w:r>
      <w:r>
        <w:rPr>
          <w:sz w:val="22"/>
        </w:rPr>
        <w:t>women</w:t>
      </w:r>
      <w:r>
        <w:rPr>
          <w:spacing w:val="40"/>
          <w:sz w:val="22"/>
        </w:rPr>
        <w:t> </w:t>
      </w:r>
      <w:r>
        <w:rPr>
          <w:sz w:val="22"/>
        </w:rPr>
        <w:t>between</w:t>
      </w:r>
      <w:r>
        <w:rPr>
          <w:spacing w:val="40"/>
          <w:sz w:val="22"/>
        </w:rPr>
        <w:t> </w:t>
      </w:r>
      <w:r>
        <w:rPr>
          <w:sz w:val="22"/>
        </w:rPr>
        <w:t>45</w:t>
      </w:r>
      <w:r>
        <w:rPr>
          <w:spacing w:val="40"/>
          <w:sz w:val="22"/>
        </w:rPr>
        <w:t> </w:t>
      </w:r>
      <w:r>
        <w:rPr>
          <w:sz w:val="22"/>
        </w:rPr>
        <w:t>and</w:t>
      </w:r>
      <w:r>
        <w:rPr>
          <w:spacing w:val="40"/>
          <w:sz w:val="22"/>
        </w:rPr>
        <w:t> </w:t>
      </w:r>
      <w:r>
        <w:rPr>
          <w:sz w:val="22"/>
        </w:rPr>
        <w:t>85</w:t>
      </w:r>
      <w:r>
        <w:rPr>
          <w:spacing w:val="40"/>
          <w:sz w:val="22"/>
        </w:rPr>
        <w:t> </w:t>
      </w:r>
      <w:r>
        <w:rPr>
          <w:sz w:val="22"/>
        </w:rPr>
        <w:t>years</w:t>
      </w:r>
      <w:r>
        <w:rPr>
          <w:spacing w:val="40"/>
          <w:sz w:val="22"/>
        </w:rPr>
        <w:t> </w:t>
      </w:r>
      <w:r>
        <w:rPr>
          <w:sz w:val="22"/>
        </w:rPr>
        <w:t>of</w:t>
      </w:r>
      <w:r>
        <w:rPr>
          <w:spacing w:val="40"/>
          <w:sz w:val="22"/>
        </w:rPr>
        <w:t> </w:t>
      </w:r>
      <w:r>
        <w:rPr>
          <w:sz w:val="22"/>
        </w:rPr>
        <w:t>age.</w:t>
      </w:r>
      <w:r>
        <w:rPr>
          <w:spacing w:val="40"/>
          <w:sz w:val="22"/>
        </w:rPr>
        <w:t> </w:t>
      </w:r>
      <w:r>
        <w:rPr>
          <w:b/>
          <w:sz w:val="22"/>
        </w:rPr>
        <w:t>Eighty</w:t>
      </w:r>
      <w:r>
        <w:rPr>
          <w:b/>
          <w:spacing w:val="40"/>
          <w:sz w:val="22"/>
        </w:rPr>
        <w:t> </w:t>
      </w:r>
      <w:r>
        <w:rPr>
          <w:b/>
          <w:sz w:val="22"/>
        </w:rPr>
        <w:t>percent</w:t>
      </w:r>
      <w:r>
        <w:rPr>
          <w:b/>
          <w:spacing w:val="40"/>
          <w:sz w:val="22"/>
        </w:rPr>
        <w:t> </w:t>
      </w:r>
      <w:r>
        <w:rPr>
          <w:b/>
          <w:sz w:val="22"/>
        </w:rPr>
        <w:t>of</w:t>
      </w:r>
      <w:r>
        <w:rPr>
          <w:b/>
          <w:spacing w:val="40"/>
          <w:sz w:val="22"/>
        </w:rPr>
        <w:t> </w:t>
      </w:r>
      <w:r>
        <w:rPr>
          <w:b/>
          <w:sz w:val="22"/>
        </w:rPr>
        <w:t>all</w:t>
      </w:r>
      <w:r>
        <w:rPr>
          <w:b/>
          <w:spacing w:val="40"/>
          <w:sz w:val="22"/>
        </w:rPr>
        <w:t> </w:t>
      </w:r>
      <w:r>
        <w:rPr>
          <w:b/>
          <w:sz w:val="22"/>
        </w:rPr>
        <w:t>hip fractures are associated with osteoporosis. </w:t>
      </w:r>
      <w:r>
        <w:rPr>
          <w:sz w:val="22"/>
        </w:rPr>
        <w:t>White women who are 50 years old have approximately</w:t>
      </w:r>
      <w:r>
        <w:rPr>
          <w:spacing w:val="28"/>
          <w:sz w:val="22"/>
        </w:rPr>
        <w:t> </w:t>
      </w:r>
      <w:r>
        <w:rPr>
          <w:sz w:val="22"/>
        </w:rPr>
        <w:t>a</w:t>
      </w:r>
      <w:r>
        <w:rPr>
          <w:spacing w:val="28"/>
          <w:sz w:val="22"/>
        </w:rPr>
        <w:t> </w:t>
      </w:r>
      <w:r>
        <w:rPr>
          <w:sz w:val="22"/>
        </w:rPr>
        <w:t>14%</w:t>
      </w:r>
      <w:r>
        <w:rPr>
          <w:spacing w:val="28"/>
          <w:sz w:val="22"/>
        </w:rPr>
        <w:t> </w:t>
      </w:r>
      <w:r>
        <w:rPr>
          <w:sz w:val="22"/>
        </w:rPr>
        <w:t>lifetime</w:t>
      </w:r>
      <w:r>
        <w:rPr>
          <w:spacing w:val="28"/>
          <w:sz w:val="22"/>
        </w:rPr>
        <w:t> </w:t>
      </w:r>
      <w:r>
        <w:rPr>
          <w:sz w:val="22"/>
        </w:rPr>
        <w:t>risk</w:t>
      </w:r>
      <w:r>
        <w:rPr>
          <w:spacing w:val="28"/>
          <w:sz w:val="22"/>
        </w:rPr>
        <w:t> </w:t>
      </w:r>
      <w:r>
        <w:rPr>
          <w:sz w:val="22"/>
        </w:rPr>
        <w:t>of</w:t>
      </w:r>
      <w:r>
        <w:rPr>
          <w:spacing w:val="28"/>
          <w:sz w:val="22"/>
        </w:rPr>
        <w:t> </w:t>
      </w:r>
      <w:r>
        <w:rPr>
          <w:sz w:val="22"/>
        </w:rPr>
        <w:t>having</w:t>
      </w:r>
      <w:r>
        <w:rPr>
          <w:spacing w:val="28"/>
          <w:sz w:val="22"/>
        </w:rPr>
        <w:t> </w:t>
      </w:r>
      <w:r>
        <w:rPr>
          <w:sz w:val="22"/>
        </w:rPr>
        <w:t>a</w:t>
      </w:r>
      <w:r>
        <w:rPr>
          <w:spacing w:val="28"/>
          <w:sz w:val="22"/>
        </w:rPr>
        <w:t> </w:t>
      </w:r>
      <w:r>
        <w:rPr>
          <w:sz w:val="22"/>
        </w:rPr>
        <w:t>hip</w:t>
      </w:r>
      <w:r>
        <w:rPr>
          <w:spacing w:val="28"/>
          <w:sz w:val="22"/>
        </w:rPr>
        <w:t> </w:t>
      </w:r>
      <w:r>
        <w:rPr>
          <w:sz w:val="22"/>
        </w:rPr>
        <w:t>fracture;</w:t>
      </w:r>
      <w:r>
        <w:rPr>
          <w:spacing w:val="28"/>
          <w:sz w:val="22"/>
        </w:rPr>
        <w:t> </w:t>
      </w:r>
      <w:r>
        <w:rPr>
          <w:sz w:val="22"/>
        </w:rPr>
        <w:t>in</w:t>
      </w:r>
      <w:r>
        <w:rPr>
          <w:spacing w:val="28"/>
          <w:sz w:val="22"/>
        </w:rPr>
        <w:t> </w:t>
      </w:r>
      <w:r>
        <w:rPr>
          <w:sz w:val="22"/>
        </w:rPr>
        <w:t>contrast,</w:t>
      </w:r>
      <w:r>
        <w:rPr>
          <w:spacing w:val="28"/>
          <w:sz w:val="22"/>
        </w:rPr>
        <w:t> </w:t>
      </w:r>
      <w:r>
        <w:rPr>
          <w:sz w:val="22"/>
        </w:rPr>
        <w:t>the</w:t>
      </w:r>
      <w:r>
        <w:rPr>
          <w:spacing w:val="28"/>
          <w:sz w:val="22"/>
        </w:rPr>
        <w:t> </w:t>
      </w:r>
      <w:r>
        <w:rPr>
          <w:sz w:val="22"/>
        </w:rPr>
        <w:t>lifetime</w:t>
      </w:r>
      <w:r>
        <w:rPr>
          <w:spacing w:val="28"/>
          <w:sz w:val="22"/>
        </w:rPr>
        <w:t> </w:t>
      </w:r>
      <w:r>
        <w:rPr>
          <w:sz w:val="22"/>
        </w:rPr>
        <w:t>hip</w:t>
      </w:r>
      <w:r>
        <w:rPr>
          <w:spacing w:val="28"/>
          <w:sz w:val="22"/>
        </w:rPr>
        <w:t> </w:t>
      </w:r>
      <w:r>
        <w:rPr>
          <w:sz w:val="22"/>
        </w:rPr>
        <w:t>fracture risk for Black 50-year old women is 6%. </w:t>
      </w:r>
      <w:r>
        <w:rPr>
          <w:b/>
          <w:sz w:val="22"/>
        </w:rPr>
        <w:t>Hip fracture carries an increased risk of morbidity</w:t>
      </w:r>
      <w:r>
        <w:rPr>
          <w:b/>
          <w:spacing w:val="80"/>
          <w:sz w:val="22"/>
        </w:rPr>
        <w:t> </w:t>
      </w:r>
      <w:r>
        <w:rPr>
          <w:b/>
          <w:sz w:val="22"/>
        </w:rPr>
        <w:t>and mortality. </w:t>
      </w:r>
      <w:r>
        <w:rPr>
          <w:sz w:val="22"/>
        </w:rPr>
        <w:t>About 25% of patients over the age of 50 with hip fractures die due to the </w:t>
      </w:r>
      <w:r>
        <w:rPr>
          <w:sz w:val="22"/>
        </w:rPr>
        <w:t>fracture</w:t>
      </w:r>
      <w:r>
        <w:rPr>
          <w:spacing w:val="40"/>
          <w:sz w:val="22"/>
        </w:rPr>
        <w:t> </w:t>
      </w:r>
      <w:r>
        <w:rPr>
          <w:sz w:val="22"/>
        </w:rPr>
        <w:t>or its complications (surgical, embolic, cardiopulmonary) within 1 year. The survivors are frequently severely disabled and may become permanent invalids. Hip fractures alone occur in about</w:t>
      </w:r>
      <w:r>
        <w:rPr>
          <w:spacing w:val="26"/>
          <w:sz w:val="22"/>
        </w:rPr>
        <w:t> </w:t>
      </w:r>
      <w:r>
        <w:rPr>
          <w:sz w:val="22"/>
        </w:rPr>
        <w:t>300,000</w:t>
      </w:r>
      <w:r>
        <w:rPr>
          <w:spacing w:val="26"/>
          <w:sz w:val="22"/>
        </w:rPr>
        <w:t> </w:t>
      </w:r>
      <w:r>
        <w:rPr>
          <w:sz w:val="22"/>
        </w:rPr>
        <w:t>individuals</w:t>
      </w:r>
      <w:r>
        <w:rPr>
          <w:spacing w:val="26"/>
          <w:sz w:val="22"/>
        </w:rPr>
        <w:t> </w:t>
      </w:r>
      <w:r>
        <w:rPr>
          <w:sz w:val="22"/>
        </w:rPr>
        <w:t>per</w:t>
      </w:r>
      <w:r>
        <w:rPr>
          <w:spacing w:val="26"/>
          <w:sz w:val="22"/>
        </w:rPr>
        <w:t> </w:t>
      </w:r>
      <w:r>
        <w:rPr>
          <w:sz w:val="22"/>
        </w:rPr>
        <w:t>year</w:t>
      </w:r>
      <w:r>
        <w:rPr>
          <w:spacing w:val="26"/>
          <w:sz w:val="22"/>
        </w:rPr>
        <w:t> </w:t>
      </w:r>
      <w:r>
        <w:rPr>
          <w:sz w:val="22"/>
        </w:rPr>
        <w:t>in</w:t>
      </w:r>
      <w:r>
        <w:rPr>
          <w:spacing w:val="26"/>
          <w:sz w:val="22"/>
        </w:rPr>
        <w:t> </w:t>
      </w:r>
      <w:r>
        <w:rPr>
          <w:sz w:val="22"/>
        </w:rPr>
        <w:t>the</w:t>
      </w:r>
      <w:r>
        <w:rPr>
          <w:spacing w:val="26"/>
          <w:sz w:val="22"/>
        </w:rPr>
        <w:t> </w:t>
      </w:r>
      <w:r>
        <w:rPr>
          <w:sz w:val="22"/>
        </w:rPr>
        <w:t>United</w:t>
      </w:r>
      <w:r>
        <w:rPr>
          <w:spacing w:val="26"/>
          <w:sz w:val="22"/>
        </w:rPr>
        <w:t> </w:t>
      </w:r>
      <w:r>
        <w:rPr>
          <w:sz w:val="22"/>
        </w:rPr>
        <w:t>States</w:t>
      </w:r>
      <w:r>
        <w:rPr>
          <w:spacing w:val="26"/>
          <w:sz w:val="22"/>
        </w:rPr>
        <w:t> </w:t>
      </w:r>
      <w:r>
        <w:rPr>
          <w:sz w:val="22"/>
        </w:rPr>
        <w:t>with</w:t>
      </w:r>
      <w:r>
        <w:rPr>
          <w:spacing w:val="26"/>
          <w:sz w:val="22"/>
        </w:rPr>
        <w:t> </w:t>
      </w:r>
      <w:r>
        <w:rPr>
          <w:sz w:val="22"/>
        </w:rPr>
        <w:t>a</w:t>
      </w:r>
      <w:r>
        <w:rPr>
          <w:spacing w:val="26"/>
          <w:sz w:val="22"/>
        </w:rPr>
        <w:t> </w:t>
      </w:r>
      <w:r>
        <w:rPr>
          <w:sz w:val="22"/>
        </w:rPr>
        <w:t>mortality</w:t>
      </w:r>
      <w:r>
        <w:rPr>
          <w:spacing w:val="26"/>
          <w:sz w:val="22"/>
        </w:rPr>
        <w:t> </w:t>
      </w:r>
      <w:r>
        <w:rPr>
          <w:sz w:val="22"/>
        </w:rPr>
        <w:t>of</w:t>
      </w:r>
      <w:r>
        <w:rPr>
          <w:spacing w:val="26"/>
          <w:sz w:val="22"/>
        </w:rPr>
        <w:t> </w:t>
      </w:r>
      <w:r>
        <w:rPr>
          <w:sz w:val="22"/>
        </w:rPr>
        <w:t>40,000</w:t>
      </w:r>
      <w:r>
        <w:rPr>
          <w:spacing w:val="26"/>
          <w:sz w:val="22"/>
        </w:rPr>
        <w:t> </w:t>
      </w:r>
      <w:r>
        <w:rPr>
          <w:sz w:val="22"/>
        </w:rPr>
        <w:t>annually</w:t>
      </w:r>
      <w:r>
        <w:rPr>
          <w:spacing w:val="26"/>
          <w:sz w:val="22"/>
        </w:rPr>
        <w:t> </w:t>
      </w:r>
      <w:r>
        <w:rPr>
          <w:sz w:val="22"/>
        </w:rPr>
        <w:t>and</w:t>
      </w:r>
    </w:p>
    <w:p>
      <w:pPr>
        <w:spacing w:before="24"/>
        <w:ind w:left="437" w:right="0" w:firstLine="0"/>
        <w:jc w:val="both"/>
        <w:rPr>
          <w:sz w:val="22"/>
        </w:rPr>
      </w:pPr>
      <w:r>
        <w:rPr>
          <w:sz w:val="22"/>
        </w:rPr>
        <w:t>an</w:t>
      </w:r>
      <w:r>
        <w:rPr>
          <w:spacing w:val="46"/>
          <w:sz w:val="22"/>
        </w:rPr>
        <w:t> </w:t>
      </w:r>
      <w:r>
        <w:rPr>
          <w:sz w:val="22"/>
        </w:rPr>
        <w:t>associated</w:t>
      </w:r>
      <w:r>
        <w:rPr>
          <w:spacing w:val="47"/>
          <w:sz w:val="22"/>
        </w:rPr>
        <w:t> </w:t>
      </w:r>
      <w:r>
        <w:rPr>
          <w:sz w:val="22"/>
        </w:rPr>
        <w:t>cost</w:t>
      </w:r>
      <w:r>
        <w:rPr>
          <w:spacing w:val="46"/>
          <w:sz w:val="22"/>
        </w:rPr>
        <w:t> </w:t>
      </w:r>
      <w:r>
        <w:rPr>
          <w:sz w:val="22"/>
        </w:rPr>
        <w:t>of</w:t>
      </w:r>
      <w:r>
        <w:rPr>
          <w:spacing w:val="47"/>
          <w:sz w:val="22"/>
        </w:rPr>
        <w:t> </w:t>
      </w:r>
      <w:r>
        <w:rPr>
          <w:sz w:val="22"/>
        </w:rPr>
        <w:t>billions</w:t>
      </w:r>
      <w:r>
        <w:rPr>
          <w:spacing w:val="47"/>
          <w:sz w:val="22"/>
        </w:rPr>
        <w:t> </w:t>
      </w:r>
      <w:r>
        <w:rPr>
          <w:sz w:val="22"/>
        </w:rPr>
        <w:t>of</w:t>
      </w:r>
      <w:r>
        <w:rPr>
          <w:spacing w:val="46"/>
          <w:sz w:val="22"/>
        </w:rPr>
        <w:t> </w:t>
      </w:r>
      <w:r>
        <w:rPr>
          <w:sz w:val="22"/>
        </w:rPr>
        <w:t>dollars.</w:t>
      </w:r>
      <w:r>
        <w:rPr>
          <w:sz w:val="22"/>
          <w:vertAlign w:val="superscript"/>
        </w:rPr>
        <w:t>1</w:t>
      </w:r>
      <w:r>
        <w:rPr>
          <w:spacing w:val="47"/>
          <w:sz w:val="22"/>
          <w:vertAlign w:val="baseline"/>
        </w:rPr>
        <w:t> </w:t>
      </w:r>
      <w:r>
        <w:rPr>
          <w:sz w:val="22"/>
          <w:vertAlign w:val="baseline"/>
        </w:rPr>
        <w:t>The</w:t>
      </w:r>
      <w:r>
        <w:rPr>
          <w:spacing w:val="46"/>
          <w:sz w:val="22"/>
          <w:vertAlign w:val="baseline"/>
        </w:rPr>
        <w:t> </w:t>
      </w:r>
      <w:r>
        <w:rPr>
          <w:sz w:val="22"/>
          <w:vertAlign w:val="baseline"/>
        </w:rPr>
        <w:t>common</w:t>
      </w:r>
      <w:r>
        <w:rPr>
          <w:spacing w:val="47"/>
          <w:sz w:val="22"/>
          <w:vertAlign w:val="baseline"/>
        </w:rPr>
        <w:t> </w:t>
      </w:r>
      <w:r>
        <w:rPr>
          <w:sz w:val="22"/>
          <w:vertAlign w:val="baseline"/>
        </w:rPr>
        <w:t>variants</w:t>
      </w:r>
      <w:r>
        <w:rPr>
          <w:spacing w:val="47"/>
          <w:sz w:val="22"/>
          <w:vertAlign w:val="baseline"/>
        </w:rPr>
        <w:t> </w:t>
      </w:r>
      <w:r>
        <w:rPr>
          <w:sz w:val="22"/>
          <w:vertAlign w:val="baseline"/>
        </w:rPr>
        <w:t>of</w:t>
      </w:r>
      <w:r>
        <w:rPr>
          <w:spacing w:val="46"/>
          <w:sz w:val="22"/>
          <w:vertAlign w:val="baseline"/>
        </w:rPr>
        <w:t> </w:t>
      </w:r>
      <w:r>
        <w:rPr>
          <w:sz w:val="22"/>
          <w:vertAlign w:val="baseline"/>
        </w:rPr>
        <w:t>hip</w:t>
      </w:r>
      <w:r>
        <w:rPr>
          <w:spacing w:val="47"/>
          <w:sz w:val="22"/>
          <w:vertAlign w:val="baseline"/>
        </w:rPr>
        <w:t> </w:t>
      </w:r>
      <w:r>
        <w:rPr>
          <w:sz w:val="22"/>
          <w:vertAlign w:val="baseline"/>
        </w:rPr>
        <w:t>fractures</w:t>
      </w:r>
      <w:r>
        <w:rPr>
          <w:spacing w:val="47"/>
          <w:sz w:val="22"/>
          <w:vertAlign w:val="baseline"/>
        </w:rPr>
        <w:t> </w:t>
      </w:r>
      <w:r>
        <w:rPr>
          <w:sz w:val="22"/>
          <w:vertAlign w:val="baseline"/>
        </w:rPr>
        <w:t>are</w:t>
      </w:r>
      <w:r>
        <w:rPr>
          <w:spacing w:val="46"/>
          <w:sz w:val="22"/>
          <w:vertAlign w:val="baseline"/>
        </w:rPr>
        <w:t> </w:t>
      </w:r>
      <w:r>
        <w:rPr>
          <w:sz w:val="22"/>
          <w:vertAlign w:val="baseline"/>
        </w:rPr>
        <w:t>shown</w:t>
      </w:r>
      <w:r>
        <w:rPr>
          <w:spacing w:val="47"/>
          <w:sz w:val="22"/>
          <w:vertAlign w:val="baseline"/>
        </w:rPr>
        <w:t> </w:t>
      </w:r>
      <w:r>
        <w:rPr>
          <w:spacing w:val="-5"/>
          <w:sz w:val="22"/>
          <w:vertAlign w:val="baseline"/>
        </w:rPr>
        <w:t>in</w:t>
      </w:r>
    </w:p>
    <w:p>
      <w:pPr>
        <w:spacing w:before="17"/>
        <w:ind w:left="437" w:right="0" w:firstLine="0"/>
        <w:jc w:val="both"/>
        <w:rPr>
          <w:sz w:val="22"/>
        </w:rPr>
      </w:pPr>
      <w:r>
        <w:rPr>
          <w:b/>
          <w:color w:val="256E60"/>
          <w:sz w:val="22"/>
        </w:rPr>
        <w:t>Figure</w:t>
      </w:r>
      <w:r>
        <w:rPr>
          <w:b/>
          <w:color w:val="256E60"/>
          <w:spacing w:val="8"/>
          <w:sz w:val="22"/>
        </w:rPr>
        <w:t> </w:t>
      </w:r>
      <w:r>
        <w:rPr>
          <w:b/>
          <w:color w:val="256E60"/>
          <w:spacing w:val="-2"/>
          <w:sz w:val="22"/>
        </w:rPr>
        <w:t>23.8</w:t>
      </w:r>
      <w:r>
        <w:rPr>
          <w:spacing w:val="-2"/>
          <w:sz w:val="22"/>
        </w:rPr>
        <w:t>.</w:t>
      </w:r>
    </w:p>
    <w:p>
      <w:pPr>
        <w:pStyle w:val="ListParagraph"/>
        <w:numPr>
          <w:ilvl w:val="0"/>
          <w:numId w:val="1"/>
        </w:numPr>
        <w:tabs>
          <w:tab w:pos="434" w:val="left" w:leader="none"/>
          <w:tab w:pos="437" w:val="left" w:leader="none"/>
        </w:tabs>
        <w:spacing w:line="261" w:lineRule="auto" w:before="16" w:after="0"/>
        <w:ind w:left="437" w:right="101" w:hanging="243"/>
        <w:jc w:val="both"/>
        <w:rPr>
          <w:sz w:val="22"/>
        </w:rPr>
      </w:pPr>
      <w:r>
        <w:rPr>
          <w:b/>
          <w:sz w:val="22"/>
        </w:rPr>
        <w:t>Tooth loss. </w:t>
      </w:r>
      <w:r>
        <w:rPr>
          <w:sz w:val="22"/>
        </w:rPr>
        <w:t>Oral alveolar bone loss (which can lead to loss of teeth) is strongly correlated with osteoporosis, and the salutary effect of estrogen on skeletal bone mass is also manifested on </w:t>
      </w:r>
      <w:r>
        <w:rPr>
          <w:sz w:val="22"/>
        </w:rPr>
        <w:t>oral bone.</w:t>
      </w:r>
      <w:r>
        <w:rPr>
          <w:position w:val="9"/>
          <w:sz w:val="17"/>
        </w:rPr>
        <w:t>62,63</w:t>
      </w:r>
      <w:r>
        <w:rPr>
          <w:spacing w:val="40"/>
          <w:position w:val="9"/>
          <w:sz w:val="17"/>
        </w:rPr>
        <w:t> </w:t>
      </w:r>
      <w:r>
        <w:rPr>
          <w:sz w:val="22"/>
        </w:rPr>
        <w:t>Even</w:t>
      </w:r>
      <w:r>
        <w:rPr>
          <w:spacing w:val="40"/>
          <w:sz w:val="22"/>
        </w:rPr>
        <w:t> </w:t>
      </w:r>
      <w:r>
        <w:rPr>
          <w:sz w:val="22"/>
        </w:rPr>
        <w:t>in</w:t>
      </w:r>
      <w:r>
        <w:rPr>
          <w:spacing w:val="40"/>
          <w:sz w:val="22"/>
        </w:rPr>
        <w:t> </w:t>
      </w:r>
      <w:r>
        <w:rPr>
          <w:sz w:val="22"/>
        </w:rPr>
        <w:t>women</w:t>
      </w:r>
      <w:r>
        <w:rPr>
          <w:spacing w:val="40"/>
          <w:sz w:val="22"/>
        </w:rPr>
        <w:t> </w:t>
      </w:r>
      <w:r>
        <w:rPr>
          <w:sz w:val="22"/>
        </w:rPr>
        <w:t>without</w:t>
      </w:r>
      <w:r>
        <w:rPr>
          <w:spacing w:val="40"/>
          <w:sz w:val="22"/>
        </w:rPr>
        <w:t> </w:t>
      </w:r>
      <w:r>
        <w:rPr>
          <w:sz w:val="22"/>
        </w:rPr>
        <w:t>osteoporosis,</w:t>
      </w:r>
      <w:r>
        <w:rPr>
          <w:spacing w:val="40"/>
          <w:sz w:val="22"/>
        </w:rPr>
        <w:t> </w:t>
      </w:r>
      <w:r>
        <w:rPr>
          <w:sz w:val="22"/>
        </w:rPr>
        <w:t>there</w:t>
      </w:r>
      <w:r>
        <w:rPr>
          <w:spacing w:val="40"/>
          <w:sz w:val="22"/>
        </w:rPr>
        <w:t> </w:t>
      </w:r>
      <w:r>
        <w:rPr>
          <w:sz w:val="22"/>
        </w:rPr>
        <w:t>is</w:t>
      </w:r>
      <w:r>
        <w:rPr>
          <w:spacing w:val="40"/>
          <w:sz w:val="22"/>
        </w:rPr>
        <w:t> </w:t>
      </w:r>
      <w:r>
        <w:rPr>
          <w:sz w:val="22"/>
        </w:rPr>
        <w:t>a</w:t>
      </w:r>
      <w:r>
        <w:rPr>
          <w:spacing w:val="40"/>
          <w:sz w:val="22"/>
        </w:rPr>
        <w:t> </w:t>
      </w:r>
      <w:r>
        <w:rPr>
          <w:sz w:val="22"/>
        </w:rPr>
        <w:t>correlation</w:t>
      </w:r>
      <w:r>
        <w:rPr>
          <w:spacing w:val="40"/>
          <w:sz w:val="22"/>
        </w:rPr>
        <w:t> </w:t>
      </w:r>
      <w:r>
        <w:rPr>
          <w:sz w:val="22"/>
        </w:rPr>
        <w:t>between</w:t>
      </w:r>
      <w:r>
        <w:rPr>
          <w:spacing w:val="40"/>
          <w:sz w:val="22"/>
        </w:rPr>
        <w:t> </w:t>
      </w:r>
      <w:r>
        <w:rPr>
          <w:sz w:val="22"/>
        </w:rPr>
        <w:t>spinal</w:t>
      </w:r>
      <w:r>
        <w:rPr>
          <w:spacing w:val="40"/>
          <w:sz w:val="22"/>
        </w:rPr>
        <w:t> </w:t>
      </w:r>
      <w:r>
        <w:rPr>
          <w:sz w:val="22"/>
        </w:rPr>
        <w:t>bone density</w:t>
      </w:r>
      <w:r>
        <w:rPr>
          <w:spacing w:val="74"/>
          <w:sz w:val="22"/>
        </w:rPr>
        <w:t> </w:t>
      </w:r>
      <w:r>
        <w:rPr>
          <w:sz w:val="22"/>
        </w:rPr>
        <w:t>and</w:t>
      </w:r>
      <w:r>
        <w:rPr>
          <w:spacing w:val="74"/>
          <w:sz w:val="22"/>
        </w:rPr>
        <w:t> </w:t>
      </w:r>
      <w:r>
        <w:rPr>
          <w:sz w:val="22"/>
        </w:rPr>
        <w:t>number</w:t>
      </w:r>
      <w:r>
        <w:rPr>
          <w:spacing w:val="74"/>
          <w:sz w:val="22"/>
        </w:rPr>
        <w:t> </w:t>
      </w:r>
      <w:r>
        <w:rPr>
          <w:sz w:val="22"/>
        </w:rPr>
        <w:t>of</w:t>
      </w:r>
      <w:r>
        <w:rPr>
          <w:spacing w:val="74"/>
          <w:sz w:val="22"/>
        </w:rPr>
        <w:t> </w:t>
      </w:r>
      <w:r>
        <w:rPr>
          <w:sz w:val="22"/>
        </w:rPr>
        <w:t>teeth.</w:t>
      </w:r>
      <w:r>
        <w:rPr>
          <w:sz w:val="22"/>
          <w:vertAlign w:val="superscript"/>
        </w:rPr>
        <w:t>64</w:t>
      </w:r>
      <w:r>
        <w:rPr>
          <w:spacing w:val="77"/>
          <w:sz w:val="22"/>
          <w:vertAlign w:val="baseline"/>
        </w:rPr>
        <w:t> </w:t>
      </w:r>
      <w:r>
        <w:rPr>
          <w:sz w:val="22"/>
          <w:vertAlign w:val="baseline"/>
        </w:rPr>
        <w:t>Tooth</w:t>
      </w:r>
      <w:r>
        <w:rPr>
          <w:spacing w:val="77"/>
          <w:sz w:val="22"/>
          <w:vertAlign w:val="baseline"/>
        </w:rPr>
        <w:t> </w:t>
      </w:r>
      <w:r>
        <w:rPr>
          <w:sz w:val="22"/>
          <w:vertAlign w:val="baseline"/>
        </w:rPr>
        <w:t>loss</w:t>
      </w:r>
      <w:r>
        <w:rPr>
          <w:spacing w:val="77"/>
          <w:sz w:val="22"/>
          <w:vertAlign w:val="baseline"/>
        </w:rPr>
        <w:t> </w:t>
      </w:r>
      <w:r>
        <w:rPr>
          <w:sz w:val="22"/>
          <w:vertAlign w:val="baseline"/>
        </w:rPr>
        <w:t>is</w:t>
      </w:r>
      <w:r>
        <w:rPr>
          <w:spacing w:val="77"/>
          <w:sz w:val="22"/>
          <w:vertAlign w:val="baseline"/>
        </w:rPr>
        <w:t> </w:t>
      </w:r>
      <w:r>
        <w:rPr>
          <w:sz w:val="22"/>
          <w:vertAlign w:val="baseline"/>
        </w:rPr>
        <w:t>also</w:t>
      </w:r>
      <w:r>
        <w:rPr>
          <w:spacing w:val="77"/>
          <w:sz w:val="22"/>
          <w:vertAlign w:val="baseline"/>
        </w:rPr>
        <w:t> </w:t>
      </w:r>
      <w:r>
        <w:rPr>
          <w:sz w:val="22"/>
          <w:vertAlign w:val="baseline"/>
        </w:rPr>
        <w:t>correlated</w:t>
      </w:r>
      <w:r>
        <w:rPr>
          <w:spacing w:val="77"/>
          <w:sz w:val="22"/>
          <w:vertAlign w:val="baseline"/>
        </w:rPr>
        <w:t> </w:t>
      </w:r>
      <w:r>
        <w:rPr>
          <w:sz w:val="22"/>
          <w:vertAlign w:val="baseline"/>
        </w:rPr>
        <w:t>with</w:t>
      </w:r>
      <w:r>
        <w:rPr>
          <w:spacing w:val="77"/>
          <w:sz w:val="22"/>
          <w:vertAlign w:val="baseline"/>
        </w:rPr>
        <w:t> </w:t>
      </w:r>
      <w:r>
        <w:rPr>
          <w:sz w:val="22"/>
          <w:vertAlign w:val="baseline"/>
        </w:rPr>
        <w:t>the</w:t>
      </w:r>
      <w:r>
        <w:rPr>
          <w:spacing w:val="77"/>
          <w:sz w:val="22"/>
          <w:vertAlign w:val="baseline"/>
        </w:rPr>
        <w:t> </w:t>
      </w:r>
      <w:r>
        <w:rPr>
          <w:sz w:val="22"/>
          <w:vertAlign w:val="baseline"/>
        </w:rPr>
        <w:t>use</w:t>
      </w:r>
      <w:r>
        <w:rPr>
          <w:spacing w:val="77"/>
          <w:sz w:val="22"/>
          <w:vertAlign w:val="baseline"/>
        </w:rPr>
        <w:t> </w:t>
      </w:r>
      <w:r>
        <w:rPr>
          <w:sz w:val="22"/>
          <w:vertAlign w:val="baseline"/>
        </w:rPr>
        <w:t>of</w:t>
      </w:r>
      <w:r>
        <w:rPr>
          <w:spacing w:val="77"/>
          <w:sz w:val="22"/>
          <w:vertAlign w:val="baseline"/>
        </w:rPr>
        <w:t> </w:t>
      </w:r>
      <w:r>
        <w:rPr>
          <w:sz w:val="22"/>
          <w:vertAlign w:val="baseline"/>
        </w:rPr>
        <w:t>cigarettes,</w:t>
      </w:r>
      <w:r>
        <w:rPr>
          <w:spacing w:val="77"/>
          <w:sz w:val="22"/>
          <w:vertAlign w:val="baseline"/>
        </w:rPr>
        <w:t> </w:t>
      </w:r>
      <w:r>
        <w:rPr>
          <w:sz w:val="22"/>
          <w:vertAlign w:val="baseline"/>
        </w:rPr>
        <w:t>a</w:t>
      </w:r>
    </w:p>
    <w:p>
      <w:pPr>
        <w:spacing w:line="242" w:lineRule="auto" w:before="0"/>
        <w:ind w:left="437" w:right="111" w:firstLine="0"/>
        <w:jc w:val="both"/>
        <w:rPr>
          <w:position w:val="9"/>
          <w:sz w:val="17"/>
        </w:rPr>
      </w:pPr>
      <w:r>
        <w:rPr>
          <w:sz w:val="22"/>
        </w:rPr>
        <w:t>recognized contributor to bone loss. Long-term use of postmenopausal hormone therapy has </w:t>
      </w:r>
      <w:r>
        <w:rPr>
          <w:sz w:val="22"/>
        </w:rPr>
        <w:t>been linked with fewer lost teeth.</w:t>
      </w:r>
      <w:r>
        <w:rPr>
          <w:position w:val="9"/>
          <w:sz w:val="17"/>
        </w:rPr>
        <w:t>65-67</w:t>
      </w:r>
    </w:p>
    <w:p>
      <w:pPr>
        <w:spacing w:line="249" w:lineRule="auto" w:before="235"/>
        <w:ind w:left="99" w:right="0" w:firstLine="450"/>
        <w:jc w:val="left"/>
        <w:rPr>
          <w:sz w:val="30"/>
        </w:rPr>
      </w:pPr>
      <w:r>
        <w:rPr>
          <w:b/>
          <w:sz w:val="30"/>
        </w:rPr>
        <w:t>Individuals at an increased risk for fracture can be identified by a</w:t>
      </w:r>
      <w:r>
        <w:rPr>
          <w:b/>
          <w:spacing w:val="40"/>
          <w:sz w:val="30"/>
        </w:rPr>
        <w:t> </w:t>
      </w:r>
      <w:r>
        <w:rPr>
          <w:b/>
          <w:sz w:val="30"/>
        </w:rPr>
        <w:t>careful history and examination </w:t>
      </w:r>
      <w:r>
        <w:rPr>
          <w:sz w:val="30"/>
        </w:rPr>
        <w:t>(</w:t>
      </w:r>
      <w:r>
        <w:rPr>
          <w:b/>
          <w:color w:val="256E60"/>
          <w:sz w:val="30"/>
        </w:rPr>
        <w:t>Figure 23.9</w:t>
      </w:r>
      <w:r>
        <w:rPr>
          <w:sz w:val="30"/>
        </w:rPr>
        <w:t>).</w:t>
      </w:r>
    </w:p>
    <w:p>
      <w:pPr>
        <w:spacing w:before="2"/>
        <w:ind w:left="549" w:right="0" w:firstLine="0"/>
        <w:jc w:val="both"/>
        <w:rPr>
          <w:b/>
          <w:sz w:val="30"/>
        </w:rPr>
      </w:pPr>
      <w:r>
        <w:rPr>
          <w:b/>
          <w:sz w:val="30"/>
        </w:rPr>
        <w:t>The</w:t>
      </w:r>
      <w:r>
        <w:rPr>
          <w:b/>
          <w:spacing w:val="-1"/>
          <w:sz w:val="30"/>
        </w:rPr>
        <w:t> </w:t>
      </w:r>
      <w:r>
        <w:rPr>
          <w:b/>
          <w:sz w:val="30"/>
        </w:rPr>
        <w:t>following</w:t>
      </w:r>
      <w:r>
        <w:rPr>
          <w:b/>
          <w:spacing w:val="-1"/>
          <w:sz w:val="30"/>
        </w:rPr>
        <w:t> </w:t>
      </w:r>
      <w:r>
        <w:rPr>
          <w:b/>
          <w:sz w:val="30"/>
        </w:rPr>
        <w:t>risk</w:t>
      </w:r>
      <w:r>
        <w:rPr>
          <w:b/>
          <w:spacing w:val="-1"/>
          <w:sz w:val="30"/>
        </w:rPr>
        <w:t> </w:t>
      </w:r>
      <w:r>
        <w:rPr>
          <w:b/>
          <w:sz w:val="30"/>
        </w:rPr>
        <w:t>factors are</w:t>
      </w:r>
      <w:r>
        <w:rPr>
          <w:b/>
          <w:spacing w:val="-1"/>
          <w:sz w:val="30"/>
        </w:rPr>
        <w:t> </w:t>
      </w:r>
      <w:r>
        <w:rPr>
          <w:b/>
          <w:sz w:val="30"/>
        </w:rPr>
        <w:t>especially</w:t>
      </w:r>
      <w:r>
        <w:rPr>
          <w:b/>
          <w:spacing w:val="-1"/>
          <w:sz w:val="30"/>
        </w:rPr>
        <w:t> </w:t>
      </w:r>
      <w:r>
        <w:rPr>
          <w:b/>
          <w:sz w:val="30"/>
        </w:rPr>
        <w:t>important</w:t>
      </w:r>
      <w:r>
        <w:rPr>
          <w:b/>
          <w:spacing w:val="-1"/>
          <w:sz w:val="30"/>
        </w:rPr>
        <w:t> </w:t>
      </w:r>
      <w:r>
        <w:rPr>
          <w:b/>
          <w:sz w:val="30"/>
        </w:rPr>
        <w:t>for </w:t>
      </w:r>
      <w:r>
        <w:rPr>
          <w:b/>
          <w:spacing w:val="-2"/>
          <w:sz w:val="30"/>
        </w:rPr>
        <w:t>women:</w:t>
      </w:r>
    </w:p>
    <w:p>
      <w:pPr>
        <w:spacing w:after="0"/>
        <w:jc w:val="both"/>
        <w:rPr>
          <w:b/>
          <w:sz w:val="30"/>
        </w:rPr>
        <w:sectPr>
          <w:pgSz w:w="12240" w:h="15840"/>
          <w:pgMar w:top="1440" w:bottom="280" w:left="1440" w:right="1440"/>
        </w:sectPr>
      </w:pPr>
    </w:p>
    <w:p>
      <w:pPr>
        <w:pStyle w:val="ListParagraph"/>
        <w:numPr>
          <w:ilvl w:val="0"/>
          <w:numId w:val="2"/>
        </w:numPr>
        <w:tabs>
          <w:tab w:pos="398" w:val="left" w:leader="none"/>
        </w:tabs>
        <w:spacing w:line="240" w:lineRule="auto" w:before="70" w:after="0"/>
        <w:ind w:left="398" w:right="0" w:hanging="279"/>
        <w:jc w:val="left"/>
        <w:rPr>
          <w:b/>
          <w:sz w:val="30"/>
        </w:rPr>
      </w:pPr>
      <w:r>
        <w:rPr>
          <w:b/>
          <w:sz w:val="30"/>
        </w:rPr>
        <w:t>Aging:</w:t>
      </w:r>
      <w:r>
        <w:rPr>
          <w:b/>
          <w:spacing w:val="-1"/>
          <w:sz w:val="30"/>
        </w:rPr>
        <w:t> </w:t>
      </w:r>
      <w:r>
        <w:rPr>
          <w:b/>
          <w:sz w:val="30"/>
        </w:rPr>
        <w:t>the risk</w:t>
      </w:r>
      <w:r>
        <w:rPr>
          <w:b/>
          <w:spacing w:val="-1"/>
          <w:sz w:val="30"/>
        </w:rPr>
        <w:t> </w:t>
      </w:r>
      <w:r>
        <w:rPr>
          <w:b/>
          <w:sz w:val="30"/>
        </w:rPr>
        <w:t>of fracture</w:t>
      </w:r>
      <w:r>
        <w:rPr>
          <w:b/>
          <w:spacing w:val="-1"/>
          <w:sz w:val="30"/>
        </w:rPr>
        <w:t> </w:t>
      </w:r>
      <w:r>
        <w:rPr>
          <w:b/>
          <w:sz w:val="30"/>
        </w:rPr>
        <w:t>doubles every</w:t>
      </w:r>
      <w:r>
        <w:rPr>
          <w:b/>
          <w:spacing w:val="-1"/>
          <w:sz w:val="30"/>
        </w:rPr>
        <w:t> </w:t>
      </w:r>
      <w:r>
        <w:rPr>
          <w:b/>
          <w:sz w:val="30"/>
        </w:rPr>
        <w:t>7 to</w:t>
      </w:r>
      <w:r>
        <w:rPr>
          <w:b/>
          <w:spacing w:val="-1"/>
          <w:sz w:val="30"/>
        </w:rPr>
        <w:t> </w:t>
      </w:r>
      <w:r>
        <w:rPr>
          <w:b/>
          <w:sz w:val="30"/>
        </w:rPr>
        <w:t>8 years</w:t>
      </w:r>
      <w:r>
        <w:rPr>
          <w:b/>
          <w:spacing w:val="-1"/>
          <w:sz w:val="30"/>
        </w:rPr>
        <w:t> </w:t>
      </w:r>
      <w:r>
        <w:rPr>
          <w:b/>
          <w:sz w:val="30"/>
        </w:rPr>
        <w:t>after age </w:t>
      </w:r>
      <w:r>
        <w:rPr>
          <w:b/>
          <w:spacing w:val="-5"/>
          <w:sz w:val="30"/>
        </w:rPr>
        <w:t>50.</w:t>
      </w:r>
    </w:p>
    <w:p>
      <w:pPr>
        <w:pStyle w:val="ListParagraph"/>
        <w:numPr>
          <w:ilvl w:val="0"/>
          <w:numId w:val="2"/>
        </w:numPr>
        <w:tabs>
          <w:tab w:pos="398" w:val="left" w:leader="none"/>
        </w:tabs>
        <w:spacing w:line="240" w:lineRule="auto" w:before="105" w:after="0"/>
        <w:ind w:left="398" w:right="0" w:hanging="279"/>
        <w:jc w:val="left"/>
        <w:rPr>
          <w:b/>
          <w:sz w:val="30"/>
        </w:rPr>
      </w:pPr>
      <w:r>
        <w:rPr>
          <w:b/>
          <w:sz w:val="30"/>
        </w:rPr>
        <w:t>Previous</w:t>
      </w:r>
      <w:r>
        <w:rPr>
          <w:b/>
          <w:spacing w:val="-2"/>
          <w:sz w:val="30"/>
        </w:rPr>
        <w:t> </w:t>
      </w:r>
      <w:r>
        <w:rPr>
          <w:b/>
          <w:sz w:val="30"/>
        </w:rPr>
        <w:t>history</w:t>
      </w:r>
      <w:r>
        <w:rPr>
          <w:b/>
          <w:spacing w:val="-1"/>
          <w:sz w:val="30"/>
        </w:rPr>
        <w:t> </w:t>
      </w:r>
      <w:r>
        <w:rPr>
          <w:b/>
          <w:sz w:val="30"/>
        </w:rPr>
        <w:t>of</w:t>
      </w:r>
      <w:r>
        <w:rPr>
          <w:b/>
          <w:spacing w:val="-1"/>
          <w:sz w:val="30"/>
        </w:rPr>
        <w:t> </w:t>
      </w:r>
      <w:r>
        <w:rPr>
          <w:b/>
          <w:sz w:val="30"/>
        </w:rPr>
        <w:t>a</w:t>
      </w:r>
      <w:r>
        <w:rPr>
          <w:b/>
          <w:spacing w:val="-1"/>
          <w:sz w:val="30"/>
        </w:rPr>
        <w:t> </w:t>
      </w:r>
      <w:r>
        <w:rPr>
          <w:b/>
          <w:sz w:val="30"/>
        </w:rPr>
        <w:t>fragility</w:t>
      </w:r>
      <w:r>
        <w:rPr>
          <w:b/>
          <w:spacing w:val="-1"/>
          <w:sz w:val="30"/>
        </w:rPr>
        <w:t> </w:t>
      </w:r>
      <w:r>
        <w:rPr>
          <w:b/>
          <w:spacing w:val="-2"/>
          <w:sz w:val="30"/>
        </w:rPr>
        <w:t>fracture</w:t>
      </w:r>
    </w:p>
    <w:p>
      <w:pPr>
        <w:pStyle w:val="ListParagraph"/>
        <w:numPr>
          <w:ilvl w:val="0"/>
          <w:numId w:val="2"/>
        </w:numPr>
        <w:tabs>
          <w:tab w:pos="399" w:val="left" w:leader="none"/>
        </w:tabs>
        <w:spacing w:line="280" w:lineRule="auto" w:before="105" w:after="0"/>
        <w:ind w:left="399" w:right="101" w:hanging="280"/>
        <w:jc w:val="left"/>
        <w:rPr>
          <w:b/>
          <w:sz w:val="30"/>
        </w:rPr>
      </w:pPr>
      <w:r>
        <w:rPr>
          <w:b/>
          <w:sz w:val="30"/>
        </w:rPr>
        <w:t>Family</w:t>
      </w:r>
      <w:r>
        <w:rPr>
          <w:b/>
          <w:spacing w:val="80"/>
          <w:sz w:val="30"/>
        </w:rPr>
        <w:t> </w:t>
      </w:r>
      <w:r>
        <w:rPr>
          <w:b/>
          <w:sz w:val="30"/>
        </w:rPr>
        <w:t>history</w:t>
      </w:r>
      <w:r>
        <w:rPr>
          <w:b/>
          <w:spacing w:val="80"/>
          <w:sz w:val="30"/>
        </w:rPr>
        <w:t> </w:t>
      </w:r>
      <w:r>
        <w:rPr>
          <w:b/>
          <w:sz w:val="30"/>
        </w:rPr>
        <w:t>of</w:t>
      </w:r>
      <w:r>
        <w:rPr>
          <w:b/>
          <w:spacing w:val="80"/>
          <w:sz w:val="30"/>
        </w:rPr>
        <w:t> </w:t>
      </w:r>
      <w:r>
        <w:rPr>
          <w:b/>
          <w:sz w:val="30"/>
        </w:rPr>
        <w:t>fragility</w:t>
      </w:r>
      <w:r>
        <w:rPr>
          <w:b/>
          <w:spacing w:val="80"/>
          <w:sz w:val="30"/>
        </w:rPr>
        <w:t> </w:t>
      </w:r>
      <w:r>
        <w:rPr>
          <w:b/>
          <w:sz w:val="30"/>
        </w:rPr>
        <w:t>fracture,</w:t>
      </w:r>
      <w:r>
        <w:rPr>
          <w:b/>
          <w:spacing w:val="80"/>
          <w:sz w:val="30"/>
        </w:rPr>
        <w:t> </w:t>
      </w:r>
      <w:r>
        <w:rPr>
          <w:b/>
          <w:sz w:val="30"/>
        </w:rPr>
        <w:t>particularly</w:t>
      </w:r>
      <w:r>
        <w:rPr>
          <w:b/>
          <w:spacing w:val="80"/>
          <w:sz w:val="30"/>
        </w:rPr>
        <w:t> </w:t>
      </w:r>
      <w:r>
        <w:rPr>
          <w:b/>
          <w:sz w:val="30"/>
        </w:rPr>
        <w:t>in</w:t>
      </w:r>
      <w:r>
        <w:rPr>
          <w:b/>
          <w:spacing w:val="80"/>
          <w:sz w:val="30"/>
        </w:rPr>
        <w:t> </w:t>
      </w:r>
      <w:r>
        <w:rPr>
          <w:b/>
          <w:sz w:val="30"/>
        </w:rPr>
        <w:t>first-</w:t>
      </w:r>
      <w:r>
        <w:rPr>
          <w:b/>
          <w:sz w:val="30"/>
        </w:rPr>
        <w:t>degree</w:t>
      </w:r>
      <w:r>
        <w:rPr>
          <w:b/>
          <w:spacing w:val="80"/>
          <w:sz w:val="30"/>
        </w:rPr>
        <w:t> </w:t>
      </w:r>
      <w:r>
        <w:rPr>
          <w:b/>
          <w:spacing w:val="-2"/>
          <w:sz w:val="30"/>
        </w:rPr>
        <w:t>relatives</w:t>
      </w:r>
    </w:p>
    <w:p>
      <w:pPr>
        <w:pStyle w:val="ListParagraph"/>
        <w:numPr>
          <w:ilvl w:val="0"/>
          <w:numId w:val="2"/>
        </w:numPr>
        <w:tabs>
          <w:tab w:pos="398" w:val="left" w:leader="none"/>
        </w:tabs>
        <w:spacing w:line="240" w:lineRule="auto" w:before="2" w:after="0"/>
        <w:ind w:left="398" w:right="0" w:hanging="279"/>
        <w:jc w:val="left"/>
        <w:rPr>
          <w:b/>
          <w:sz w:val="30"/>
        </w:rPr>
      </w:pPr>
      <w:r>
        <w:rPr>
          <w:b/>
          <w:spacing w:val="-2"/>
          <w:sz w:val="30"/>
        </w:rPr>
        <w:t>Smoking</w:t>
      </w:r>
    </w:p>
    <w:p>
      <w:pPr>
        <w:pStyle w:val="ListParagraph"/>
        <w:numPr>
          <w:ilvl w:val="0"/>
          <w:numId w:val="2"/>
        </w:numPr>
        <w:tabs>
          <w:tab w:pos="398" w:val="left" w:leader="none"/>
        </w:tabs>
        <w:spacing w:line="240" w:lineRule="auto" w:before="105" w:after="0"/>
        <w:ind w:left="398" w:right="0" w:hanging="279"/>
        <w:jc w:val="left"/>
        <w:rPr>
          <w:b/>
          <w:sz w:val="30"/>
        </w:rPr>
      </w:pPr>
      <w:r>
        <w:rPr>
          <w:b/>
          <w:sz w:val="30"/>
        </w:rPr>
        <w:t>Low body weight, being small-framed and </w:t>
      </w:r>
      <w:r>
        <w:rPr>
          <w:b/>
          <w:spacing w:val="-4"/>
          <w:sz w:val="30"/>
        </w:rPr>
        <w:t>thin</w:t>
      </w:r>
    </w:p>
    <w:p>
      <w:pPr>
        <w:pStyle w:val="ListParagraph"/>
        <w:numPr>
          <w:ilvl w:val="0"/>
          <w:numId w:val="2"/>
        </w:numPr>
        <w:tabs>
          <w:tab w:pos="398" w:val="left" w:leader="none"/>
        </w:tabs>
        <w:spacing w:line="240" w:lineRule="auto" w:before="106" w:after="0"/>
        <w:ind w:left="398" w:right="0" w:hanging="279"/>
        <w:jc w:val="left"/>
        <w:rPr>
          <w:b/>
          <w:sz w:val="30"/>
        </w:rPr>
      </w:pPr>
      <w:r>
        <w:rPr>
          <w:b/>
          <w:sz w:val="30"/>
        </w:rPr>
        <w:t>Family</w:t>
      </w:r>
      <w:r>
        <w:rPr>
          <w:b/>
          <w:spacing w:val="-2"/>
          <w:sz w:val="30"/>
        </w:rPr>
        <w:t> </w:t>
      </w:r>
      <w:r>
        <w:rPr>
          <w:b/>
          <w:sz w:val="30"/>
        </w:rPr>
        <w:t>history</w:t>
      </w:r>
      <w:r>
        <w:rPr>
          <w:b/>
          <w:spacing w:val="-1"/>
          <w:sz w:val="30"/>
        </w:rPr>
        <w:t> </w:t>
      </w:r>
      <w:r>
        <w:rPr>
          <w:b/>
          <w:sz w:val="30"/>
        </w:rPr>
        <w:t>of</w:t>
      </w:r>
      <w:r>
        <w:rPr>
          <w:b/>
          <w:spacing w:val="-2"/>
          <w:sz w:val="30"/>
        </w:rPr>
        <w:t> </w:t>
      </w:r>
      <w:r>
        <w:rPr>
          <w:b/>
          <w:sz w:val="30"/>
        </w:rPr>
        <w:t>osteoporosis,</w:t>
      </w:r>
      <w:r>
        <w:rPr>
          <w:b/>
          <w:spacing w:val="-1"/>
          <w:sz w:val="30"/>
        </w:rPr>
        <w:t> </w:t>
      </w:r>
      <w:r>
        <w:rPr>
          <w:b/>
          <w:sz w:val="30"/>
        </w:rPr>
        <w:t>particularly</w:t>
      </w:r>
      <w:r>
        <w:rPr>
          <w:b/>
          <w:spacing w:val="-2"/>
          <w:sz w:val="30"/>
        </w:rPr>
        <w:t> </w:t>
      </w:r>
      <w:r>
        <w:rPr>
          <w:b/>
          <w:sz w:val="30"/>
        </w:rPr>
        <w:t>if</w:t>
      </w:r>
      <w:r>
        <w:rPr>
          <w:b/>
          <w:spacing w:val="-1"/>
          <w:sz w:val="30"/>
        </w:rPr>
        <w:t> </w:t>
      </w:r>
      <w:r>
        <w:rPr>
          <w:b/>
          <w:sz w:val="30"/>
        </w:rPr>
        <w:t>in</w:t>
      </w:r>
      <w:r>
        <w:rPr>
          <w:b/>
          <w:spacing w:val="-2"/>
          <w:sz w:val="30"/>
        </w:rPr>
        <w:t> </w:t>
      </w:r>
      <w:r>
        <w:rPr>
          <w:b/>
          <w:sz w:val="30"/>
        </w:rPr>
        <w:t>first-degree</w:t>
      </w:r>
      <w:r>
        <w:rPr>
          <w:b/>
          <w:spacing w:val="-1"/>
          <w:sz w:val="30"/>
        </w:rPr>
        <w:t> </w:t>
      </w:r>
      <w:r>
        <w:rPr>
          <w:b/>
          <w:spacing w:val="-2"/>
          <w:sz w:val="30"/>
        </w:rPr>
        <w:t>relatives</w:t>
      </w:r>
    </w:p>
    <w:p>
      <w:pPr>
        <w:pStyle w:val="ListParagraph"/>
        <w:numPr>
          <w:ilvl w:val="0"/>
          <w:numId w:val="2"/>
        </w:numPr>
        <w:tabs>
          <w:tab w:pos="398" w:val="left" w:leader="none"/>
        </w:tabs>
        <w:spacing w:line="240" w:lineRule="auto" w:before="105" w:after="0"/>
        <w:ind w:left="398" w:right="0" w:hanging="279"/>
        <w:jc w:val="left"/>
        <w:rPr>
          <w:b/>
          <w:sz w:val="30"/>
        </w:rPr>
      </w:pPr>
      <w:r>
        <w:rPr>
          <w:b/>
          <w:sz w:val="30"/>
        </w:rPr>
        <w:t>Prolonged</w:t>
      </w:r>
      <w:r>
        <w:rPr>
          <w:b/>
          <w:spacing w:val="-3"/>
          <w:sz w:val="30"/>
        </w:rPr>
        <w:t> </w:t>
      </w:r>
      <w:r>
        <w:rPr>
          <w:b/>
          <w:sz w:val="30"/>
        </w:rPr>
        <w:t>amenorrhea</w:t>
      </w:r>
      <w:r>
        <w:rPr>
          <w:b/>
          <w:spacing w:val="-3"/>
          <w:sz w:val="30"/>
        </w:rPr>
        <w:t> </w:t>
      </w:r>
      <w:r>
        <w:rPr>
          <w:b/>
          <w:spacing w:val="-2"/>
          <w:sz w:val="30"/>
        </w:rPr>
        <w:t>(hypoestrogenism)</w:t>
      </w:r>
    </w:p>
    <w:p>
      <w:pPr>
        <w:pStyle w:val="ListParagraph"/>
        <w:numPr>
          <w:ilvl w:val="0"/>
          <w:numId w:val="2"/>
        </w:numPr>
        <w:tabs>
          <w:tab w:pos="398" w:val="left" w:leader="none"/>
        </w:tabs>
        <w:spacing w:line="240" w:lineRule="auto" w:before="105" w:after="0"/>
        <w:ind w:left="398" w:right="0" w:hanging="279"/>
        <w:jc w:val="left"/>
        <w:rPr>
          <w:b/>
          <w:sz w:val="30"/>
        </w:rPr>
      </w:pPr>
      <w:r>
        <w:rPr>
          <w:b/>
          <w:sz w:val="30"/>
        </w:rPr>
        <w:t>Lifelong deficient calcium and vitamin D </w:t>
      </w:r>
      <w:r>
        <w:rPr>
          <w:b/>
          <w:spacing w:val="-2"/>
          <w:sz w:val="30"/>
        </w:rPr>
        <w:t>intake</w:t>
      </w:r>
    </w:p>
    <w:p>
      <w:pPr>
        <w:pStyle w:val="ListParagraph"/>
        <w:numPr>
          <w:ilvl w:val="0"/>
          <w:numId w:val="2"/>
        </w:numPr>
        <w:tabs>
          <w:tab w:pos="398" w:val="left" w:leader="none"/>
        </w:tabs>
        <w:spacing w:line="240" w:lineRule="auto" w:before="105" w:after="0"/>
        <w:ind w:left="398" w:right="0" w:hanging="279"/>
        <w:jc w:val="left"/>
        <w:rPr>
          <w:b/>
          <w:sz w:val="30"/>
        </w:rPr>
      </w:pPr>
      <w:r>
        <w:rPr>
          <w:b/>
          <w:sz w:val="30"/>
        </w:rPr>
        <w:t>Use of bone-losing medications, such as oral </w:t>
      </w:r>
      <w:r>
        <w:rPr>
          <w:b/>
          <w:spacing w:val="-2"/>
          <w:sz w:val="30"/>
        </w:rPr>
        <w:t>steroids</w:t>
      </w:r>
    </w:p>
    <w:p>
      <w:pPr>
        <w:pStyle w:val="ListParagraph"/>
        <w:numPr>
          <w:ilvl w:val="0"/>
          <w:numId w:val="2"/>
        </w:numPr>
        <w:tabs>
          <w:tab w:pos="398" w:val="left" w:leader="none"/>
        </w:tabs>
        <w:spacing w:line="240" w:lineRule="auto" w:before="105" w:after="0"/>
        <w:ind w:left="398" w:right="0" w:hanging="279"/>
        <w:jc w:val="left"/>
        <w:rPr>
          <w:b/>
          <w:sz w:val="30"/>
        </w:rPr>
      </w:pPr>
      <w:r>
        <w:rPr>
          <w:b/>
          <w:sz w:val="30"/>
        </w:rPr>
        <w:t>Sedentary </w:t>
      </w:r>
      <w:r>
        <w:rPr>
          <w:b/>
          <w:spacing w:val="-2"/>
          <w:sz w:val="30"/>
        </w:rPr>
        <w:t>lifestyle</w:t>
      </w:r>
    </w:p>
    <w:p>
      <w:pPr>
        <w:pStyle w:val="ListParagraph"/>
        <w:numPr>
          <w:ilvl w:val="0"/>
          <w:numId w:val="2"/>
        </w:numPr>
        <w:tabs>
          <w:tab w:pos="398" w:val="left" w:leader="none"/>
        </w:tabs>
        <w:spacing w:line="240" w:lineRule="auto" w:before="105" w:after="0"/>
        <w:ind w:left="398" w:right="0" w:hanging="279"/>
        <w:jc w:val="left"/>
        <w:rPr>
          <w:b/>
          <w:sz w:val="30"/>
        </w:rPr>
      </w:pPr>
      <w:r>
        <w:rPr>
          <w:b/>
          <w:sz w:val="30"/>
        </w:rPr>
        <w:t>Excessive use of </w:t>
      </w:r>
      <w:r>
        <w:rPr>
          <w:b/>
          <w:spacing w:val="-2"/>
          <w:sz w:val="30"/>
        </w:rPr>
        <w:t>alcohol</w:t>
      </w:r>
    </w:p>
    <w:p>
      <w:pPr>
        <w:pStyle w:val="ListParagraph"/>
        <w:numPr>
          <w:ilvl w:val="0"/>
          <w:numId w:val="2"/>
        </w:numPr>
        <w:tabs>
          <w:tab w:pos="398" w:val="left" w:leader="none"/>
        </w:tabs>
        <w:spacing w:line="240" w:lineRule="auto" w:before="105" w:after="0"/>
        <w:ind w:left="398" w:right="0" w:hanging="279"/>
        <w:jc w:val="left"/>
        <w:rPr>
          <w:b/>
          <w:sz w:val="30"/>
        </w:rPr>
      </w:pPr>
      <w:r>
        <w:rPr>
          <w:b/>
          <w:sz w:val="30"/>
        </w:rPr>
        <w:t>Rheumatoid </w:t>
      </w:r>
      <w:r>
        <w:rPr>
          <w:b/>
          <w:spacing w:val="-2"/>
          <w:sz w:val="30"/>
        </w:rPr>
        <w:t>arthritis</w:t>
      </w:r>
    </w:p>
    <w:p>
      <w:pPr>
        <w:pStyle w:val="BodyText"/>
        <w:spacing w:before="0"/>
        <w:ind w:left="0"/>
        <w:jc w:val="left"/>
        <w:rPr>
          <w:b/>
          <w:sz w:val="20"/>
        </w:rPr>
      </w:pPr>
    </w:p>
    <w:p>
      <w:pPr>
        <w:pStyle w:val="BodyText"/>
        <w:spacing w:before="171"/>
        <w:ind w:left="0"/>
        <w:jc w:val="left"/>
        <w:rPr>
          <w:b/>
          <w:sz w:val="20"/>
        </w:rPr>
      </w:pPr>
      <w:r>
        <w:rPr>
          <w:b/>
          <w:sz w:val="20"/>
        </w:rPr>
        <w:drawing>
          <wp:anchor distT="0" distB="0" distL="0" distR="0" allowOverlap="1" layoutInCell="1" locked="0" behindDoc="1" simplePos="0" relativeHeight="487596544">
            <wp:simplePos x="0" y="0"/>
            <wp:positionH relativeFrom="page">
              <wp:posOffset>981075</wp:posOffset>
            </wp:positionH>
            <wp:positionV relativeFrom="paragraph">
              <wp:posOffset>269944</wp:posOffset>
            </wp:positionV>
            <wp:extent cx="5826717" cy="3572446"/>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5" cstate="print"/>
                    <a:stretch>
                      <a:fillRect/>
                    </a:stretch>
                  </pic:blipFill>
                  <pic:spPr>
                    <a:xfrm>
                      <a:off x="0" y="0"/>
                      <a:ext cx="5826717" cy="3572446"/>
                    </a:xfrm>
                    <a:prstGeom prst="rect">
                      <a:avLst/>
                    </a:prstGeom>
                  </pic:spPr>
                </pic:pic>
              </a:graphicData>
            </a:graphic>
          </wp:anchor>
        </w:drawing>
      </w:r>
      <w:r>
        <w:rPr>
          <w:b/>
          <w:sz w:val="20"/>
        </w:rPr>
        <mc:AlternateContent>
          <mc:Choice Requires="wps">
            <w:drawing>
              <wp:anchor distT="0" distB="0" distL="0" distR="0" allowOverlap="1" layoutInCell="1" locked="0" behindDoc="1" simplePos="0" relativeHeight="487597056">
                <wp:simplePos x="0" y="0"/>
                <wp:positionH relativeFrom="page">
                  <wp:posOffset>981075</wp:posOffset>
                </wp:positionH>
                <wp:positionV relativeFrom="paragraph">
                  <wp:posOffset>4022794</wp:posOffset>
                </wp:positionV>
                <wp:extent cx="856615" cy="5715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856615" cy="57150"/>
                        </a:xfrm>
                        <a:custGeom>
                          <a:avLst/>
                          <a:gdLst/>
                          <a:ahLst/>
                          <a:cxnLst/>
                          <a:rect l="l" t="t" r="r" b="b"/>
                          <a:pathLst>
                            <a:path w="856615" h="57150">
                              <a:moveTo>
                                <a:pt x="32364" y="57140"/>
                              </a:moveTo>
                              <a:lnTo>
                                <a:pt x="24785" y="57140"/>
                              </a:lnTo>
                              <a:lnTo>
                                <a:pt x="21140" y="56415"/>
                              </a:lnTo>
                              <a:lnTo>
                                <a:pt x="0" y="32361"/>
                              </a:lnTo>
                              <a:lnTo>
                                <a:pt x="0" y="24780"/>
                              </a:lnTo>
                              <a:lnTo>
                                <a:pt x="24785" y="0"/>
                              </a:lnTo>
                              <a:lnTo>
                                <a:pt x="32364" y="0"/>
                              </a:lnTo>
                              <a:lnTo>
                                <a:pt x="57149" y="24780"/>
                              </a:lnTo>
                              <a:lnTo>
                                <a:pt x="57149" y="32361"/>
                              </a:lnTo>
                              <a:lnTo>
                                <a:pt x="32364" y="57140"/>
                              </a:lnTo>
                              <a:close/>
                            </a:path>
                            <a:path w="856615" h="57150">
                              <a:moveTo>
                                <a:pt x="146569" y="57140"/>
                              </a:moveTo>
                              <a:lnTo>
                                <a:pt x="138990" y="57140"/>
                              </a:lnTo>
                              <a:lnTo>
                                <a:pt x="135345" y="56415"/>
                              </a:lnTo>
                              <a:lnTo>
                                <a:pt x="114204" y="32361"/>
                              </a:lnTo>
                              <a:lnTo>
                                <a:pt x="114204" y="24780"/>
                              </a:lnTo>
                              <a:lnTo>
                                <a:pt x="138990" y="0"/>
                              </a:lnTo>
                              <a:lnTo>
                                <a:pt x="146569" y="0"/>
                              </a:lnTo>
                              <a:lnTo>
                                <a:pt x="171354" y="24780"/>
                              </a:lnTo>
                              <a:lnTo>
                                <a:pt x="171354" y="32361"/>
                              </a:lnTo>
                              <a:lnTo>
                                <a:pt x="146569" y="57140"/>
                              </a:lnTo>
                              <a:close/>
                            </a:path>
                            <a:path w="856615" h="57150">
                              <a:moveTo>
                                <a:pt x="260773" y="57140"/>
                              </a:moveTo>
                              <a:lnTo>
                                <a:pt x="253195" y="57140"/>
                              </a:lnTo>
                              <a:lnTo>
                                <a:pt x="249550" y="56415"/>
                              </a:lnTo>
                              <a:lnTo>
                                <a:pt x="228409" y="32361"/>
                              </a:lnTo>
                              <a:lnTo>
                                <a:pt x="228409" y="24780"/>
                              </a:lnTo>
                              <a:lnTo>
                                <a:pt x="253195" y="0"/>
                              </a:lnTo>
                              <a:lnTo>
                                <a:pt x="260773" y="0"/>
                              </a:lnTo>
                              <a:lnTo>
                                <a:pt x="285559" y="24780"/>
                              </a:lnTo>
                              <a:lnTo>
                                <a:pt x="285559" y="32361"/>
                              </a:lnTo>
                              <a:lnTo>
                                <a:pt x="260773" y="57140"/>
                              </a:lnTo>
                              <a:close/>
                            </a:path>
                            <a:path w="856615" h="57150">
                              <a:moveTo>
                                <a:pt x="374978" y="57140"/>
                              </a:moveTo>
                              <a:lnTo>
                                <a:pt x="367399" y="57140"/>
                              </a:lnTo>
                              <a:lnTo>
                                <a:pt x="363754" y="56415"/>
                              </a:lnTo>
                              <a:lnTo>
                                <a:pt x="342614" y="32361"/>
                              </a:lnTo>
                              <a:lnTo>
                                <a:pt x="342614" y="24780"/>
                              </a:lnTo>
                              <a:lnTo>
                                <a:pt x="367399" y="0"/>
                              </a:lnTo>
                              <a:lnTo>
                                <a:pt x="374978" y="0"/>
                              </a:lnTo>
                              <a:lnTo>
                                <a:pt x="399764" y="24780"/>
                              </a:lnTo>
                              <a:lnTo>
                                <a:pt x="399764" y="32361"/>
                              </a:lnTo>
                              <a:lnTo>
                                <a:pt x="374978" y="57140"/>
                              </a:lnTo>
                              <a:close/>
                            </a:path>
                            <a:path w="856615" h="57150">
                              <a:moveTo>
                                <a:pt x="489183" y="57140"/>
                              </a:moveTo>
                              <a:lnTo>
                                <a:pt x="481604" y="57140"/>
                              </a:lnTo>
                              <a:lnTo>
                                <a:pt x="477959" y="56415"/>
                              </a:lnTo>
                              <a:lnTo>
                                <a:pt x="456818" y="32361"/>
                              </a:lnTo>
                              <a:lnTo>
                                <a:pt x="456818" y="24780"/>
                              </a:lnTo>
                              <a:lnTo>
                                <a:pt x="481604" y="0"/>
                              </a:lnTo>
                              <a:lnTo>
                                <a:pt x="489183" y="0"/>
                              </a:lnTo>
                              <a:lnTo>
                                <a:pt x="513968" y="24780"/>
                              </a:lnTo>
                              <a:lnTo>
                                <a:pt x="513968" y="32361"/>
                              </a:lnTo>
                              <a:lnTo>
                                <a:pt x="489183" y="57140"/>
                              </a:lnTo>
                              <a:close/>
                            </a:path>
                            <a:path w="856615" h="57150">
                              <a:moveTo>
                                <a:pt x="603387" y="57140"/>
                              </a:moveTo>
                              <a:lnTo>
                                <a:pt x="595809" y="57140"/>
                              </a:lnTo>
                              <a:lnTo>
                                <a:pt x="592164" y="56415"/>
                              </a:lnTo>
                              <a:lnTo>
                                <a:pt x="571023" y="32361"/>
                              </a:lnTo>
                              <a:lnTo>
                                <a:pt x="571023" y="24780"/>
                              </a:lnTo>
                              <a:lnTo>
                                <a:pt x="595809" y="0"/>
                              </a:lnTo>
                              <a:lnTo>
                                <a:pt x="603387" y="0"/>
                              </a:lnTo>
                              <a:lnTo>
                                <a:pt x="628173" y="24780"/>
                              </a:lnTo>
                              <a:lnTo>
                                <a:pt x="628173" y="32361"/>
                              </a:lnTo>
                              <a:lnTo>
                                <a:pt x="603387" y="57140"/>
                              </a:lnTo>
                              <a:close/>
                            </a:path>
                            <a:path w="856615" h="57150">
                              <a:moveTo>
                                <a:pt x="717592" y="57140"/>
                              </a:moveTo>
                              <a:lnTo>
                                <a:pt x="710014" y="57140"/>
                              </a:lnTo>
                              <a:lnTo>
                                <a:pt x="706369" y="56415"/>
                              </a:lnTo>
                              <a:lnTo>
                                <a:pt x="685228" y="32361"/>
                              </a:lnTo>
                              <a:lnTo>
                                <a:pt x="685228" y="24780"/>
                              </a:lnTo>
                              <a:lnTo>
                                <a:pt x="710014" y="0"/>
                              </a:lnTo>
                              <a:lnTo>
                                <a:pt x="717592" y="0"/>
                              </a:lnTo>
                              <a:lnTo>
                                <a:pt x="742378" y="24780"/>
                              </a:lnTo>
                              <a:lnTo>
                                <a:pt x="742378" y="32361"/>
                              </a:lnTo>
                              <a:lnTo>
                                <a:pt x="717592" y="57140"/>
                              </a:lnTo>
                              <a:close/>
                            </a:path>
                            <a:path w="856615" h="57150">
                              <a:moveTo>
                                <a:pt x="831797" y="57140"/>
                              </a:moveTo>
                              <a:lnTo>
                                <a:pt x="824218" y="57140"/>
                              </a:lnTo>
                              <a:lnTo>
                                <a:pt x="820573" y="56415"/>
                              </a:lnTo>
                              <a:lnTo>
                                <a:pt x="799433" y="32361"/>
                              </a:lnTo>
                              <a:lnTo>
                                <a:pt x="799433" y="24780"/>
                              </a:lnTo>
                              <a:lnTo>
                                <a:pt x="824218" y="0"/>
                              </a:lnTo>
                              <a:lnTo>
                                <a:pt x="831797" y="0"/>
                              </a:lnTo>
                              <a:lnTo>
                                <a:pt x="856583" y="24780"/>
                              </a:lnTo>
                              <a:lnTo>
                                <a:pt x="856583" y="32361"/>
                              </a:lnTo>
                              <a:lnTo>
                                <a:pt x="831797" y="57140"/>
                              </a:lnTo>
                              <a:close/>
                            </a:path>
                          </a:pathLst>
                        </a:custGeom>
                        <a:solidFill>
                          <a:srgbClr val="2B816F"/>
                        </a:solidFill>
                      </wps:spPr>
                      <wps:bodyPr wrap="square" lIns="0" tIns="0" rIns="0" bIns="0" rtlCol="0">
                        <a:prstTxWarp prst="textNoShape">
                          <a:avLst/>
                        </a:prstTxWarp>
                        <a:noAutofit/>
                      </wps:bodyPr>
                    </wps:wsp>
                  </a:graphicData>
                </a:graphic>
              </wp:anchor>
            </w:drawing>
          </mc:Choice>
          <mc:Fallback>
            <w:pict>
              <v:shape style="position:absolute;margin-left:77.25pt;margin-top:316.755493pt;width:67.45pt;height:4.5pt;mso-position-horizontal-relative:page;mso-position-vertical-relative:paragraph;z-index:-15719424;mso-wrap-distance-left:0;mso-wrap-distance-right:0" id="docshape12" coordorigin="1545,6335" coordsize="1349,90" path="m1596,6425l1584,6425,1578,6424,1567,6419,1562,6416,1554,6408,1551,6403,1546,6392,1545,6386,1545,6374,1546,6368,1551,6357,1554,6352,1562,6344,1567,6341,1578,6336,1584,6335,1596,6335,1602,6336,1613,6341,1618,6344,1626,6352,1629,6357,1634,6368,1635,6374,1635,6386,1634,6392,1629,6403,1626,6408,1618,6416,1613,6419,1602,6424,1596,6425xm1776,6425l1764,6425,1758,6424,1747,6419,1742,6416,1734,6408,1731,6403,1726,6392,1725,6386,1725,6374,1726,6368,1731,6357,1734,6352,1742,6344,1747,6341,1758,6336,1764,6335,1776,6335,1782,6336,1793,6341,1797,6344,1806,6352,1809,6357,1814,6368,1815,6374,1815,6386,1814,6392,1809,6403,1806,6408,1797,6416,1793,6419,1782,6424,1776,6425xm1956,6425l1944,6425,1938,6424,1927,6419,1922,6416,1914,6408,1910,6403,1906,6392,1905,6386,1905,6374,1906,6368,1910,6357,1914,6352,1922,6344,1927,6341,1938,6336,1944,6335,1956,6335,1961,6336,1972,6341,1977,6344,1986,6352,1989,6357,1994,6368,1995,6374,1995,6386,1994,6392,1989,6403,1986,6408,1977,6416,1972,6419,1961,6424,1956,6425xm2136,6425l2124,6425,2118,6424,2107,6419,2102,6416,2094,6408,2090,6403,2086,6392,2085,6386,2085,6374,2086,6368,2090,6357,2094,6352,2102,6344,2107,6341,2118,6336,2124,6335,2136,6335,2141,6336,2152,6341,2157,6344,2166,6352,2169,6357,2173,6368,2175,6374,2175,6386,2173,6392,2169,6403,2166,6408,2157,6416,2152,6419,2141,6424,2136,6425xm2315,6425l2303,6425,2298,6424,2287,6419,2282,6416,2273,6408,2270,6403,2266,6392,2264,6386,2264,6374,2266,6368,2270,6357,2273,6352,2282,6344,2287,6341,2298,6336,2303,6335,2315,6335,2321,6336,2332,6341,2337,6344,2345,6352,2349,6357,2353,6368,2354,6374,2354,6386,2353,6392,2349,6403,2345,6408,2337,6416,2332,6419,2321,6424,2315,6425xm2495,6425l2483,6425,2478,6424,2467,6419,2462,6416,2453,6408,2450,6403,2445,6392,2444,6386,2444,6374,2445,6368,2450,6357,2453,6352,2462,6344,2467,6341,2478,6336,2483,6335,2495,6335,2501,6336,2512,6341,2517,6344,2525,6352,2529,6357,2533,6368,2534,6374,2534,6386,2533,6392,2529,6403,2525,6408,2517,6416,2512,6419,2501,6424,2495,6425xm2675,6425l2663,6425,2657,6424,2646,6419,2641,6416,2633,6408,2630,6403,2625,6392,2624,6386,2624,6374,2625,6368,2630,6357,2633,6352,2641,6344,2646,6341,2657,6336,2663,6335,2675,6335,2681,6336,2692,6341,2697,6344,2705,6352,2708,6357,2713,6368,2714,6374,2714,6386,2713,6392,2708,6403,2705,6408,2697,6416,2692,6419,2681,6424,2675,6425xm2855,6425l2843,6425,2837,6424,2826,6419,2821,6416,2813,6408,2810,6403,2805,6392,2804,6386,2804,6374,2805,6368,2810,6357,2813,6352,2821,6344,2826,6341,2837,6336,2843,6335,2855,6335,2861,6336,2872,6341,2877,6344,2885,6352,2888,6357,2893,6368,2894,6374,2894,6386,2893,6392,2888,6403,2885,6408,2877,6416,2872,6419,2861,6424,2855,6425xe" filled="true" fillcolor="#2b816f" stroked="false">
                <v:path arrowok="t"/>
                <v:fill type="solid"/>
                <w10:wrap type="topAndBottom"/>
              </v:shape>
            </w:pict>
          </mc:Fallback>
        </mc:AlternateContent>
      </w:r>
    </w:p>
    <w:p>
      <w:pPr>
        <w:pStyle w:val="BodyText"/>
        <w:spacing w:before="30"/>
        <w:ind w:left="0"/>
        <w:jc w:val="left"/>
        <w:rPr>
          <w:b/>
          <w:sz w:val="20"/>
        </w:rPr>
      </w:pPr>
    </w:p>
    <w:p>
      <w:pPr>
        <w:spacing w:before="78"/>
        <w:ind w:left="99" w:right="0" w:firstLine="0"/>
        <w:jc w:val="left"/>
        <w:rPr>
          <w:rFonts w:ascii="Arial"/>
          <w:b/>
          <w:sz w:val="22"/>
        </w:rPr>
      </w:pPr>
      <w:r>
        <w:rPr>
          <w:rFonts w:ascii="Arial"/>
          <w:b/>
          <w:color w:val="2B816F"/>
          <w:sz w:val="22"/>
        </w:rPr>
        <w:t>FIGURE</w:t>
      </w:r>
      <w:r>
        <w:rPr>
          <w:rFonts w:ascii="Arial"/>
          <w:b/>
          <w:color w:val="2B816F"/>
          <w:spacing w:val="17"/>
          <w:sz w:val="22"/>
        </w:rPr>
        <w:t> </w:t>
      </w:r>
      <w:r>
        <w:rPr>
          <w:rFonts w:ascii="Arial"/>
          <w:b/>
          <w:color w:val="2B816F"/>
          <w:spacing w:val="-4"/>
          <w:sz w:val="22"/>
        </w:rPr>
        <w:t>23.9</w:t>
      </w:r>
    </w:p>
    <w:p>
      <w:pPr>
        <w:spacing w:after="0"/>
        <w:jc w:val="left"/>
        <w:rPr>
          <w:rFonts w:ascii="Arial"/>
          <w:b/>
          <w:sz w:val="22"/>
        </w:rPr>
        <w:sectPr>
          <w:pgSz w:w="12240" w:h="15840"/>
          <w:pgMar w:top="1420" w:bottom="280" w:left="1440" w:right="1440"/>
        </w:sectPr>
      </w:pPr>
    </w:p>
    <w:p>
      <w:pPr>
        <w:spacing w:line="249" w:lineRule="auto" w:before="65"/>
        <w:ind w:left="99" w:right="98" w:firstLine="450"/>
        <w:jc w:val="both"/>
        <w:rPr>
          <w:sz w:val="30"/>
        </w:rPr>
      </w:pPr>
      <w:r>
        <w:rPr>
          <w:sz w:val="30"/>
        </w:rPr>
        <w:t>Postmenopausal women who have already experienced a </w:t>
      </w:r>
      <w:r>
        <w:rPr>
          <w:sz w:val="30"/>
        </w:rPr>
        <w:t>vertebral fracture deserve aggressive intervention. The risk of subsequent, additional vertebral fractures is substantial; 20% of women experience another vertebral fracture within 1 year after the first fracture.</w:t>
      </w:r>
      <w:r>
        <w:rPr>
          <w:sz w:val="30"/>
          <w:vertAlign w:val="superscript"/>
        </w:rPr>
        <w:t>68</w:t>
      </w:r>
      <w:r>
        <w:rPr>
          <w:sz w:val="30"/>
          <w:vertAlign w:val="baseline"/>
        </w:rPr>
        <w:t> These women are also at increased risk for nonvertebral fractures.</w:t>
      </w:r>
      <w:r>
        <w:rPr>
          <w:sz w:val="30"/>
          <w:vertAlign w:val="superscript"/>
        </w:rPr>
        <w:t>69,70</w:t>
      </w:r>
      <w:r>
        <w:rPr>
          <w:sz w:val="30"/>
          <w:vertAlign w:val="baseline"/>
        </w:rPr>
        <w:t> </w:t>
      </w:r>
      <w:r>
        <w:rPr>
          <w:b/>
          <w:sz w:val="30"/>
          <w:vertAlign w:val="baseline"/>
        </w:rPr>
        <w:t>A complete evaluation for osteoporosis is an essential component of care for a patient presenting with a fragility fracture</w:t>
      </w:r>
      <w:r>
        <w:rPr>
          <w:sz w:val="30"/>
          <w:vertAlign w:val="baseline"/>
        </w:rPr>
        <w:t>. As defined by the World Health Organization, a fragility </w:t>
      </w:r>
      <w:r>
        <w:rPr>
          <w:b/>
          <w:sz w:val="30"/>
          <w:vertAlign w:val="baseline"/>
        </w:rPr>
        <w:t>fracture </w:t>
      </w:r>
      <w:r>
        <w:rPr>
          <w:sz w:val="30"/>
          <w:vertAlign w:val="baseline"/>
        </w:rPr>
        <w:t>is one that results from an injury that would be insufficient to </w:t>
      </w:r>
      <w:r>
        <w:rPr>
          <w:b/>
          <w:sz w:val="30"/>
          <w:vertAlign w:val="baseline"/>
        </w:rPr>
        <w:t>break </w:t>
      </w:r>
      <w:r>
        <w:rPr>
          <w:sz w:val="30"/>
          <w:vertAlign w:val="baseline"/>
        </w:rPr>
        <w:t>a normal bone. </w:t>
      </w:r>
      <w:r>
        <w:rPr>
          <w:b/>
          <w:sz w:val="30"/>
          <w:vertAlign w:val="baseline"/>
        </w:rPr>
        <w:t>All osteoporotic fractures are associated with an increased risk of mortality that persists for 5 to 10 years after the fracture.</w:t>
      </w:r>
      <w:r>
        <w:rPr>
          <w:sz w:val="30"/>
          <w:vertAlign w:val="superscript"/>
        </w:rPr>
        <w:t>71</w:t>
      </w:r>
    </w:p>
    <w:p>
      <w:pPr>
        <w:pStyle w:val="BodyText"/>
        <w:spacing w:line="249" w:lineRule="auto" w:before="13"/>
        <w:ind w:right="98" w:firstLine="450"/>
      </w:pPr>
      <w:r>
        <w:rPr/>
        <w:t>Because there are so many women with osteoporosis, a greater prevalence of depression in this population would amount to a clinical problem of considerable proportions. A cross-sectional subset in a large clinical trial reported a greater prevalence of depressive symptoms in women with fractures.</w:t>
      </w:r>
      <w:r>
        <w:rPr>
          <w:vertAlign w:val="superscript"/>
        </w:rPr>
        <w:t>72</w:t>
      </w:r>
      <w:r>
        <w:rPr>
          <w:vertAlign w:val="baseline"/>
        </w:rPr>
        <w:t> It is well recognized that fractures secondary </w:t>
      </w:r>
      <w:r>
        <w:rPr>
          <w:vertAlign w:val="baseline"/>
        </w:rPr>
        <w:t>to osteoporosis are accompanied by a reduction in psychological and physical well-being. As far as depression goes, it is difficult to know which came first, depression or fractures, leading to subsequent depression. It has been reported</w:t>
      </w:r>
      <w:r>
        <w:rPr>
          <w:spacing w:val="-3"/>
          <w:vertAlign w:val="baseline"/>
        </w:rPr>
        <w:t> </w:t>
      </w:r>
      <w:r>
        <w:rPr>
          <w:vertAlign w:val="baseline"/>
        </w:rPr>
        <w:t>that</w:t>
      </w:r>
      <w:r>
        <w:rPr>
          <w:spacing w:val="-3"/>
          <w:vertAlign w:val="baseline"/>
        </w:rPr>
        <w:t> </w:t>
      </w:r>
      <w:r>
        <w:rPr>
          <w:vertAlign w:val="baseline"/>
        </w:rPr>
        <w:t>depressed</w:t>
      </w:r>
      <w:r>
        <w:rPr>
          <w:spacing w:val="-3"/>
          <w:vertAlign w:val="baseline"/>
        </w:rPr>
        <w:t> </w:t>
      </w:r>
      <w:r>
        <w:rPr>
          <w:vertAlign w:val="baseline"/>
        </w:rPr>
        <w:t>people</w:t>
      </w:r>
      <w:r>
        <w:rPr>
          <w:spacing w:val="-3"/>
          <w:vertAlign w:val="baseline"/>
        </w:rPr>
        <w:t> </w:t>
      </w:r>
      <w:r>
        <w:rPr>
          <w:vertAlign w:val="baseline"/>
        </w:rPr>
        <w:t>have</w:t>
      </w:r>
      <w:r>
        <w:rPr>
          <w:spacing w:val="-3"/>
          <w:vertAlign w:val="baseline"/>
        </w:rPr>
        <w:t> </w:t>
      </w:r>
      <w:r>
        <w:rPr>
          <w:vertAlign w:val="baseline"/>
        </w:rPr>
        <w:t>a</w:t>
      </w:r>
      <w:r>
        <w:rPr>
          <w:spacing w:val="-3"/>
          <w:vertAlign w:val="baseline"/>
        </w:rPr>
        <w:t> </w:t>
      </w:r>
      <w:r>
        <w:rPr>
          <w:vertAlign w:val="baseline"/>
        </w:rPr>
        <w:t>greater</w:t>
      </w:r>
      <w:r>
        <w:rPr>
          <w:spacing w:val="-3"/>
          <w:vertAlign w:val="baseline"/>
        </w:rPr>
        <w:t> </w:t>
      </w:r>
      <w:r>
        <w:rPr>
          <w:vertAlign w:val="baseline"/>
        </w:rPr>
        <w:t>incidence</w:t>
      </w:r>
      <w:r>
        <w:rPr>
          <w:spacing w:val="-3"/>
          <w:vertAlign w:val="baseline"/>
        </w:rPr>
        <w:t> </w:t>
      </w:r>
      <w:r>
        <w:rPr>
          <w:vertAlign w:val="baseline"/>
        </w:rPr>
        <w:t>of</w:t>
      </w:r>
      <w:r>
        <w:rPr>
          <w:spacing w:val="-3"/>
          <w:vertAlign w:val="baseline"/>
        </w:rPr>
        <w:t> </w:t>
      </w:r>
      <w:r>
        <w:rPr>
          <w:vertAlign w:val="baseline"/>
        </w:rPr>
        <w:t>falls,</w:t>
      </w:r>
      <w:r>
        <w:rPr>
          <w:vertAlign w:val="superscript"/>
        </w:rPr>
        <w:t>73</w:t>
      </w:r>
      <w:r>
        <w:rPr>
          <w:vertAlign w:val="baseline"/>
        </w:rPr>
        <w:t> and thus it is not unreasonable to consider that depression comes first in some people. Furthermore, depressed people are often sedentary and eat poorly, factors that favor bone loss. It is speculated that chronically increased cortisol levels associated with depression might contribute to bone loss, similar to that observed with the pharmacologic administration of glucocorticoids. On the other hand, a cohort study of American women, despite finding a link between depression and fractures, failed to detect an increase in depression associated with lower bone density measurements.</w:t>
      </w:r>
      <w:r>
        <w:rPr>
          <w:vertAlign w:val="superscript"/>
        </w:rPr>
        <w:t>73</w:t>
      </w:r>
      <w:r>
        <w:rPr>
          <w:vertAlign w:val="baseline"/>
        </w:rPr>
        <w:t> However, other studies </w:t>
      </w:r>
      <w:r>
        <w:rPr>
          <w:i/>
          <w:vertAlign w:val="baseline"/>
        </w:rPr>
        <w:t>have </w:t>
      </w:r>
      <w:r>
        <w:rPr>
          <w:vertAlign w:val="baseline"/>
        </w:rPr>
        <w:t>reported increases in depression associated with lower bone </w:t>
      </w:r>
      <w:r>
        <w:rPr>
          <w:spacing w:val="-2"/>
          <w:vertAlign w:val="baseline"/>
        </w:rPr>
        <w:t>densities.</w:t>
      </w:r>
      <w:r>
        <w:rPr>
          <w:spacing w:val="-2"/>
          <w:vertAlign w:val="superscript"/>
        </w:rPr>
        <w:t>74-76</w:t>
      </w:r>
    </w:p>
    <w:p>
      <w:pPr>
        <w:pStyle w:val="BodyText"/>
        <w:spacing w:line="249" w:lineRule="auto" w:before="24"/>
        <w:ind w:right="102" w:firstLine="450"/>
      </w:pPr>
      <w:r>
        <w:rPr/>
        <w:t>Bone loss has been documented in an established rodent model for stress-induced depression, characterized by a decrease in osteoblastic bone formation that can be attenuated by an antidepressant drug.</w:t>
      </w:r>
      <w:r>
        <w:rPr>
          <w:vertAlign w:val="superscript"/>
        </w:rPr>
        <w:t>77</w:t>
      </w:r>
      <w:r>
        <w:rPr>
          <w:vertAlign w:val="baseline"/>
        </w:rPr>
        <w:t> In </w:t>
      </w:r>
      <w:r>
        <w:rPr>
          <w:vertAlign w:val="baseline"/>
        </w:rPr>
        <w:t>this experimental model, osteoblastic inhibition was mediated by stress-induced stimulation</w:t>
      </w:r>
      <w:r>
        <w:rPr>
          <w:spacing w:val="42"/>
          <w:vertAlign w:val="baseline"/>
        </w:rPr>
        <w:t> </w:t>
      </w:r>
      <w:r>
        <w:rPr>
          <w:vertAlign w:val="baseline"/>
        </w:rPr>
        <w:t>of</w:t>
      </w:r>
      <w:r>
        <w:rPr>
          <w:spacing w:val="42"/>
          <w:vertAlign w:val="baseline"/>
        </w:rPr>
        <w:t> </w:t>
      </w:r>
      <w:r>
        <w:rPr>
          <w:vertAlign w:val="baseline"/>
        </w:rPr>
        <w:t>the</w:t>
      </w:r>
      <w:r>
        <w:rPr>
          <w:spacing w:val="42"/>
          <w:vertAlign w:val="baseline"/>
        </w:rPr>
        <w:t> </w:t>
      </w:r>
      <w:r>
        <w:rPr>
          <w:vertAlign w:val="baseline"/>
        </w:rPr>
        <w:t>sympathetic</w:t>
      </w:r>
      <w:r>
        <w:rPr>
          <w:spacing w:val="42"/>
          <w:vertAlign w:val="baseline"/>
        </w:rPr>
        <w:t> </w:t>
      </w:r>
      <w:r>
        <w:rPr>
          <w:vertAlign w:val="baseline"/>
        </w:rPr>
        <w:t>nervous</w:t>
      </w:r>
      <w:r>
        <w:rPr>
          <w:spacing w:val="42"/>
          <w:vertAlign w:val="baseline"/>
        </w:rPr>
        <w:t> </w:t>
      </w:r>
      <w:r>
        <w:rPr>
          <w:vertAlign w:val="baseline"/>
        </w:rPr>
        <w:t>system.</w:t>
      </w:r>
      <w:r>
        <w:rPr>
          <w:spacing w:val="42"/>
          <w:vertAlign w:val="baseline"/>
        </w:rPr>
        <w:t> </w:t>
      </w:r>
      <w:r>
        <w:rPr>
          <w:vertAlign w:val="baseline"/>
        </w:rPr>
        <w:t>Although</w:t>
      </w:r>
      <w:r>
        <w:rPr>
          <w:spacing w:val="45"/>
          <w:vertAlign w:val="baseline"/>
        </w:rPr>
        <w:t> </w:t>
      </w:r>
      <w:r>
        <w:rPr>
          <w:vertAlign w:val="baseline"/>
        </w:rPr>
        <w:t>this</w:t>
      </w:r>
      <w:r>
        <w:rPr>
          <w:spacing w:val="45"/>
          <w:vertAlign w:val="baseline"/>
        </w:rPr>
        <w:t> </w:t>
      </w:r>
      <w:r>
        <w:rPr>
          <w:vertAlign w:val="baseline"/>
        </w:rPr>
        <w:t>response</w:t>
      </w:r>
      <w:r>
        <w:rPr>
          <w:spacing w:val="45"/>
          <w:vertAlign w:val="baseline"/>
        </w:rPr>
        <w:t> </w:t>
      </w:r>
      <w:r>
        <w:rPr>
          <w:spacing w:val="-5"/>
          <w:vertAlign w:val="baseline"/>
        </w:rPr>
        <w:t>is</w:t>
      </w:r>
    </w:p>
    <w:p>
      <w:pPr>
        <w:pStyle w:val="BodyText"/>
        <w:spacing w:after="0" w:line="249" w:lineRule="auto"/>
        <w:sectPr>
          <w:pgSz w:w="12240" w:h="15840"/>
          <w:pgMar w:top="1380" w:bottom="280" w:left="1440" w:right="1440"/>
        </w:sectPr>
      </w:pPr>
    </w:p>
    <w:p>
      <w:pPr>
        <w:pStyle w:val="BodyText"/>
        <w:spacing w:line="249" w:lineRule="auto"/>
        <w:ind w:right="99"/>
      </w:pPr>
      <w:r>
        <w:rPr/>
        <w:t>associated with an increased secretion of adrenal glucocorticoids, </w:t>
      </w:r>
      <w:r>
        <w:rPr/>
        <w:t>the evidence also indicates a direct role for sympathetic fibers in bone.</w:t>
      </w:r>
    </w:p>
    <w:p>
      <w:pPr>
        <w:spacing w:line="249" w:lineRule="auto" w:before="2"/>
        <w:ind w:left="99" w:right="98" w:firstLine="450"/>
        <w:jc w:val="both"/>
        <w:rPr>
          <w:b/>
          <w:sz w:val="30"/>
        </w:rPr>
      </w:pPr>
      <w:r>
        <w:rPr>
          <w:b/>
          <w:sz w:val="30"/>
        </w:rPr>
        <w:t>We need to be aware that women who have experienced fractures may have depressive symptoms, and appropriate interventions can have a beneficial impact on quality of life. The important point is that depression</w:t>
      </w:r>
      <w:r>
        <w:rPr>
          <w:b/>
          <w:spacing w:val="-1"/>
          <w:sz w:val="30"/>
        </w:rPr>
        <w:t> </w:t>
      </w:r>
      <w:r>
        <w:rPr>
          <w:b/>
          <w:sz w:val="30"/>
        </w:rPr>
        <w:t>and</w:t>
      </w:r>
      <w:r>
        <w:rPr>
          <w:b/>
          <w:spacing w:val="-1"/>
          <w:sz w:val="30"/>
        </w:rPr>
        <w:t> </w:t>
      </w:r>
      <w:r>
        <w:rPr>
          <w:b/>
          <w:sz w:val="30"/>
        </w:rPr>
        <w:t>fractures</w:t>
      </w:r>
      <w:r>
        <w:rPr>
          <w:b/>
          <w:spacing w:val="-1"/>
          <w:sz w:val="30"/>
        </w:rPr>
        <w:t> </w:t>
      </w:r>
      <w:r>
        <w:rPr>
          <w:b/>
          <w:sz w:val="30"/>
        </w:rPr>
        <w:t>are</w:t>
      </w:r>
      <w:r>
        <w:rPr>
          <w:b/>
          <w:spacing w:val="-1"/>
          <w:sz w:val="30"/>
        </w:rPr>
        <w:t> </w:t>
      </w:r>
      <w:r>
        <w:rPr>
          <w:b/>
          <w:sz w:val="30"/>
        </w:rPr>
        <w:t>linked</w:t>
      </w:r>
      <w:r>
        <w:rPr>
          <w:b/>
          <w:spacing w:val="-1"/>
          <w:sz w:val="30"/>
        </w:rPr>
        <w:t> </w:t>
      </w:r>
      <w:r>
        <w:rPr>
          <w:b/>
          <w:sz w:val="30"/>
        </w:rPr>
        <w:t>and</w:t>
      </w:r>
      <w:r>
        <w:rPr>
          <w:b/>
          <w:spacing w:val="-1"/>
          <w:sz w:val="30"/>
        </w:rPr>
        <w:t> </w:t>
      </w:r>
      <w:r>
        <w:rPr>
          <w:b/>
          <w:sz w:val="30"/>
        </w:rPr>
        <w:t>attention</w:t>
      </w:r>
      <w:r>
        <w:rPr>
          <w:b/>
          <w:spacing w:val="-1"/>
          <w:sz w:val="30"/>
        </w:rPr>
        <w:t> </w:t>
      </w:r>
      <w:r>
        <w:rPr>
          <w:b/>
          <w:sz w:val="30"/>
        </w:rPr>
        <w:t>to</w:t>
      </w:r>
      <w:r>
        <w:rPr>
          <w:b/>
          <w:spacing w:val="-1"/>
          <w:sz w:val="30"/>
        </w:rPr>
        <w:t> </w:t>
      </w:r>
      <w:r>
        <w:rPr>
          <w:b/>
          <w:sz w:val="30"/>
        </w:rPr>
        <w:t>psychological</w:t>
      </w:r>
      <w:r>
        <w:rPr>
          <w:b/>
          <w:spacing w:val="-1"/>
          <w:sz w:val="30"/>
        </w:rPr>
        <w:t> </w:t>
      </w:r>
      <w:r>
        <w:rPr>
          <w:b/>
          <w:sz w:val="30"/>
        </w:rPr>
        <w:t>well-being should be an integral part of management of individuals who have experienced fragility fractures as each condition can impact </w:t>
      </w:r>
      <w:r>
        <w:rPr>
          <w:b/>
          <w:sz w:val="30"/>
        </w:rPr>
        <w:t>the course of the other in different patients, and both directly impact on</w:t>
      </w:r>
      <w:r>
        <w:rPr>
          <w:b/>
          <w:spacing w:val="40"/>
          <w:sz w:val="30"/>
        </w:rPr>
        <w:t> </w:t>
      </w:r>
      <w:r>
        <w:rPr>
          <w:b/>
          <w:sz w:val="30"/>
        </w:rPr>
        <w:t>the quality of life in all affected individuals.</w:t>
      </w:r>
    </w:p>
    <w:p>
      <w:pPr>
        <w:pStyle w:val="BodyText"/>
        <w:spacing w:line="249" w:lineRule="auto" w:before="10"/>
        <w:ind w:right="99" w:firstLine="450"/>
      </w:pPr>
      <w:r>
        <w:rPr/>
        <w:t>Selective serotonin reuptake inhibitors (SSRIs) are the </w:t>
      </w:r>
      <w:r>
        <w:rPr/>
        <w:t>favored</w:t>
      </w:r>
      <w:r>
        <w:rPr>
          <w:spacing w:val="40"/>
        </w:rPr>
        <w:t> </w:t>
      </w:r>
      <w:r>
        <w:rPr/>
        <w:t>treatment</w:t>
      </w:r>
      <w:r>
        <w:rPr>
          <w:spacing w:val="-3"/>
        </w:rPr>
        <w:t> </w:t>
      </w:r>
      <w:r>
        <w:rPr/>
        <w:t>for</w:t>
      </w:r>
      <w:r>
        <w:rPr>
          <w:spacing w:val="-3"/>
        </w:rPr>
        <w:t> </w:t>
      </w:r>
      <w:r>
        <w:rPr/>
        <w:t>depression</w:t>
      </w:r>
      <w:r>
        <w:rPr>
          <w:spacing w:val="-3"/>
        </w:rPr>
        <w:t> </w:t>
      </w:r>
      <w:r>
        <w:rPr/>
        <w:t>in</w:t>
      </w:r>
      <w:r>
        <w:rPr>
          <w:spacing w:val="-3"/>
        </w:rPr>
        <w:t> </w:t>
      </w:r>
      <w:r>
        <w:rPr/>
        <w:t>older</w:t>
      </w:r>
      <w:r>
        <w:rPr>
          <w:spacing w:val="-3"/>
        </w:rPr>
        <w:t> </w:t>
      </w:r>
      <w:r>
        <w:rPr/>
        <w:t>adults,</w:t>
      </w:r>
      <w:r>
        <w:rPr>
          <w:spacing w:val="-3"/>
        </w:rPr>
        <w:t> </w:t>
      </w:r>
      <w:r>
        <w:rPr/>
        <w:t>a</w:t>
      </w:r>
      <w:r>
        <w:rPr>
          <w:spacing w:val="-3"/>
        </w:rPr>
        <w:t> </w:t>
      </w:r>
      <w:r>
        <w:rPr/>
        <w:t>problem</w:t>
      </w:r>
      <w:r>
        <w:rPr>
          <w:spacing w:val="-3"/>
        </w:rPr>
        <w:t> </w:t>
      </w:r>
      <w:r>
        <w:rPr/>
        <w:t>that</w:t>
      </w:r>
      <w:r>
        <w:rPr>
          <w:spacing w:val="-3"/>
        </w:rPr>
        <w:t> </w:t>
      </w:r>
      <w:r>
        <w:rPr/>
        <w:t>affects</w:t>
      </w:r>
      <w:r>
        <w:rPr>
          <w:spacing w:val="-3"/>
        </w:rPr>
        <w:t> </w:t>
      </w:r>
      <w:r>
        <w:rPr/>
        <w:t>about</w:t>
      </w:r>
      <w:r>
        <w:rPr>
          <w:spacing w:val="-3"/>
        </w:rPr>
        <w:t> </w:t>
      </w:r>
      <w:r>
        <w:rPr/>
        <w:t>10%</w:t>
      </w:r>
      <w:r>
        <w:rPr>
          <w:spacing w:val="-3"/>
        </w:rPr>
        <w:t> </w:t>
      </w:r>
      <w:r>
        <w:rPr/>
        <w:t>of the older population. Several earlier studies had reported an increased risk of fractures with the daily use of SSRIs; however, these earlier studies were unable to control for the various factors that influence this risk, especially falls,</w:t>
      </w:r>
      <w:r>
        <w:rPr>
          <w:spacing w:val="-2"/>
        </w:rPr>
        <w:t> </w:t>
      </w:r>
      <w:r>
        <w:rPr/>
        <w:t>depression,</w:t>
      </w:r>
      <w:r>
        <w:rPr>
          <w:spacing w:val="-2"/>
        </w:rPr>
        <w:t> </w:t>
      </w:r>
      <w:r>
        <w:rPr/>
        <w:t>and</w:t>
      </w:r>
      <w:r>
        <w:rPr>
          <w:spacing w:val="-2"/>
        </w:rPr>
        <w:t> </w:t>
      </w:r>
      <w:r>
        <w:rPr/>
        <w:t>bone</w:t>
      </w:r>
      <w:r>
        <w:rPr>
          <w:spacing w:val="-2"/>
        </w:rPr>
        <w:t> </w:t>
      </w:r>
      <w:r>
        <w:rPr/>
        <w:t>density.</w:t>
      </w:r>
      <w:r>
        <w:rPr>
          <w:spacing w:val="-3"/>
        </w:rPr>
        <w:t> </w:t>
      </w:r>
      <w:r>
        <w:rPr/>
        <w:t>An</w:t>
      </w:r>
      <w:r>
        <w:rPr>
          <w:spacing w:val="-2"/>
        </w:rPr>
        <w:t> </w:t>
      </w:r>
      <w:r>
        <w:rPr/>
        <w:t>excellent</w:t>
      </w:r>
      <w:r>
        <w:rPr>
          <w:spacing w:val="-2"/>
        </w:rPr>
        <w:t> </w:t>
      </w:r>
      <w:r>
        <w:rPr/>
        <w:t>prospective</w:t>
      </w:r>
      <w:r>
        <w:rPr>
          <w:spacing w:val="-2"/>
        </w:rPr>
        <w:t> </w:t>
      </w:r>
      <w:r>
        <w:rPr/>
        <w:t>cohort</w:t>
      </w:r>
      <w:r>
        <w:rPr>
          <w:spacing w:val="-2"/>
        </w:rPr>
        <w:t> </w:t>
      </w:r>
      <w:r>
        <w:rPr/>
        <w:t>study</w:t>
      </w:r>
      <w:r>
        <w:rPr>
          <w:spacing w:val="-2"/>
        </w:rPr>
        <w:t> </w:t>
      </w:r>
      <w:r>
        <w:rPr/>
        <w:t>in Canada indicated that the increase in fractures persisted after controlling for these factors.</w:t>
      </w:r>
      <w:r>
        <w:rPr>
          <w:vertAlign w:val="superscript"/>
        </w:rPr>
        <w:t>78</w:t>
      </w:r>
    </w:p>
    <w:p>
      <w:pPr>
        <w:pStyle w:val="BodyText"/>
        <w:spacing w:line="249" w:lineRule="auto" w:before="10"/>
        <w:ind w:right="101" w:firstLine="450"/>
      </w:pPr>
      <w:r>
        <w:rPr/>
        <w:t>There is a direct effect of SSRIs on bone. Components of the neural system are involved in bone metabolism, and serotonin receptors </w:t>
      </w:r>
      <w:r>
        <w:rPr/>
        <w:t>and serotonin transport have been identified in osteoblasts and osteocytes. The bone effects of PTH and mechanical stimulation are modulated by the serotonin system. Mice with a mutation for the serotonin transporter develop</w:t>
      </w:r>
      <w:r>
        <w:rPr>
          <w:spacing w:val="-4"/>
        </w:rPr>
        <w:t> </w:t>
      </w:r>
      <w:r>
        <w:rPr/>
        <w:t>less</w:t>
      </w:r>
      <w:r>
        <w:rPr>
          <w:spacing w:val="-4"/>
        </w:rPr>
        <w:t> </w:t>
      </w:r>
      <w:r>
        <w:rPr/>
        <w:t>bone</w:t>
      </w:r>
      <w:r>
        <w:rPr>
          <w:spacing w:val="-4"/>
        </w:rPr>
        <w:t> </w:t>
      </w:r>
      <w:r>
        <w:rPr/>
        <w:t>mass</w:t>
      </w:r>
      <w:r>
        <w:rPr>
          <w:spacing w:val="-4"/>
        </w:rPr>
        <w:t> </w:t>
      </w:r>
      <w:r>
        <w:rPr/>
        <w:t>and</w:t>
      </w:r>
      <w:r>
        <w:rPr>
          <w:spacing w:val="-4"/>
        </w:rPr>
        <w:t> </w:t>
      </w:r>
      <w:r>
        <w:rPr/>
        <w:t>strength.</w:t>
      </w:r>
      <w:r>
        <w:rPr>
          <w:vertAlign w:val="superscript"/>
        </w:rPr>
        <w:t>79</w:t>
      </w:r>
      <w:r>
        <w:rPr>
          <w:spacing w:val="-5"/>
          <w:vertAlign w:val="baseline"/>
        </w:rPr>
        <w:t> </w:t>
      </w:r>
      <w:r>
        <w:rPr>
          <w:vertAlign w:val="baseline"/>
        </w:rPr>
        <w:t>Therefore,</w:t>
      </w:r>
      <w:r>
        <w:rPr>
          <w:spacing w:val="-4"/>
          <w:vertAlign w:val="baseline"/>
        </w:rPr>
        <w:t> </w:t>
      </w:r>
      <w:r>
        <w:rPr>
          <w:vertAlign w:val="baseline"/>
        </w:rPr>
        <w:t>daily</w:t>
      </w:r>
      <w:r>
        <w:rPr>
          <w:spacing w:val="-4"/>
          <w:vertAlign w:val="baseline"/>
        </w:rPr>
        <w:t> </w:t>
      </w:r>
      <w:r>
        <w:rPr>
          <w:vertAlign w:val="baseline"/>
        </w:rPr>
        <w:t>SSRI</w:t>
      </w:r>
      <w:r>
        <w:rPr>
          <w:spacing w:val="-4"/>
          <w:vertAlign w:val="baseline"/>
        </w:rPr>
        <w:t> </w:t>
      </w:r>
      <w:r>
        <w:rPr>
          <w:vertAlign w:val="baseline"/>
        </w:rPr>
        <w:t>use</w:t>
      </w:r>
      <w:r>
        <w:rPr>
          <w:spacing w:val="-4"/>
          <w:vertAlign w:val="baseline"/>
        </w:rPr>
        <w:t> </w:t>
      </w:r>
      <w:r>
        <w:rPr>
          <w:vertAlign w:val="baseline"/>
        </w:rPr>
        <w:t>can</w:t>
      </w:r>
      <w:r>
        <w:rPr>
          <w:spacing w:val="-4"/>
          <w:vertAlign w:val="baseline"/>
        </w:rPr>
        <w:t> </w:t>
      </w:r>
      <w:r>
        <w:rPr>
          <w:vertAlign w:val="baseline"/>
        </w:rPr>
        <w:t>impair bone formation, tilting the balance in favor of resorption and bone loss; indeed, decreased bone densities have been reported in both male and female SSRI users (but not in users of tricyclic antidepressants).</w:t>
      </w:r>
      <w:r>
        <w:rPr>
          <w:vertAlign w:val="superscript"/>
        </w:rPr>
        <w:t>80,81</w:t>
      </w:r>
    </w:p>
    <w:p>
      <w:pPr>
        <w:pStyle w:val="BodyText"/>
        <w:spacing w:before="54"/>
        <w:ind w:left="0"/>
        <w:jc w:val="left"/>
      </w:pPr>
    </w:p>
    <w:p>
      <w:pPr>
        <w:spacing w:before="1"/>
        <w:ind w:left="99" w:right="0" w:firstLine="0"/>
        <w:jc w:val="both"/>
        <w:rPr>
          <w:rFonts w:ascii="Arial"/>
          <w:b/>
          <w:sz w:val="30"/>
        </w:rPr>
      </w:pPr>
      <w:r>
        <w:rPr>
          <w:rFonts w:ascii="Arial"/>
          <w:b/>
          <w:color w:val="2674AE"/>
          <w:sz w:val="30"/>
        </w:rPr>
        <w:t>Measuring Bone Mineral </w:t>
      </w:r>
      <w:r>
        <w:rPr>
          <w:rFonts w:ascii="Arial"/>
          <w:b/>
          <w:color w:val="2674AE"/>
          <w:spacing w:val="-2"/>
          <w:sz w:val="30"/>
        </w:rPr>
        <w:t>Density</w:t>
      </w:r>
    </w:p>
    <w:p>
      <w:pPr>
        <w:spacing w:line="249" w:lineRule="auto" w:before="166"/>
        <w:ind w:left="99" w:right="99" w:firstLine="0"/>
        <w:jc w:val="both"/>
        <w:rPr>
          <w:b/>
          <w:sz w:val="30"/>
        </w:rPr>
      </w:pPr>
      <w:r>
        <w:rPr>
          <w:sz w:val="30"/>
        </w:rPr>
        <w:t>There is a 50% to 100% increase in fracture risk for each standard deviation decline in bone mass (approximately 0.1 g/cm bone mass).</w:t>
      </w:r>
      <w:r>
        <w:rPr>
          <w:sz w:val="30"/>
          <w:vertAlign w:val="superscript"/>
        </w:rPr>
        <w:t>82</w:t>
      </w:r>
      <w:r>
        <w:rPr>
          <w:sz w:val="30"/>
          <w:vertAlign w:val="baseline"/>
        </w:rPr>
        <w:t> Evidence </w:t>
      </w:r>
      <w:r>
        <w:rPr>
          <w:sz w:val="30"/>
          <w:vertAlign w:val="baseline"/>
        </w:rPr>
        <w:t>of lower bone mass at the hip is even more predictive of fracture risk; lesser bone mass by one standard deviation at the hip has been associated with nearly a 3-fold increase in risk of fracture.</w:t>
      </w:r>
      <w:r>
        <w:rPr>
          <w:sz w:val="30"/>
          <w:vertAlign w:val="superscript"/>
        </w:rPr>
        <w:t>83</w:t>
      </w:r>
      <w:r>
        <w:rPr>
          <w:sz w:val="30"/>
          <w:vertAlign w:val="baseline"/>
        </w:rPr>
        <w:t> </w:t>
      </w:r>
      <w:r>
        <w:rPr>
          <w:b/>
          <w:sz w:val="30"/>
          <w:vertAlign w:val="baseline"/>
        </w:rPr>
        <w:t>Although low bone density reliably</w:t>
      </w:r>
      <w:r>
        <w:rPr>
          <w:b/>
          <w:spacing w:val="51"/>
          <w:w w:val="150"/>
          <w:sz w:val="30"/>
          <w:vertAlign w:val="baseline"/>
        </w:rPr>
        <w:t> </w:t>
      </w:r>
      <w:r>
        <w:rPr>
          <w:b/>
          <w:sz w:val="30"/>
          <w:vertAlign w:val="baseline"/>
        </w:rPr>
        <w:t>predicts</w:t>
      </w:r>
      <w:r>
        <w:rPr>
          <w:b/>
          <w:spacing w:val="53"/>
          <w:w w:val="150"/>
          <w:sz w:val="30"/>
          <w:vertAlign w:val="baseline"/>
        </w:rPr>
        <w:t> </w:t>
      </w:r>
      <w:r>
        <w:rPr>
          <w:b/>
          <w:sz w:val="30"/>
          <w:vertAlign w:val="baseline"/>
        </w:rPr>
        <w:t>the</w:t>
      </w:r>
      <w:r>
        <w:rPr>
          <w:b/>
          <w:spacing w:val="53"/>
          <w:w w:val="150"/>
          <w:sz w:val="30"/>
          <w:vertAlign w:val="baseline"/>
        </w:rPr>
        <w:t> </w:t>
      </w:r>
      <w:r>
        <w:rPr>
          <w:b/>
          <w:sz w:val="30"/>
          <w:vertAlign w:val="baseline"/>
        </w:rPr>
        <w:t>risk</w:t>
      </w:r>
      <w:r>
        <w:rPr>
          <w:b/>
          <w:spacing w:val="53"/>
          <w:w w:val="150"/>
          <w:sz w:val="30"/>
          <w:vertAlign w:val="baseline"/>
        </w:rPr>
        <w:t> </w:t>
      </w:r>
      <w:r>
        <w:rPr>
          <w:b/>
          <w:sz w:val="30"/>
          <w:vertAlign w:val="baseline"/>
        </w:rPr>
        <w:t>of</w:t>
      </w:r>
      <w:r>
        <w:rPr>
          <w:b/>
          <w:spacing w:val="53"/>
          <w:w w:val="150"/>
          <w:sz w:val="30"/>
          <w:vertAlign w:val="baseline"/>
        </w:rPr>
        <w:t> </w:t>
      </w:r>
      <w:r>
        <w:rPr>
          <w:b/>
          <w:sz w:val="30"/>
          <w:vertAlign w:val="baseline"/>
        </w:rPr>
        <w:t>fracture,</w:t>
      </w:r>
      <w:r>
        <w:rPr>
          <w:b/>
          <w:spacing w:val="53"/>
          <w:w w:val="150"/>
          <w:sz w:val="30"/>
          <w:vertAlign w:val="baseline"/>
        </w:rPr>
        <w:t> </w:t>
      </w:r>
      <w:r>
        <w:rPr>
          <w:b/>
          <w:sz w:val="30"/>
          <w:vertAlign w:val="baseline"/>
        </w:rPr>
        <w:t>increases</w:t>
      </w:r>
      <w:r>
        <w:rPr>
          <w:b/>
          <w:spacing w:val="53"/>
          <w:w w:val="150"/>
          <w:sz w:val="30"/>
          <w:vertAlign w:val="baseline"/>
        </w:rPr>
        <w:t> </w:t>
      </w:r>
      <w:r>
        <w:rPr>
          <w:b/>
          <w:sz w:val="30"/>
          <w:vertAlign w:val="baseline"/>
        </w:rPr>
        <w:t>in</w:t>
      </w:r>
      <w:r>
        <w:rPr>
          <w:b/>
          <w:spacing w:val="53"/>
          <w:w w:val="150"/>
          <w:sz w:val="30"/>
          <w:vertAlign w:val="baseline"/>
        </w:rPr>
        <w:t> </w:t>
      </w:r>
      <w:r>
        <w:rPr>
          <w:b/>
          <w:sz w:val="30"/>
          <w:vertAlign w:val="baseline"/>
        </w:rPr>
        <w:t>bone</w:t>
      </w:r>
      <w:r>
        <w:rPr>
          <w:b/>
          <w:spacing w:val="53"/>
          <w:w w:val="150"/>
          <w:sz w:val="30"/>
          <w:vertAlign w:val="baseline"/>
        </w:rPr>
        <w:t> </w:t>
      </w:r>
      <w:r>
        <w:rPr>
          <w:b/>
          <w:sz w:val="30"/>
          <w:vertAlign w:val="baseline"/>
        </w:rPr>
        <w:t>density</w:t>
      </w:r>
      <w:r>
        <w:rPr>
          <w:b/>
          <w:spacing w:val="54"/>
          <w:w w:val="150"/>
          <w:sz w:val="30"/>
          <w:vertAlign w:val="baseline"/>
        </w:rPr>
        <w:t> </w:t>
      </w:r>
      <w:r>
        <w:rPr>
          <w:b/>
          <w:spacing w:val="-5"/>
          <w:sz w:val="30"/>
          <w:vertAlign w:val="baseline"/>
        </w:rPr>
        <w:t>in</w:t>
      </w:r>
    </w:p>
    <w:p>
      <w:pPr>
        <w:spacing w:after="0" w:line="249" w:lineRule="auto"/>
        <w:jc w:val="both"/>
        <w:rPr>
          <w:b/>
          <w:sz w:val="30"/>
        </w:rPr>
        <w:sectPr>
          <w:pgSz w:w="12240" w:h="15840"/>
          <w:pgMar w:top="1380" w:bottom="280" w:left="1440" w:right="1440"/>
        </w:sectPr>
      </w:pPr>
    </w:p>
    <w:p>
      <w:pPr>
        <w:spacing w:line="249" w:lineRule="auto" w:before="65"/>
        <w:ind w:left="99" w:right="108" w:firstLine="0"/>
        <w:jc w:val="both"/>
        <w:rPr>
          <w:b/>
          <w:sz w:val="30"/>
        </w:rPr>
      </w:pPr>
      <w:r>
        <w:rPr>
          <w:b/>
          <w:sz w:val="30"/>
        </w:rPr>
        <w:t>response to treatment do not demonstrate a direct correlation with </w:t>
      </w:r>
      <w:r>
        <w:rPr>
          <w:b/>
          <w:sz w:val="30"/>
        </w:rPr>
        <w:t>a reduction in fractures. Therefore, a few percentage point differences achieved by various treatments may have little clinical meaning.</w:t>
      </w:r>
    </w:p>
    <w:p>
      <w:pPr>
        <w:pStyle w:val="BodyText"/>
        <w:spacing w:line="249" w:lineRule="auto" w:before="3"/>
        <w:ind w:right="97" w:firstLine="450"/>
      </w:pPr>
      <w:r>
        <w:rPr/>
        <w:t>The impressive correlation between fracture risk and low bone </w:t>
      </w:r>
      <w:r>
        <w:rPr/>
        <w:t>density has raised the question of whether it is of value to screen for osteoporosis. Keep</w:t>
      </w:r>
      <w:r>
        <w:rPr>
          <w:spacing w:val="-1"/>
        </w:rPr>
        <w:t> </w:t>
      </w:r>
      <w:r>
        <w:rPr/>
        <w:t>in</w:t>
      </w:r>
      <w:r>
        <w:rPr>
          <w:spacing w:val="-1"/>
        </w:rPr>
        <w:t> </w:t>
      </w:r>
      <w:r>
        <w:rPr/>
        <w:t>mind</w:t>
      </w:r>
      <w:r>
        <w:rPr>
          <w:spacing w:val="-1"/>
        </w:rPr>
        <w:t> </w:t>
      </w:r>
      <w:r>
        <w:rPr/>
        <w:t>that</w:t>
      </w:r>
      <w:r>
        <w:rPr>
          <w:spacing w:val="-1"/>
        </w:rPr>
        <w:t> </w:t>
      </w:r>
      <w:r>
        <w:rPr/>
        <w:t>because</w:t>
      </w:r>
      <w:r>
        <w:rPr>
          <w:spacing w:val="-1"/>
        </w:rPr>
        <w:t> </w:t>
      </w:r>
      <w:r>
        <w:rPr/>
        <w:t>the</w:t>
      </w:r>
      <w:r>
        <w:rPr>
          <w:spacing w:val="-1"/>
        </w:rPr>
        <w:t> </w:t>
      </w:r>
      <w:r>
        <w:rPr/>
        <w:t>rate</w:t>
      </w:r>
      <w:r>
        <w:rPr>
          <w:spacing w:val="-1"/>
        </w:rPr>
        <w:t> </w:t>
      </w:r>
      <w:r>
        <w:rPr/>
        <w:t>of</w:t>
      </w:r>
      <w:r>
        <w:rPr>
          <w:spacing w:val="-1"/>
        </w:rPr>
        <w:t> </w:t>
      </w:r>
      <w:r>
        <w:rPr/>
        <w:t>bone</w:t>
      </w:r>
      <w:r>
        <w:rPr>
          <w:spacing w:val="-1"/>
        </w:rPr>
        <w:t> </w:t>
      </w:r>
      <w:r>
        <w:rPr/>
        <w:t>loss</w:t>
      </w:r>
      <w:r>
        <w:rPr>
          <w:spacing w:val="-1"/>
        </w:rPr>
        <w:t> </w:t>
      </w:r>
      <w:r>
        <w:rPr/>
        <w:t>after</w:t>
      </w:r>
      <w:r>
        <w:rPr>
          <w:spacing w:val="-1"/>
        </w:rPr>
        <w:t> </w:t>
      </w:r>
      <w:r>
        <w:rPr/>
        <w:t>menopause</w:t>
      </w:r>
      <w:r>
        <w:rPr>
          <w:spacing w:val="-1"/>
        </w:rPr>
        <w:t> </w:t>
      </w:r>
      <w:r>
        <w:rPr/>
        <w:t>contributes as much to the risk of fracture as the total bone mass present at the time of menopause, a normal bone density measurement at the time of menopause does not mean that the patient will not be at risk of fracture later in life. A relatively young woman with a low bone mass could be targeted for appropriate intervention; however, it is not cost-effective to attempt to screen all postmenopausal women with an expensive such as dual X-ray absorptiometry (DXA) that is considered the gold standard for bone density assessment. Cost effective and simpler technologies such as single-photon, single-energy x-ray absorptiometry and ultrasonography can offer reliable fracture risk assessment that in low resource settings can be considered for assessing fracture risk.</w:t>
      </w:r>
      <w:r>
        <w:rPr>
          <w:vertAlign w:val="superscript"/>
        </w:rPr>
        <w:t>84</w:t>
      </w:r>
    </w:p>
    <w:p>
      <w:pPr>
        <w:pStyle w:val="BodyText"/>
        <w:spacing w:line="249" w:lineRule="auto" w:before="18"/>
        <w:ind w:right="99" w:firstLine="450"/>
      </w:pPr>
      <w:r>
        <w:rPr/>
        <w:t>Bone density measurements are certainly useful when the information will facilitate an individual to make an informed decision regarding initiating specific treatment, such as postmenopausal hormone therapy. Indeed, a decision to use hormone therapy and better maintenance of a hormone program are correlated with patients’ knowledge of their </w:t>
      </w:r>
      <w:r>
        <w:rPr/>
        <w:t>bone density measurements.</w:t>
      </w:r>
      <w:r>
        <w:rPr>
          <w:vertAlign w:val="superscript"/>
        </w:rPr>
        <w:t>85,86</w:t>
      </w:r>
      <w:r>
        <w:rPr>
          <w:vertAlign w:val="baseline"/>
        </w:rPr>
        <w:t> In the United States, multiple organizations including the American College of Obstetricians and Gynecologists (ACOG),</w:t>
      </w:r>
      <w:r>
        <w:rPr>
          <w:vertAlign w:val="superscript"/>
        </w:rPr>
        <w:t>87</w:t>
      </w:r>
      <w:r>
        <w:rPr>
          <w:vertAlign w:val="baseline"/>
        </w:rPr>
        <w:t> the U.S. Preventive Services Task Force (USPSTF), and the National Osteoporosis Foundation (NOF) are unified in their recommendations that in the absence of risk factors, postmenopausal women should be offered screening for osteoporosis by dual-energy x-ray absorptiometry (DXA) starting at age 65; earlier screening should be considered in those with risk factors, especially if results of the bone</w:t>
      </w:r>
      <w:r>
        <w:rPr>
          <w:spacing w:val="40"/>
          <w:vertAlign w:val="baseline"/>
        </w:rPr>
        <w:t> </w:t>
      </w:r>
      <w:r>
        <w:rPr>
          <w:vertAlign w:val="baseline"/>
        </w:rPr>
        <w:t>density test can help determine the course of management. Patients who have received long-term corticosteroid, thyroxine, anticonvulsant, or heparin treatment warrant bone mass assessment earlier than age 65. </w:t>
      </w:r>
      <w:r>
        <w:rPr>
          <w:b/>
          <w:vertAlign w:val="baseline"/>
        </w:rPr>
        <w:t>After an initial assessment of bone density, the decision to perform repeat measurements should be individualized based on results of the initial test</w:t>
      </w:r>
      <w:r>
        <w:rPr>
          <w:b/>
          <w:spacing w:val="23"/>
          <w:vertAlign w:val="baseline"/>
        </w:rPr>
        <w:t> </w:t>
      </w:r>
      <w:r>
        <w:rPr>
          <w:b/>
          <w:vertAlign w:val="baseline"/>
        </w:rPr>
        <w:t>and</w:t>
      </w:r>
      <w:r>
        <w:rPr>
          <w:b/>
          <w:spacing w:val="25"/>
          <w:vertAlign w:val="baseline"/>
        </w:rPr>
        <w:t> </w:t>
      </w:r>
      <w:r>
        <w:rPr>
          <w:b/>
          <w:vertAlign w:val="baseline"/>
        </w:rPr>
        <w:t>tailored</w:t>
      </w:r>
      <w:r>
        <w:rPr>
          <w:b/>
          <w:spacing w:val="26"/>
          <w:vertAlign w:val="baseline"/>
        </w:rPr>
        <w:t> </w:t>
      </w:r>
      <w:r>
        <w:rPr>
          <w:b/>
          <w:i/>
          <w:vertAlign w:val="baseline"/>
        </w:rPr>
        <w:t>to</w:t>
      </w:r>
      <w:r>
        <w:rPr>
          <w:b/>
          <w:i/>
          <w:spacing w:val="25"/>
          <w:vertAlign w:val="baseline"/>
        </w:rPr>
        <w:t> </w:t>
      </w:r>
      <w:r>
        <w:rPr>
          <w:b/>
          <w:i/>
          <w:vertAlign w:val="baseline"/>
        </w:rPr>
        <w:t>the</w:t>
      </w:r>
      <w:r>
        <w:rPr>
          <w:b/>
          <w:i/>
          <w:spacing w:val="26"/>
          <w:vertAlign w:val="baseline"/>
        </w:rPr>
        <w:t> </w:t>
      </w:r>
      <w:r>
        <w:rPr>
          <w:b/>
          <w:i/>
          <w:vertAlign w:val="baseline"/>
        </w:rPr>
        <w:t>patient’s</w:t>
      </w:r>
      <w:r>
        <w:rPr>
          <w:b/>
          <w:i/>
          <w:spacing w:val="25"/>
          <w:vertAlign w:val="baseline"/>
        </w:rPr>
        <w:t> </w:t>
      </w:r>
      <w:r>
        <w:rPr>
          <w:b/>
          <w:i/>
          <w:vertAlign w:val="baseline"/>
        </w:rPr>
        <w:t>clinical</w:t>
      </w:r>
      <w:r>
        <w:rPr>
          <w:b/>
          <w:i/>
          <w:spacing w:val="26"/>
          <w:vertAlign w:val="baseline"/>
        </w:rPr>
        <w:t> </w:t>
      </w:r>
      <w:r>
        <w:rPr>
          <w:b/>
          <w:i/>
          <w:vertAlign w:val="baseline"/>
        </w:rPr>
        <w:t>picture</w:t>
      </w:r>
      <w:r>
        <w:rPr>
          <w:b/>
          <w:vertAlign w:val="baseline"/>
        </w:rPr>
        <w:t>;</w:t>
      </w:r>
      <w:r>
        <w:rPr>
          <w:b/>
          <w:spacing w:val="24"/>
          <w:vertAlign w:val="baseline"/>
        </w:rPr>
        <w:t> </w:t>
      </w:r>
      <w:r>
        <w:rPr>
          <w:vertAlign w:val="baseline"/>
        </w:rPr>
        <w:t>for</w:t>
      </w:r>
      <w:r>
        <w:rPr>
          <w:spacing w:val="26"/>
          <w:vertAlign w:val="baseline"/>
        </w:rPr>
        <w:t> </w:t>
      </w:r>
      <w:r>
        <w:rPr>
          <w:vertAlign w:val="baseline"/>
        </w:rPr>
        <w:t>the</w:t>
      </w:r>
      <w:r>
        <w:rPr>
          <w:spacing w:val="25"/>
          <w:vertAlign w:val="baseline"/>
        </w:rPr>
        <w:t> </w:t>
      </w:r>
      <w:r>
        <w:rPr>
          <w:vertAlign w:val="baseline"/>
        </w:rPr>
        <w:t>majority,</w:t>
      </w:r>
      <w:r>
        <w:rPr>
          <w:spacing w:val="26"/>
          <w:vertAlign w:val="baseline"/>
        </w:rPr>
        <w:t> </w:t>
      </w:r>
      <w:r>
        <w:rPr>
          <w:spacing w:val="-2"/>
          <w:vertAlign w:val="baseline"/>
        </w:rPr>
        <w:t>repeat</w:t>
      </w:r>
    </w:p>
    <w:p>
      <w:pPr>
        <w:pStyle w:val="BodyText"/>
        <w:spacing w:after="0" w:line="249" w:lineRule="auto"/>
        <w:sectPr>
          <w:pgSz w:w="12240" w:h="15840"/>
          <w:pgMar w:top="1380" w:bottom="280" w:left="1440" w:right="1440"/>
        </w:sectPr>
      </w:pPr>
    </w:p>
    <w:p>
      <w:pPr>
        <w:pStyle w:val="BodyText"/>
        <w:spacing w:line="249" w:lineRule="auto"/>
        <w:jc w:val="left"/>
      </w:pPr>
      <w:r>
        <w:rPr/>
        <w:t>bone</w:t>
      </w:r>
      <w:r>
        <w:rPr>
          <w:spacing w:val="-3"/>
        </w:rPr>
        <w:t> </w:t>
      </w:r>
      <w:r>
        <w:rPr/>
        <w:t>density</w:t>
      </w:r>
      <w:r>
        <w:rPr>
          <w:spacing w:val="-3"/>
        </w:rPr>
        <w:t> </w:t>
      </w:r>
      <w:r>
        <w:rPr/>
        <w:t>measurements</w:t>
      </w:r>
      <w:r>
        <w:rPr>
          <w:spacing w:val="-3"/>
        </w:rPr>
        <w:t> </w:t>
      </w:r>
      <w:r>
        <w:rPr/>
        <w:t>to</w:t>
      </w:r>
      <w:r>
        <w:rPr>
          <w:spacing w:val="-3"/>
        </w:rPr>
        <w:t> </w:t>
      </w:r>
      <w:r>
        <w:rPr/>
        <w:t>monitor</w:t>
      </w:r>
      <w:r>
        <w:rPr>
          <w:spacing w:val="-3"/>
        </w:rPr>
        <w:t> </w:t>
      </w:r>
      <w:r>
        <w:rPr/>
        <w:t>bone</w:t>
      </w:r>
      <w:r>
        <w:rPr>
          <w:spacing w:val="-3"/>
        </w:rPr>
        <w:t> </w:t>
      </w:r>
      <w:r>
        <w:rPr/>
        <w:t>loss</w:t>
      </w:r>
      <w:r>
        <w:rPr>
          <w:spacing w:val="-3"/>
        </w:rPr>
        <w:t> </w:t>
      </w:r>
      <w:r>
        <w:rPr/>
        <w:t>can</w:t>
      </w:r>
      <w:r>
        <w:rPr>
          <w:spacing w:val="-3"/>
        </w:rPr>
        <w:t> </w:t>
      </w:r>
      <w:r>
        <w:rPr/>
        <w:t>be</w:t>
      </w:r>
      <w:r>
        <w:rPr>
          <w:spacing w:val="-3"/>
        </w:rPr>
        <w:t> </w:t>
      </w:r>
      <w:r>
        <w:rPr/>
        <w:t>considered</w:t>
      </w:r>
      <w:r>
        <w:rPr>
          <w:spacing w:val="-3"/>
        </w:rPr>
        <w:t> </w:t>
      </w:r>
      <w:r>
        <w:rPr/>
        <w:t>every</w:t>
      </w:r>
      <w:r>
        <w:rPr>
          <w:spacing w:val="-3"/>
        </w:rPr>
        <w:t> </w:t>
      </w:r>
      <w:r>
        <w:rPr/>
        <w:t>2-to 5-year intervals.</w:t>
      </w:r>
    </w:p>
    <w:p>
      <w:pPr>
        <w:pStyle w:val="BodyText"/>
        <w:spacing w:before="0"/>
        <w:ind w:left="0"/>
        <w:jc w:val="left"/>
        <w:rPr>
          <w:sz w:val="20"/>
        </w:rPr>
      </w:pPr>
    </w:p>
    <w:p>
      <w:pPr>
        <w:pStyle w:val="BodyText"/>
        <w:spacing w:before="113"/>
        <w:ind w:left="0"/>
        <w:jc w:val="left"/>
        <w:rPr>
          <w:sz w:val="20"/>
        </w:rPr>
      </w:pPr>
      <w:r>
        <w:rPr>
          <w:sz w:val="20"/>
        </w:rPr>
        <mc:AlternateContent>
          <mc:Choice Requires="wps">
            <w:drawing>
              <wp:anchor distT="0" distB="0" distL="0" distR="0" allowOverlap="1" layoutInCell="1" locked="0" behindDoc="1" simplePos="0" relativeHeight="487597568">
                <wp:simplePos x="0" y="0"/>
                <wp:positionH relativeFrom="page">
                  <wp:posOffset>981075</wp:posOffset>
                </wp:positionH>
                <wp:positionV relativeFrom="paragraph">
                  <wp:posOffset>233344</wp:posOffset>
                </wp:positionV>
                <wp:extent cx="5810250" cy="3371850"/>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5810250" cy="3371850"/>
                          <a:chExt cx="5810250" cy="3371850"/>
                        </a:xfrm>
                      </wpg:grpSpPr>
                      <wps:wsp>
                        <wps:cNvPr id="25" name="Graphic 25"/>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D5E699"/>
                          </a:solidFill>
                        </wps:spPr>
                        <wps:bodyPr wrap="square" lIns="0" tIns="0" rIns="0" bIns="0" rtlCol="0">
                          <a:prstTxWarp prst="textNoShape">
                            <a:avLst/>
                          </a:prstTxWarp>
                          <a:noAutofit/>
                        </wps:bodyPr>
                      </wps:wsp>
                      <wps:wsp>
                        <wps:cNvPr id="26" name="Graphic 26"/>
                        <wps:cNvSpPr/>
                        <wps:spPr>
                          <a:xfrm>
                            <a:off x="0" y="742949"/>
                            <a:ext cx="5810250" cy="2628900"/>
                          </a:xfrm>
                          <a:custGeom>
                            <a:avLst/>
                            <a:gdLst/>
                            <a:ahLst/>
                            <a:cxnLst/>
                            <a:rect l="l" t="t" r="r" b="b"/>
                            <a:pathLst>
                              <a:path w="5810250" h="2628900">
                                <a:moveTo>
                                  <a:pt x="0" y="2628899"/>
                                </a:moveTo>
                                <a:lnTo>
                                  <a:pt x="5810249" y="2628899"/>
                                </a:lnTo>
                                <a:lnTo>
                                  <a:pt x="5810249" y="0"/>
                                </a:lnTo>
                                <a:lnTo>
                                  <a:pt x="0" y="0"/>
                                </a:lnTo>
                                <a:lnTo>
                                  <a:pt x="0" y="2628899"/>
                                </a:lnTo>
                                <a:close/>
                              </a:path>
                            </a:pathLst>
                          </a:custGeom>
                          <a:solidFill>
                            <a:srgbClr val="E9F1CD"/>
                          </a:solidFill>
                        </wps:spPr>
                        <wps:bodyPr wrap="square" lIns="0" tIns="0" rIns="0" bIns="0" rtlCol="0">
                          <a:prstTxWarp prst="textNoShape">
                            <a:avLst/>
                          </a:prstTxWarp>
                          <a:noAutofit/>
                        </wps:bodyPr>
                      </wps:wsp>
                      <wps:wsp>
                        <wps:cNvPr id="27" name="Graphic 27"/>
                        <wps:cNvSpPr/>
                        <wps:spPr>
                          <a:xfrm>
                            <a:off x="0" y="57149"/>
                            <a:ext cx="5810250" cy="685800"/>
                          </a:xfrm>
                          <a:custGeom>
                            <a:avLst/>
                            <a:gdLst/>
                            <a:ahLst/>
                            <a:cxnLst/>
                            <a:rect l="l" t="t" r="r" b="b"/>
                            <a:pathLst>
                              <a:path w="5810250" h="685800">
                                <a:moveTo>
                                  <a:pt x="5810249" y="685799"/>
                                </a:moveTo>
                                <a:lnTo>
                                  <a:pt x="0" y="685799"/>
                                </a:lnTo>
                                <a:lnTo>
                                  <a:pt x="0" y="0"/>
                                </a:lnTo>
                                <a:lnTo>
                                  <a:pt x="5810249" y="0"/>
                                </a:lnTo>
                                <a:lnTo>
                                  <a:pt x="5810249" y="685799"/>
                                </a:lnTo>
                                <a:close/>
                              </a:path>
                            </a:pathLst>
                          </a:custGeom>
                          <a:solidFill>
                            <a:srgbClr val="2B816F"/>
                          </a:solidFill>
                        </wps:spPr>
                        <wps:bodyPr wrap="square" lIns="0" tIns="0" rIns="0" bIns="0" rtlCol="0">
                          <a:prstTxWarp prst="textNoShape">
                            <a:avLst/>
                          </a:prstTxWarp>
                          <a:noAutofit/>
                        </wps:bodyPr>
                      </wps:wsp>
                      <wps:wsp>
                        <wps:cNvPr id="28" name="Graphic 28"/>
                        <wps:cNvSpPr/>
                        <wps:spPr>
                          <a:xfrm>
                            <a:off x="209549" y="228605"/>
                            <a:ext cx="371475" cy="57150"/>
                          </a:xfrm>
                          <a:custGeom>
                            <a:avLst/>
                            <a:gdLst/>
                            <a:ahLst/>
                            <a:cxnLst/>
                            <a:rect l="l" t="t" r="r" b="b"/>
                            <a:pathLst>
                              <a:path w="371475" h="57150">
                                <a:moveTo>
                                  <a:pt x="32364" y="57140"/>
                                </a:moveTo>
                                <a:lnTo>
                                  <a:pt x="24785" y="57140"/>
                                </a:lnTo>
                                <a:lnTo>
                                  <a:pt x="21140" y="56406"/>
                                </a:lnTo>
                                <a:lnTo>
                                  <a:pt x="0" y="32351"/>
                                </a:lnTo>
                                <a:lnTo>
                                  <a:pt x="0" y="24780"/>
                                </a:lnTo>
                                <a:lnTo>
                                  <a:pt x="24785" y="0"/>
                                </a:lnTo>
                                <a:lnTo>
                                  <a:pt x="32364" y="0"/>
                                </a:lnTo>
                                <a:lnTo>
                                  <a:pt x="57149" y="24780"/>
                                </a:lnTo>
                                <a:lnTo>
                                  <a:pt x="57149" y="32351"/>
                                </a:lnTo>
                                <a:lnTo>
                                  <a:pt x="32364" y="57140"/>
                                </a:lnTo>
                                <a:close/>
                              </a:path>
                              <a:path w="371475" h="57150">
                                <a:moveTo>
                                  <a:pt x="137044" y="57140"/>
                                </a:moveTo>
                                <a:lnTo>
                                  <a:pt x="129465" y="57140"/>
                                </a:lnTo>
                                <a:lnTo>
                                  <a:pt x="125820" y="56406"/>
                                </a:lnTo>
                                <a:lnTo>
                                  <a:pt x="104679" y="32351"/>
                                </a:lnTo>
                                <a:lnTo>
                                  <a:pt x="104679" y="24780"/>
                                </a:lnTo>
                                <a:lnTo>
                                  <a:pt x="129465" y="0"/>
                                </a:lnTo>
                                <a:lnTo>
                                  <a:pt x="137044" y="0"/>
                                </a:lnTo>
                                <a:lnTo>
                                  <a:pt x="161829" y="24780"/>
                                </a:lnTo>
                                <a:lnTo>
                                  <a:pt x="161829" y="32351"/>
                                </a:lnTo>
                                <a:lnTo>
                                  <a:pt x="137044" y="57140"/>
                                </a:lnTo>
                                <a:close/>
                              </a:path>
                              <a:path w="371475" h="57150">
                                <a:moveTo>
                                  <a:pt x="241723" y="57140"/>
                                </a:moveTo>
                                <a:lnTo>
                                  <a:pt x="234145" y="57140"/>
                                </a:lnTo>
                                <a:lnTo>
                                  <a:pt x="230500" y="56406"/>
                                </a:lnTo>
                                <a:lnTo>
                                  <a:pt x="209359" y="32351"/>
                                </a:lnTo>
                                <a:lnTo>
                                  <a:pt x="209359" y="24780"/>
                                </a:lnTo>
                                <a:lnTo>
                                  <a:pt x="234145" y="0"/>
                                </a:lnTo>
                                <a:lnTo>
                                  <a:pt x="241723" y="0"/>
                                </a:lnTo>
                                <a:lnTo>
                                  <a:pt x="266509" y="24780"/>
                                </a:lnTo>
                                <a:lnTo>
                                  <a:pt x="266509" y="32351"/>
                                </a:lnTo>
                                <a:lnTo>
                                  <a:pt x="241723" y="57140"/>
                                </a:lnTo>
                                <a:close/>
                              </a:path>
                              <a:path w="371475" h="57150">
                                <a:moveTo>
                                  <a:pt x="346403" y="57140"/>
                                </a:moveTo>
                                <a:lnTo>
                                  <a:pt x="338824" y="57140"/>
                                </a:lnTo>
                                <a:lnTo>
                                  <a:pt x="335179" y="56406"/>
                                </a:lnTo>
                                <a:lnTo>
                                  <a:pt x="314039" y="32351"/>
                                </a:lnTo>
                                <a:lnTo>
                                  <a:pt x="314039" y="24780"/>
                                </a:lnTo>
                                <a:lnTo>
                                  <a:pt x="338824" y="0"/>
                                </a:lnTo>
                                <a:lnTo>
                                  <a:pt x="346403" y="0"/>
                                </a:lnTo>
                                <a:lnTo>
                                  <a:pt x="371189" y="24780"/>
                                </a:lnTo>
                                <a:lnTo>
                                  <a:pt x="371189" y="32351"/>
                                </a:lnTo>
                                <a:lnTo>
                                  <a:pt x="346403" y="57140"/>
                                </a:lnTo>
                                <a:close/>
                              </a:path>
                            </a:pathLst>
                          </a:custGeom>
                          <a:solidFill>
                            <a:srgbClr val="D0E399"/>
                          </a:solidFill>
                        </wps:spPr>
                        <wps:bodyPr wrap="square" lIns="0" tIns="0" rIns="0" bIns="0" rtlCol="0">
                          <a:prstTxWarp prst="textNoShape">
                            <a:avLst/>
                          </a:prstTxWarp>
                          <a:noAutofit/>
                        </wps:bodyPr>
                      </wps:wsp>
                      <wps:wsp>
                        <wps:cNvPr id="29" name="Graphic 29"/>
                        <wps:cNvSpPr/>
                        <wps:spPr>
                          <a:xfrm>
                            <a:off x="133337" y="1000130"/>
                            <a:ext cx="47625" cy="1590675"/>
                          </a:xfrm>
                          <a:custGeom>
                            <a:avLst/>
                            <a:gdLst/>
                            <a:ahLst/>
                            <a:cxnLst/>
                            <a:rect l="l" t="t" r="r" b="b"/>
                            <a:pathLst>
                              <a:path w="47625" h="1590675">
                                <a:moveTo>
                                  <a:pt x="47625" y="1563687"/>
                                </a:moveTo>
                                <a:lnTo>
                                  <a:pt x="26974" y="1543050"/>
                                </a:lnTo>
                                <a:lnTo>
                                  <a:pt x="20662" y="1543050"/>
                                </a:lnTo>
                                <a:lnTo>
                                  <a:pt x="0" y="1563687"/>
                                </a:lnTo>
                                <a:lnTo>
                                  <a:pt x="0" y="1570012"/>
                                </a:lnTo>
                                <a:lnTo>
                                  <a:pt x="20662" y="1590662"/>
                                </a:lnTo>
                                <a:lnTo>
                                  <a:pt x="26974" y="1590662"/>
                                </a:lnTo>
                                <a:lnTo>
                                  <a:pt x="47625" y="1570012"/>
                                </a:lnTo>
                                <a:lnTo>
                                  <a:pt x="47625" y="1566862"/>
                                </a:lnTo>
                                <a:lnTo>
                                  <a:pt x="47625" y="1563687"/>
                                </a:lnTo>
                                <a:close/>
                              </a:path>
                              <a:path w="47625" h="1590675">
                                <a:moveTo>
                                  <a:pt x="47625" y="1220800"/>
                                </a:moveTo>
                                <a:lnTo>
                                  <a:pt x="26974" y="1200150"/>
                                </a:lnTo>
                                <a:lnTo>
                                  <a:pt x="20662" y="1200150"/>
                                </a:lnTo>
                                <a:lnTo>
                                  <a:pt x="0" y="1220800"/>
                                </a:lnTo>
                                <a:lnTo>
                                  <a:pt x="0" y="1227112"/>
                                </a:lnTo>
                                <a:lnTo>
                                  <a:pt x="20662" y="1247762"/>
                                </a:lnTo>
                                <a:lnTo>
                                  <a:pt x="26974" y="1247762"/>
                                </a:lnTo>
                                <a:lnTo>
                                  <a:pt x="47625" y="1227112"/>
                                </a:lnTo>
                                <a:lnTo>
                                  <a:pt x="47625" y="1223962"/>
                                </a:lnTo>
                                <a:lnTo>
                                  <a:pt x="47625" y="1220800"/>
                                </a:lnTo>
                                <a:close/>
                              </a:path>
                              <a:path w="47625" h="1590675">
                                <a:moveTo>
                                  <a:pt x="47625" y="877887"/>
                                </a:moveTo>
                                <a:lnTo>
                                  <a:pt x="26974" y="857250"/>
                                </a:lnTo>
                                <a:lnTo>
                                  <a:pt x="20662" y="857250"/>
                                </a:lnTo>
                                <a:lnTo>
                                  <a:pt x="0" y="877887"/>
                                </a:lnTo>
                                <a:lnTo>
                                  <a:pt x="0" y="884212"/>
                                </a:lnTo>
                                <a:lnTo>
                                  <a:pt x="20662" y="904862"/>
                                </a:lnTo>
                                <a:lnTo>
                                  <a:pt x="26974" y="904862"/>
                                </a:lnTo>
                                <a:lnTo>
                                  <a:pt x="47625" y="884212"/>
                                </a:lnTo>
                                <a:lnTo>
                                  <a:pt x="47625" y="881062"/>
                                </a:lnTo>
                                <a:lnTo>
                                  <a:pt x="47625" y="877887"/>
                                </a:lnTo>
                                <a:close/>
                              </a:path>
                              <a:path w="47625" h="1590675">
                                <a:moveTo>
                                  <a:pt x="47625" y="535000"/>
                                </a:moveTo>
                                <a:lnTo>
                                  <a:pt x="26974" y="514350"/>
                                </a:lnTo>
                                <a:lnTo>
                                  <a:pt x="20662" y="514350"/>
                                </a:lnTo>
                                <a:lnTo>
                                  <a:pt x="0" y="535000"/>
                                </a:lnTo>
                                <a:lnTo>
                                  <a:pt x="0" y="541312"/>
                                </a:lnTo>
                                <a:lnTo>
                                  <a:pt x="20662" y="561962"/>
                                </a:lnTo>
                                <a:lnTo>
                                  <a:pt x="26974" y="561962"/>
                                </a:lnTo>
                                <a:lnTo>
                                  <a:pt x="47625" y="541312"/>
                                </a:lnTo>
                                <a:lnTo>
                                  <a:pt x="47625" y="538162"/>
                                </a:lnTo>
                                <a:lnTo>
                                  <a:pt x="47625" y="535000"/>
                                </a:lnTo>
                                <a:close/>
                              </a:path>
                              <a:path w="47625" h="1590675">
                                <a:moveTo>
                                  <a:pt x="47625" y="192087"/>
                                </a:moveTo>
                                <a:lnTo>
                                  <a:pt x="26974" y="171450"/>
                                </a:lnTo>
                                <a:lnTo>
                                  <a:pt x="20662" y="171450"/>
                                </a:lnTo>
                                <a:lnTo>
                                  <a:pt x="0" y="192087"/>
                                </a:lnTo>
                                <a:lnTo>
                                  <a:pt x="0" y="198412"/>
                                </a:lnTo>
                                <a:lnTo>
                                  <a:pt x="20662" y="219062"/>
                                </a:lnTo>
                                <a:lnTo>
                                  <a:pt x="26974" y="219062"/>
                                </a:lnTo>
                                <a:lnTo>
                                  <a:pt x="47625" y="198412"/>
                                </a:lnTo>
                                <a:lnTo>
                                  <a:pt x="47625" y="195262"/>
                                </a:lnTo>
                                <a:lnTo>
                                  <a:pt x="47625" y="192087"/>
                                </a:lnTo>
                                <a:close/>
                              </a:path>
                              <a:path w="47625" h="1590675">
                                <a:moveTo>
                                  <a:pt x="47625" y="20637"/>
                                </a:moveTo>
                                <a:lnTo>
                                  <a:pt x="26974" y="0"/>
                                </a:lnTo>
                                <a:lnTo>
                                  <a:pt x="20662" y="0"/>
                                </a:lnTo>
                                <a:lnTo>
                                  <a:pt x="0" y="20637"/>
                                </a:lnTo>
                                <a:lnTo>
                                  <a:pt x="0" y="26962"/>
                                </a:lnTo>
                                <a:lnTo>
                                  <a:pt x="20662" y="47612"/>
                                </a:lnTo>
                                <a:lnTo>
                                  <a:pt x="26974" y="47612"/>
                                </a:lnTo>
                                <a:lnTo>
                                  <a:pt x="47625" y="26962"/>
                                </a:lnTo>
                                <a:lnTo>
                                  <a:pt x="47625" y="23812"/>
                                </a:lnTo>
                                <a:lnTo>
                                  <a:pt x="47625" y="20637"/>
                                </a:lnTo>
                                <a:close/>
                              </a:path>
                            </a:pathLst>
                          </a:custGeom>
                          <a:solidFill>
                            <a:srgbClr val="2B816F"/>
                          </a:solidFill>
                        </wps:spPr>
                        <wps:bodyPr wrap="square" lIns="0" tIns="0" rIns="0" bIns="0" rtlCol="0">
                          <a:prstTxWarp prst="textNoShape">
                            <a:avLst/>
                          </a:prstTxWarp>
                          <a:noAutofit/>
                        </wps:bodyPr>
                      </wps:wsp>
                      <wps:wsp>
                        <wps:cNvPr id="30" name="Textbox 30"/>
                        <wps:cNvSpPr txBox="1"/>
                        <wps:spPr>
                          <a:xfrm>
                            <a:off x="0" y="742949"/>
                            <a:ext cx="5810250" cy="2628900"/>
                          </a:xfrm>
                          <a:prstGeom prst="rect">
                            <a:avLst/>
                          </a:prstGeom>
                        </wps:spPr>
                        <wps:txbx>
                          <w:txbxContent>
                            <w:p>
                              <w:pPr>
                                <w:spacing w:line="240" w:lineRule="auto" w:before="51"/>
                                <w:rPr>
                                  <w:sz w:val="22"/>
                                </w:rPr>
                              </w:pPr>
                            </w:p>
                            <w:p>
                              <w:pPr>
                                <w:spacing w:line="256" w:lineRule="auto" w:before="0"/>
                                <w:ind w:left="444" w:right="743" w:firstLine="0"/>
                                <w:jc w:val="both"/>
                                <w:rPr>
                                  <w:sz w:val="22"/>
                                </w:rPr>
                              </w:pPr>
                              <w:r>
                                <w:rPr>
                                  <w:sz w:val="22"/>
                                </w:rPr>
                                <w:t>To help patients make decisions regarding initiating treatment, such as hormone therapy To</w:t>
                              </w:r>
                              <w:r>
                                <w:rPr>
                                  <w:spacing w:val="40"/>
                                  <w:sz w:val="22"/>
                                </w:rPr>
                                <w:t> </w:t>
                              </w:r>
                              <w:r>
                                <w:rPr>
                                  <w:sz w:val="22"/>
                                </w:rPr>
                                <w:t>assess</w:t>
                              </w:r>
                              <w:r>
                                <w:rPr>
                                  <w:spacing w:val="40"/>
                                  <w:sz w:val="22"/>
                                </w:rPr>
                                <w:t> </w:t>
                              </w:r>
                              <w:r>
                                <w:rPr>
                                  <w:sz w:val="22"/>
                                </w:rPr>
                                <w:t>response</w:t>
                              </w:r>
                              <w:r>
                                <w:rPr>
                                  <w:spacing w:val="40"/>
                                  <w:sz w:val="22"/>
                                </w:rPr>
                                <w:t> </w:t>
                              </w:r>
                              <w:r>
                                <w:rPr>
                                  <w:sz w:val="22"/>
                                </w:rPr>
                                <w:t>to</w:t>
                              </w:r>
                              <w:r>
                                <w:rPr>
                                  <w:spacing w:val="40"/>
                                  <w:sz w:val="22"/>
                                </w:rPr>
                                <w:t> </w:t>
                              </w:r>
                              <w:r>
                                <w:rPr>
                                  <w:sz w:val="22"/>
                                </w:rPr>
                                <w:t>therapy</w:t>
                              </w:r>
                              <w:r>
                                <w:rPr>
                                  <w:spacing w:val="40"/>
                                  <w:sz w:val="22"/>
                                </w:rPr>
                                <w:t> </w:t>
                              </w:r>
                              <w:r>
                                <w:rPr>
                                  <w:sz w:val="22"/>
                                </w:rPr>
                                <w:t>in</w:t>
                              </w:r>
                              <w:r>
                                <w:rPr>
                                  <w:spacing w:val="40"/>
                                  <w:sz w:val="22"/>
                                </w:rPr>
                                <w:t> </w:t>
                              </w:r>
                              <w:r>
                                <w:rPr>
                                  <w:sz w:val="22"/>
                                </w:rPr>
                                <w:t>selected</w:t>
                              </w:r>
                              <w:r>
                                <w:rPr>
                                  <w:spacing w:val="40"/>
                                  <w:sz w:val="22"/>
                                </w:rPr>
                                <w:t> </w:t>
                              </w:r>
                              <w:r>
                                <w:rPr>
                                  <w:sz w:val="22"/>
                                </w:rPr>
                                <w:t>patients,</w:t>
                              </w:r>
                              <w:r>
                                <w:rPr>
                                  <w:spacing w:val="40"/>
                                  <w:sz w:val="22"/>
                                </w:rPr>
                                <w:t> </w:t>
                              </w:r>
                              <w:r>
                                <w:rPr>
                                  <w:sz w:val="22"/>
                                </w:rPr>
                                <w:t>for</w:t>
                              </w:r>
                              <w:r>
                                <w:rPr>
                                  <w:spacing w:val="40"/>
                                  <w:sz w:val="22"/>
                                </w:rPr>
                                <w:t> </w:t>
                              </w:r>
                              <w:r>
                                <w:rPr>
                                  <w:sz w:val="22"/>
                                </w:rPr>
                                <w:t>example,</w:t>
                              </w:r>
                              <w:r>
                                <w:rPr>
                                  <w:spacing w:val="40"/>
                                  <w:sz w:val="22"/>
                                </w:rPr>
                                <w:t> </w:t>
                              </w:r>
                              <w:r>
                                <w:rPr>
                                  <w:sz w:val="22"/>
                                </w:rPr>
                                <w:t>smokers</w:t>
                              </w:r>
                              <w:r>
                                <w:rPr>
                                  <w:spacing w:val="40"/>
                                  <w:sz w:val="22"/>
                                </w:rPr>
                                <w:t> </w:t>
                              </w:r>
                              <w:r>
                                <w:rPr>
                                  <w:sz w:val="22"/>
                                </w:rPr>
                                <w:t>and</w:t>
                              </w:r>
                              <w:r>
                                <w:rPr>
                                  <w:spacing w:val="40"/>
                                  <w:sz w:val="22"/>
                                </w:rPr>
                                <w:t> </w:t>
                              </w:r>
                              <w:r>
                                <w:rPr>
                                  <w:sz w:val="22"/>
                                </w:rPr>
                                <w:t>women with eating disorders</w:t>
                              </w:r>
                            </w:p>
                            <w:p>
                              <w:pPr>
                                <w:spacing w:line="256" w:lineRule="auto" w:before="0"/>
                                <w:ind w:left="444" w:right="749" w:firstLine="0"/>
                                <w:jc w:val="both"/>
                                <w:rPr>
                                  <w:sz w:val="22"/>
                                </w:rPr>
                              </w:pPr>
                              <w:r>
                                <w:rPr>
                                  <w:sz w:val="22"/>
                                </w:rPr>
                                <w:t>To assess bone mass in patients being treated long term with glucocorticoids, </w:t>
                              </w:r>
                              <w:r>
                                <w:rPr>
                                  <w:sz w:val="22"/>
                                </w:rPr>
                                <w:t>thyroid hormone, anticonvulsants, or heparin</w:t>
                              </w:r>
                            </w:p>
                            <w:p>
                              <w:pPr>
                                <w:spacing w:line="256" w:lineRule="auto" w:before="0"/>
                                <w:ind w:left="444" w:right="756" w:firstLine="0"/>
                                <w:jc w:val="both"/>
                                <w:rPr>
                                  <w:sz w:val="22"/>
                                </w:rPr>
                              </w:pPr>
                              <w:r>
                                <w:rPr>
                                  <w:sz w:val="22"/>
                                </w:rPr>
                                <w:t>To confirm the diagnosis and assess the severity of osteoporosis to aid in </w:t>
                              </w:r>
                              <w:r>
                                <w:rPr>
                                  <w:sz w:val="22"/>
                                </w:rPr>
                                <w:t>treatment decisions and to monitor efficacy of therapy</w:t>
                              </w:r>
                            </w:p>
                            <w:p>
                              <w:pPr>
                                <w:spacing w:line="256" w:lineRule="auto" w:before="0"/>
                                <w:ind w:left="444" w:right="751" w:firstLine="0"/>
                                <w:jc w:val="both"/>
                                <w:rPr>
                                  <w:sz w:val="22"/>
                                </w:rPr>
                              </w:pPr>
                              <w:r>
                                <w:rPr>
                                  <w:sz w:val="22"/>
                                </w:rPr>
                                <w:t>To assess bone mass in postmenopausal women who present with fractures, who </w:t>
                              </w:r>
                              <w:r>
                                <w:rPr>
                                  <w:sz w:val="22"/>
                                </w:rPr>
                                <w:t>have</w:t>
                              </w:r>
                              <w:r>
                                <w:rPr>
                                  <w:spacing w:val="80"/>
                                  <w:sz w:val="22"/>
                                </w:rPr>
                                <w:t> </w:t>
                              </w:r>
                              <w:r>
                                <w:rPr>
                                  <w:sz w:val="22"/>
                                </w:rPr>
                                <w:t>one or more risk factors for osteoporosis, or who are over age 65</w:t>
                              </w:r>
                            </w:p>
                            <w:p>
                              <w:pPr>
                                <w:spacing w:line="256" w:lineRule="auto" w:before="0"/>
                                <w:ind w:left="444" w:right="746" w:firstLine="0"/>
                                <w:jc w:val="both"/>
                                <w:rPr>
                                  <w:sz w:val="22"/>
                                </w:rPr>
                              </w:pPr>
                              <w:r>
                                <w:rPr>
                                  <w:sz w:val="22"/>
                                </w:rPr>
                                <w:t>To assess for vertebral body fractures if a decrease in standing height is documented in excess of 2-3 cm (&gt;1 inch) raise concerns regarding the possibility of underlying </w:t>
                              </w:r>
                              <w:r>
                                <w:rPr>
                                  <w:spacing w:val="-2"/>
                                  <w:sz w:val="22"/>
                                </w:rPr>
                                <w:t>osteoporosis</w:t>
                              </w:r>
                            </w:p>
                          </w:txbxContent>
                        </wps:txbx>
                        <wps:bodyPr wrap="square" lIns="0" tIns="0" rIns="0" bIns="0" rtlCol="0">
                          <a:noAutofit/>
                        </wps:bodyPr>
                      </wps:wsp>
                      <wps:wsp>
                        <wps:cNvPr id="31" name="Textbox 31"/>
                        <wps:cNvSpPr txBox="1"/>
                        <wps:spPr>
                          <a:xfrm>
                            <a:off x="0" y="57149"/>
                            <a:ext cx="5810250" cy="685800"/>
                          </a:xfrm>
                          <a:prstGeom prst="rect">
                            <a:avLst/>
                          </a:prstGeom>
                        </wps:spPr>
                        <wps:txbx>
                          <w:txbxContent>
                            <w:p>
                              <w:pPr>
                                <w:spacing w:before="350"/>
                                <w:ind w:left="332" w:right="0" w:firstLine="0"/>
                                <w:jc w:val="left"/>
                                <w:rPr>
                                  <w:rFonts w:ascii="Arial"/>
                                  <w:sz w:val="33"/>
                                </w:rPr>
                              </w:pPr>
                              <w:r>
                                <w:rPr>
                                  <w:rFonts w:ascii="Arial"/>
                                  <w:color w:val="FFFFFF"/>
                                  <w:sz w:val="33"/>
                                </w:rPr>
                                <w:t>Key</w:t>
                              </w:r>
                              <w:r>
                                <w:rPr>
                                  <w:rFonts w:ascii="Arial"/>
                                  <w:color w:val="FFFFFF"/>
                                  <w:spacing w:val="19"/>
                                  <w:sz w:val="33"/>
                                </w:rPr>
                                <w:t> </w:t>
                              </w:r>
                              <w:r>
                                <w:rPr>
                                  <w:rFonts w:ascii="Arial"/>
                                  <w:color w:val="FFFFFF"/>
                                  <w:sz w:val="33"/>
                                </w:rPr>
                                <w:t>Points:</w:t>
                              </w:r>
                              <w:r>
                                <w:rPr>
                                  <w:rFonts w:ascii="Arial"/>
                                  <w:color w:val="FFFFFF"/>
                                  <w:spacing w:val="19"/>
                                  <w:sz w:val="33"/>
                                </w:rPr>
                                <w:t> </w:t>
                              </w:r>
                              <w:r>
                                <w:rPr>
                                  <w:rFonts w:ascii="Arial"/>
                                  <w:color w:val="FFFFFF"/>
                                  <w:sz w:val="33"/>
                                </w:rPr>
                                <w:t>Reasons</w:t>
                              </w:r>
                              <w:r>
                                <w:rPr>
                                  <w:rFonts w:ascii="Arial"/>
                                  <w:color w:val="FFFFFF"/>
                                  <w:spacing w:val="20"/>
                                  <w:sz w:val="33"/>
                                </w:rPr>
                                <w:t> </w:t>
                              </w:r>
                              <w:r>
                                <w:rPr>
                                  <w:rFonts w:ascii="Arial"/>
                                  <w:color w:val="FFFFFF"/>
                                  <w:sz w:val="33"/>
                                </w:rPr>
                                <w:t>to</w:t>
                              </w:r>
                              <w:r>
                                <w:rPr>
                                  <w:rFonts w:ascii="Arial"/>
                                  <w:color w:val="FFFFFF"/>
                                  <w:spacing w:val="19"/>
                                  <w:sz w:val="33"/>
                                </w:rPr>
                                <w:t> </w:t>
                              </w:r>
                              <w:r>
                                <w:rPr>
                                  <w:rFonts w:ascii="Arial"/>
                                  <w:color w:val="FFFFFF"/>
                                  <w:sz w:val="33"/>
                                </w:rPr>
                                <w:t>Measure</w:t>
                              </w:r>
                              <w:r>
                                <w:rPr>
                                  <w:rFonts w:ascii="Arial"/>
                                  <w:color w:val="FFFFFF"/>
                                  <w:spacing w:val="19"/>
                                  <w:sz w:val="33"/>
                                </w:rPr>
                                <w:t> </w:t>
                              </w:r>
                              <w:r>
                                <w:rPr>
                                  <w:rFonts w:ascii="Arial"/>
                                  <w:color w:val="FFFFFF"/>
                                  <w:sz w:val="33"/>
                                </w:rPr>
                                <w:t>Bone</w:t>
                              </w:r>
                              <w:r>
                                <w:rPr>
                                  <w:rFonts w:ascii="Arial"/>
                                  <w:color w:val="FFFFFF"/>
                                  <w:spacing w:val="20"/>
                                  <w:sz w:val="33"/>
                                </w:rPr>
                                <w:t> </w:t>
                              </w:r>
                              <w:r>
                                <w:rPr>
                                  <w:rFonts w:ascii="Arial"/>
                                  <w:color w:val="FFFFFF"/>
                                  <w:spacing w:val="-4"/>
                                  <w:sz w:val="33"/>
                                </w:rPr>
                                <w:t>Mass</w:t>
                              </w:r>
                            </w:p>
                          </w:txbxContent>
                        </wps:txbx>
                        <wps:bodyPr wrap="square" lIns="0" tIns="0" rIns="0" bIns="0" rtlCol="0">
                          <a:noAutofit/>
                        </wps:bodyPr>
                      </wps:wsp>
                    </wpg:wgp>
                  </a:graphicData>
                </a:graphic>
              </wp:anchor>
            </w:drawing>
          </mc:Choice>
          <mc:Fallback>
            <w:pict>
              <v:group style="position:absolute;margin-left:77.25pt;margin-top:18.373573pt;width:457.5pt;height:265.5pt;mso-position-horizontal-relative:page;mso-position-vertical-relative:paragraph;z-index:-15718912;mso-wrap-distance-left:0;mso-wrap-distance-right:0" id="docshapegroup13" coordorigin="1545,367" coordsize="9150,5310">
                <v:rect style="position:absolute;left:1545;top:367;width:9150;height:30" id="docshape14" filled="true" fillcolor="#d5e699" stroked="false">
                  <v:fill type="solid"/>
                </v:rect>
                <v:rect style="position:absolute;left:1545;top:1537;width:9150;height:4140" id="docshape15" filled="true" fillcolor="#e9f1cd" stroked="false">
                  <v:fill type="solid"/>
                </v:rect>
                <v:rect style="position:absolute;left:1545;top:457;width:9150;height:1080" id="docshape16" filled="true" fillcolor="#2b816f" stroked="false">
                  <v:fill type="solid"/>
                </v:rect>
                <v:shape style="position:absolute;left:1875;top:727;width:585;height:90" id="docshape17" coordorigin="1875,727" coordsize="585,90" path="m1926,817l1914,817,1908,816,1897,812,1892,808,1884,800,1881,795,1876,784,1875,778,1875,767,1876,761,1881,750,1884,745,1892,736,1897,733,1908,729,1914,727,1926,727,1932,729,1943,733,1948,736,1956,745,1959,750,1964,761,1965,767,1965,778,1964,784,1959,795,1956,800,1948,808,1943,812,1932,816,1926,817xm2091,817l2079,817,2073,816,2062,812,2057,808,2049,800,2046,795,2041,784,2040,778,2040,767,2041,761,2046,750,2049,745,2057,736,2062,733,2073,729,2079,727,2091,727,2097,729,2108,733,2112,736,2121,745,2124,750,2129,761,2130,767,2130,778,2129,784,2124,795,2121,800,2112,808,2108,812,2097,816,2091,817xm2256,817l2244,817,2238,816,2227,812,2222,808,2214,800,2210,795,2206,784,2205,778,2205,767,2206,761,2210,750,2214,745,2222,736,2227,733,2238,729,2244,727,2256,727,2261,729,2272,733,2277,736,2286,745,2289,750,2294,761,2295,767,2295,778,2294,784,2289,795,2286,800,2277,808,2272,812,2261,816,2256,817xm2421,817l2409,817,2403,816,2392,812,2387,808,2379,800,2375,795,2371,784,2370,778,2370,767,2371,761,2375,750,2379,745,2387,736,2392,733,2403,729,2409,727,2421,727,2426,729,2437,733,2442,736,2451,745,2454,750,2458,761,2460,767,2460,778,2458,784,2454,795,2451,800,2442,808,2437,812,2426,816,2421,817xe" filled="true" fillcolor="#d0e399" stroked="false">
                  <v:path arrowok="t"/>
                  <v:fill type="solid"/>
                </v:shape>
                <v:shape style="position:absolute;left:1754;top:1942;width:75;height:2505" id="docshape18" coordorigin="1755,1942" coordsize="75,2505" path="m1830,4405l1829,4400,1825,4391,1823,4387,1816,4380,1811,4377,1802,4373,1797,4372,1788,4372,1783,4373,1774,4377,1769,4380,1762,4387,1760,4391,1756,4400,1755,4405,1755,4415,1756,4420,1760,4429,1762,4433,1769,4440,1774,4443,1783,4446,1788,4447,1797,4447,1802,4446,1811,4443,1816,4440,1823,4433,1825,4429,1829,4420,1830,4415,1830,4410,1830,4405xm1830,3865l1829,3860,1825,3851,1823,3847,1816,3840,1811,3837,1802,3833,1797,3832,1788,3832,1783,3833,1774,3837,1769,3840,1762,3847,1760,3851,1756,3860,1755,3865,1755,3875,1756,3880,1760,3889,1762,3893,1769,3900,1774,3903,1783,3907,1788,3907,1797,3907,1802,3907,1811,3903,1816,3900,1823,3893,1825,3889,1829,3880,1830,3875,1830,3870,1830,3865xm1830,3325l1829,3320,1825,3311,1823,3307,1816,3300,1811,3297,1802,3293,1797,3292,1788,3292,1783,3293,1774,3297,1769,3300,1762,3307,1760,3311,1756,3320,1755,3325,1755,3335,1756,3340,1760,3349,1762,3353,1769,3360,1774,3363,1783,3366,1788,3367,1797,3367,1802,3366,1811,3363,1816,3360,1823,3353,1825,3349,1829,3340,1830,3335,1830,3330,1830,3325xm1830,2785l1829,2780,1825,2771,1823,2767,1816,2760,1811,2757,1802,2753,1797,2752,1788,2752,1783,2753,1774,2757,1769,2760,1762,2767,1760,2771,1756,2780,1755,2785,1755,2795,1756,2800,1760,2809,1762,2813,1769,2820,1774,2823,1783,2827,1788,2827,1797,2827,1802,2827,1811,2823,1816,2820,1823,2813,1825,2809,1829,2800,1830,2795,1830,2790,1830,2785xm1830,2245l1829,2240,1825,2231,1823,2227,1816,2220,1811,2217,1802,2213,1797,2212,1788,2212,1783,2213,1774,2217,1769,2220,1762,2227,1760,2231,1756,2240,1755,2245,1755,2255,1756,2260,1760,2269,1762,2273,1769,2280,1774,2283,1783,2287,1788,2287,1797,2287,1802,2287,1811,2283,1816,2280,1823,2273,1825,2269,1829,2260,1830,2255,1830,2250,1830,2245xm1830,1975l1829,1970,1825,1961,1823,1957,1816,1950,1811,1947,1802,1943,1797,1942,1788,1942,1783,1943,1774,1947,1769,1950,1762,1957,1760,1961,1756,1970,1755,1975,1755,1985,1756,1990,1760,1999,1762,2003,1769,2010,1774,2013,1783,2016,1788,2017,1797,2017,1802,2016,1811,2013,1816,2010,1823,2003,1825,1999,1829,1990,1830,1985,1830,1980,1830,1975xe" filled="true" fillcolor="#2b816f" stroked="false">
                  <v:path arrowok="t"/>
                  <v:fill type="solid"/>
                </v:shape>
                <v:shape style="position:absolute;left:1545;top:1537;width:9150;height:4140" type="#_x0000_t202" id="docshape19" filled="false" stroked="false">
                  <v:textbox inset="0,0,0,0">
                    <w:txbxContent>
                      <w:p>
                        <w:pPr>
                          <w:spacing w:line="240" w:lineRule="auto" w:before="51"/>
                          <w:rPr>
                            <w:sz w:val="22"/>
                          </w:rPr>
                        </w:pPr>
                      </w:p>
                      <w:p>
                        <w:pPr>
                          <w:spacing w:line="256" w:lineRule="auto" w:before="0"/>
                          <w:ind w:left="444" w:right="743" w:firstLine="0"/>
                          <w:jc w:val="both"/>
                          <w:rPr>
                            <w:sz w:val="22"/>
                          </w:rPr>
                        </w:pPr>
                        <w:r>
                          <w:rPr>
                            <w:sz w:val="22"/>
                          </w:rPr>
                          <w:t>To help patients make decisions regarding initiating treatment, such as hormone therapy To</w:t>
                        </w:r>
                        <w:r>
                          <w:rPr>
                            <w:spacing w:val="40"/>
                            <w:sz w:val="22"/>
                          </w:rPr>
                          <w:t> </w:t>
                        </w:r>
                        <w:r>
                          <w:rPr>
                            <w:sz w:val="22"/>
                          </w:rPr>
                          <w:t>assess</w:t>
                        </w:r>
                        <w:r>
                          <w:rPr>
                            <w:spacing w:val="40"/>
                            <w:sz w:val="22"/>
                          </w:rPr>
                          <w:t> </w:t>
                        </w:r>
                        <w:r>
                          <w:rPr>
                            <w:sz w:val="22"/>
                          </w:rPr>
                          <w:t>response</w:t>
                        </w:r>
                        <w:r>
                          <w:rPr>
                            <w:spacing w:val="40"/>
                            <w:sz w:val="22"/>
                          </w:rPr>
                          <w:t> </w:t>
                        </w:r>
                        <w:r>
                          <w:rPr>
                            <w:sz w:val="22"/>
                          </w:rPr>
                          <w:t>to</w:t>
                        </w:r>
                        <w:r>
                          <w:rPr>
                            <w:spacing w:val="40"/>
                            <w:sz w:val="22"/>
                          </w:rPr>
                          <w:t> </w:t>
                        </w:r>
                        <w:r>
                          <w:rPr>
                            <w:sz w:val="22"/>
                          </w:rPr>
                          <w:t>therapy</w:t>
                        </w:r>
                        <w:r>
                          <w:rPr>
                            <w:spacing w:val="40"/>
                            <w:sz w:val="22"/>
                          </w:rPr>
                          <w:t> </w:t>
                        </w:r>
                        <w:r>
                          <w:rPr>
                            <w:sz w:val="22"/>
                          </w:rPr>
                          <w:t>in</w:t>
                        </w:r>
                        <w:r>
                          <w:rPr>
                            <w:spacing w:val="40"/>
                            <w:sz w:val="22"/>
                          </w:rPr>
                          <w:t> </w:t>
                        </w:r>
                        <w:r>
                          <w:rPr>
                            <w:sz w:val="22"/>
                          </w:rPr>
                          <w:t>selected</w:t>
                        </w:r>
                        <w:r>
                          <w:rPr>
                            <w:spacing w:val="40"/>
                            <w:sz w:val="22"/>
                          </w:rPr>
                          <w:t> </w:t>
                        </w:r>
                        <w:r>
                          <w:rPr>
                            <w:sz w:val="22"/>
                          </w:rPr>
                          <w:t>patients,</w:t>
                        </w:r>
                        <w:r>
                          <w:rPr>
                            <w:spacing w:val="40"/>
                            <w:sz w:val="22"/>
                          </w:rPr>
                          <w:t> </w:t>
                        </w:r>
                        <w:r>
                          <w:rPr>
                            <w:sz w:val="22"/>
                          </w:rPr>
                          <w:t>for</w:t>
                        </w:r>
                        <w:r>
                          <w:rPr>
                            <w:spacing w:val="40"/>
                            <w:sz w:val="22"/>
                          </w:rPr>
                          <w:t> </w:t>
                        </w:r>
                        <w:r>
                          <w:rPr>
                            <w:sz w:val="22"/>
                          </w:rPr>
                          <w:t>example,</w:t>
                        </w:r>
                        <w:r>
                          <w:rPr>
                            <w:spacing w:val="40"/>
                            <w:sz w:val="22"/>
                          </w:rPr>
                          <w:t> </w:t>
                        </w:r>
                        <w:r>
                          <w:rPr>
                            <w:sz w:val="22"/>
                          </w:rPr>
                          <w:t>smokers</w:t>
                        </w:r>
                        <w:r>
                          <w:rPr>
                            <w:spacing w:val="40"/>
                            <w:sz w:val="22"/>
                          </w:rPr>
                          <w:t> </w:t>
                        </w:r>
                        <w:r>
                          <w:rPr>
                            <w:sz w:val="22"/>
                          </w:rPr>
                          <w:t>and</w:t>
                        </w:r>
                        <w:r>
                          <w:rPr>
                            <w:spacing w:val="40"/>
                            <w:sz w:val="22"/>
                          </w:rPr>
                          <w:t> </w:t>
                        </w:r>
                        <w:r>
                          <w:rPr>
                            <w:sz w:val="22"/>
                          </w:rPr>
                          <w:t>women with eating disorders</w:t>
                        </w:r>
                      </w:p>
                      <w:p>
                        <w:pPr>
                          <w:spacing w:line="256" w:lineRule="auto" w:before="0"/>
                          <w:ind w:left="444" w:right="749" w:firstLine="0"/>
                          <w:jc w:val="both"/>
                          <w:rPr>
                            <w:sz w:val="22"/>
                          </w:rPr>
                        </w:pPr>
                        <w:r>
                          <w:rPr>
                            <w:sz w:val="22"/>
                          </w:rPr>
                          <w:t>To assess bone mass in patients being treated long term with glucocorticoids, </w:t>
                        </w:r>
                        <w:r>
                          <w:rPr>
                            <w:sz w:val="22"/>
                          </w:rPr>
                          <w:t>thyroid hormone, anticonvulsants, or heparin</w:t>
                        </w:r>
                      </w:p>
                      <w:p>
                        <w:pPr>
                          <w:spacing w:line="256" w:lineRule="auto" w:before="0"/>
                          <w:ind w:left="444" w:right="756" w:firstLine="0"/>
                          <w:jc w:val="both"/>
                          <w:rPr>
                            <w:sz w:val="22"/>
                          </w:rPr>
                        </w:pPr>
                        <w:r>
                          <w:rPr>
                            <w:sz w:val="22"/>
                          </w:rPr>
                          <w:t>To confirm the diagnosis and assess the severity of osteoporosis to aid in </w:t>
                        </w:r>
                        <w:r>
                          <w:rPr>
                            <w:sz w:val="22"/>
                          </w:rPr>
                          <w:t>treatment decisions and to monitor efficacy of therapy</w:t>
                        </w:r>
                      </w:p>
                      <w:p>
                        <w:pPr>
                          <w:spacing w:line="256" w:lineRule="auto" w:before="0"/>
                          <w:ind w:left="444" w:right="751" w:firstLine="0"/>
                          <w:jc w:val="both"/>
                          <w:rPr>
                            <w:sz w:val="22"/>
                          </w:rPr>
                        </w:pPr>
                        <w:r>
                          <w:rPr>
                            <w:sz w:val="22"/>
                          </w:rPr>
                          <w:t>To assess bone mass in postmenopausal women who present with fractures, who </w:t>
                        </w:r>
                        <w:r>
                          <w:rPr>
                            <w:sz w:val="22"/>
                          </w:rPr>
                          <w:t>have</w:t>
                        </w:r>
                        <w:r>
                          <w:rPr>
                            <w:spacing w:val="80"/>
                            <w:sz w:val="22"/>
                          </w:rPr>
                          <w:t> </w:t>
                        </w:r>
                        <w:r>
                          <w:rPr>
                            <w:sz w:val="22"/>
                          </w:rPr>
                          <w:t>one or more risk factors for osteoporosis, or who are over age 65</w:t>
                        </w:r>
                      </w:p>
                      <w:p>
                        <w:pPr>
                          <w:spacing w:line="256" w:lineRule="auto" w:before="0"/>
                          <w:ind w:left="444" w:right="746" w:firstLine="0"/>
                          <w:jc w:val="both"/>
                          <w:rPr>
                            <w:sz w:val="22"/>
                          </w:rPr>
                        </w:pPr>
                        <w:r>
                          <w:rPr>
                            <w:sz w:val="22"/>
                          </w:rPr>
                          <w:t>To assess for vertebral body fractures if a decrease in standing height is documented in excess of 2-3 cm (&gt;1 inch) raise concerns regarding the possibility of underlying </w:t>
                        </w:r>
                        <w:r>
                          <w:rPr>
                            <w:spacing w:val="-2"/>
                            <w:sz w:val="22"/>
                          </w:rPr>
                          <w:t>osteoporosis</w:t>
                        </w:r>
                      </w:p>
                    </w:txbxContent>
                  </v:textbox>
                  <w10:wrap type="none"/>
                </v:shape>
                <v:shape style="position:absolute;left:1545;top:457;width:9150;height:1080" type="#_x0000_t202" id="docshape20" filled="false" stroked="false">
                  <v:textbox inset="0,0,0,0">
                    <w:txbxContent>
                      <w:p>
                        <w:pPr>
                          <w:spacing w:before="350"/>
                          <w:ind w:left="332" w:right="0" w:firstLine="0"/>
                          <w:jc w:val="left"/>
                          <w:rPr>
                            <w:rFonts w:ascii="Arial"/>
                            <w:sz w:val="33"/>
                          </w:rPr>
                        </w:pPr>
                        <w:r>
                          <w:rPr>
                            <w:rFonts w:ascii="Arial"/>
                            <w:color w:val="FFFFFF"/>
                            <w:sz w:val="33"/>
                          </w:rPr>
                          <w:t>Key</w:t>
                        </w:r>
                        <w:r>
                          <w:rPr>
                            <w:rFonts w:ascii="Arial"/>
                            <w:color w:val="FFFFFF"/>
                            <w:spacing w:val="19"/>
                            <w:sz w:val="33"/>
                          </w:rPr>
                          <w:t> </w:t>
                        </w:r>
                        <w:r>
                          <w:rPr>
                            <w:rFonts w:ascii="Arial"/>
                            <w:color w:val="FFFFFF"/>
                            <w:sz w:val="33"/>
                          </w:rPr>
                          <w:t>Points:</w:t>
                        </w:r>
                        <w:r>
                          <w:rPr>
                            <w:rFonts w:ascii="Arial"/>
                            <w:color w:val="FFFFFF"/>
                            <w:spacing w:val="19"/>
                            <w:sz w:val="33"/>
                          </w:rPr>
                          <w:t> </w:t>
                        </w:r>
                        <w:r>
                          <w:rPr>
                            <w:rFonts w:ascii="Arial"/>
                            <w:color w:val="FFFFFF"/>
                            <w:sz w:val="33"/>
                          </w:rPr>
                          <w:t>Reasons</w:t>
                        </w:r>
                        <w:r>
                          <w:rPr>
                            <w:rFonts w:ascii="Arial"/>
                            <w:color w:val="FFFFFF"/>
                            <w:spacing w:val="20"/>
                            <w:sz w:val="33"/>
                          </w:rPr>
                          <w:t> </w:t>
                        </w:r>
                        <w:r>
                          <w:rPr>
                            <w:rFonts w:ascii="Arial"/>
                            <w:color w:val="FFFFFF"/>
                            <w:sz w:val="33"/>
                          </w:rPr>
                          <w:t>to</w:t>
                        </w:r>
                        <w:r>
                          <w:rPr>
                            <w:rFonts w:ascii="Arial"/>
                            <w:color w:val="FFFFFF"/>
                            <w:spacing w:val="19"/>
                            <w:sz w:val="33"/>
                          </w:rPr>
                          <w:t> </w:t>
                        </w:r>
                        <w:r>
                          <w:rPr>
                            <w:rFonts w:ascii="Arial"/>
                            <w:color w:val="FFFFFF"/>
                            <w:sz w:val="33"/>
                          </w:rPr>
                          <w:t>Measure</w:t>
                        </w:r>
                        <w:r>
                          <w:rPr>
                            <w:rFonts w:ascii="Arial"/>
                            <w:color w:val="FFFFFF"/>
                            <w:spacing w:val="19"/>
                            <w:sz w:val="33"/>
                          </w:rPr>
                          <w:t> </w:t>
                        </w:r>
                        <w:r>
                          <w:rPr>
                            <w:rFonts w:ascii="Arial"/>
                            <w:color w:val="FFFFFF"/>
                            <w:sz w:val="33"/>
                          </w:rPr>
                          <w:t>Bone</w:t>
                        </w:r>
                        <w:r>
                          <w:rPr>
                            <w:rFonts w:ascii="Arial"/>
                            <w:color w:val="FFFFFF"/>
                            <w:spacing w:val="20"/>
                            <w:sz w:val="33"/>
                          </w:rPr>
                          <w:t> </w:t>
                        </w:r>
                        <w:r>
                          <w:rPr>
                            <w:rFonts w:ascii="Arial"/>
                            <w:color w:val="FFFFFF"/>
                            <w:spacing w:val="-4"/>
                            <w:sz w:val="33"/>
                          </w:rPr>
                          <w:t>Mass</w:t>
                        </w:r>
                      </w:p>
                    </w:txbxContent>
                  </v:textbox>
                  <w10:wrap type="none"/>
                </v:shape>
                <w10:wrap type="topAndBottom"/>
              </v:group>
            </w:pict>
          </mc:Fallback>
        </mc:AlternateContent>
      </w:r>
    </w:p>
    <w:p>
      <w:pPr>
        <w:pStyle w:val="BodyText"/>
        <w:spacing w:before="0"/>
        <w:ind w:left="0"/>
        <w:jc w:val="left"/>
      </w:pPr>
    </w:p>
    <w:p>
      <w:pPr>
        <w:pStyle w:val="BodyText"/>
        <w:spacing w:before="214"/>
        <w:ind w:left="0"/>
        <w:jc w:val="left"/>
      </w:pPr>
    </w:p>
    <w:p>
      <w:pPr>
        <w:pStyle w:val="BodyText"/>
        <w:spacing w:line="249" w:lineRule="auto" w:before="1"/>
        <w:ind w:right="99" w:firstLine="450"/>
      </w:pPr>
      <w:r>
        <w:rPr/>
        <w:t>Standard x-rays do not provide an early assessment of fracture risk;</w:t>
      </w:r>
      <w:r>
        <w:rPr>
          <w:spacing w:val="40"/>
        </w:rPr>
        <w:t> </w:t>
      </w:r>
      <w:r>
        <w:rPr/>
        <w:t>30% to 40% of bone must be lost before radiographic changes become apparent. Photon absorptiometry measures the transmission of </w:t>
      </w:r>
      <w:r>
        <w:rPr/>
        <w:t>photons through bone. Single-photon absorptiometry uses a (131)I source of energy or, more recently, miniature x-ray tubes. These methods can reliably measure bone density in the radius and the calcaneus and are relatively inexpensive.</w:t>
      </w:r>
      <w:r>
        <w:rPr>
          <w:spacing w:val="-4"/>
        </w:rPr>
        <w:t> </w:t>
      </w:r>
      <w:r>
        <w:rPr/>
        <w:t>These measurements correlate with vertebral bone density and predict the risk of future fracture, particularly in older women.</w:t>
      </w:r>
      <w:r>
        <w:rPr>
          <w:vertAlign w:val="superscript"/>
        </w:rPr>
        <w:t>84</w:t>
      </w:r>
      <w:r>
        <w:rPr>
          <w:vertAlign w:val="baseline"/>
        </w:rPr>
        <w:t> DXA employs different photons from two energy sources. DXA provides good precision for all sites of osteoporotic fractures, and the radiation dose is much less than for a standard chest x-ray. Whole-body scans by DXA can measure total body calcium, lean body mass, and fat mass. </w:t>
      </w:r>
      <w:r>
        <w:rPr>
          <w:b/>
          <w:vertAlign w:val="baseline"/>
        </w:rPr>
        <w:t>DXA (Figure 23.10) remains the gold standard technology for bone density measurement in routine clinical practice. </w:t>
      </w:r>
      <w:r>
        <w:rPr>
          <w:vertAlign w:val="baseline"/>
        </w:rPr>
        <w:t>Quantitative computed tomography</w:t>
      </w:r>
      <w:r>
        <w:rPr>
          <w:spacing w:val="1"/>
          <w:vertAlign w:val="baseline"/>
        </w:rPr>
        <w:t> </w:t>
      </w:r>
      <w:r>
        <w:rPr>
          <w:vertAlign w:val="baseline"/>
        </w:rPr>
        <w:t>(CT)</w:t>
      </w:r>
      <w:r>
        <w:rPr>
          <w:spacing w:val="1"/>
          <w:vertAlign w:val="baseline"/>
        </w:rPr>
        <w:t> </w:t>
      </w:r>
      <w:r>
        <w:rPr>
          <w:vertAlign w:val="baseline"/>
        </w:rPr>
        <w:t>for</w:t>
      </w:r>
      <w:r>
        <w:rPr>
          <w:spacing w:val="1"/>
          <w:vertAlign w:val="baseline"/>
        </w:rPr>
        <w:t> </w:t>
      </w:r>
      <w:r>
        <w:rPr>
          <w:vertAlign w:val="baseline"/>
        </w:rPr>
        <w:t>bone</w:t>
      </w:r>
      <w:r>
        <w:rPr>
          <w:spacing w:val="1"/>
          <w:vertAlign w:val="baseline"/>
        </w:rPr>
        <w:t> </w:t>
      </w:r>
      <w:r>
        <w:rPr>
          <w:vertAlign w:val="baseline"/>
        </w:rPr>
        <w:t>density</w:t>
      </w:r>
      <w:r>
        <w:rPr>
          <w:spacing w:val="1"/>
          <w:vertAlign w:val="baseline"/>
        </w:rPr>
        <w:t> </w:t>
      </w:r>
      <w:r>
        <w:rPr>
          <w:vertAlign w:val="baseline"/>
        </w:rPr>
        <w:t>measurements</w:t>
      </w:r>
      <w:r>
        <w:rPr>
          <w:spacing w:val="1"/>
          <w:vertAlign w:val="baseline"/>
        </w:rPr>
        <w:t> </w:t>
      </w:r>
      <w:r>
        <w:rPr>
          <w:vertAlign w:val="baseline"/>
        </w:rPr>
        <w:t>can</w:t>
      </w:r>
      <w:r>
        <w:rPr>
          <w:spacing w:val="1"/>
          <w:vertAlign w:val="baseline"/>
        </w:rPr>
        <w:t> </w:t>
      </w:r>
      <w:r>
        <w:rPr>
          <w:vertAlign w:val="baseline"/>
        </w:rPr>
        <w:t>be</w:t>
      </w:r>
      <w:r>
        <w:rPr>
          <w:spacing w:val="1"/>
          <w:vertAlign w:val="baseline"/>
        </w:rPr>
        <w:t> </w:t>
      </w:r>
      <w:r>
        <w:rPr>
          <w:vertAlign w:val="baseline"/>
        </w:rPr>
        <w:t>performed</w:t>
      </w:r>
      <w:r>
        <w:rPr>
          <w:spacing w:val="1"/>
          <w:vertAlign w:val="baseline"/>
        </w:rPr>
        <w:t> </w:t>
      </w:r>
      <w:r>
        <w:rPr>
          <w:vertAlign w:val="baseline"/>
        </w:rPr>
        <w:t>on</w:t>
      </w:r>
      <w:r>
        <w:rPr>
          <w:spacing w:val="1"/>
          <w:vertAlign w:val="baseline"/>
        </w:rPr>
        <w:t> </w:t>
      </w:r>
      <w:r>
        <w:rPr>
          <w:spacing w:val="-4"/>
          <w:vertAlign w:val="baseline"/>
        </w:rPr>
        <w:t>most</w:t>
      </w:r>
    </w:p>
    <w:p>
      <w:pPr>
        <w:pStyle w:val="BodyText"/>
        <w:spacing w:after="0" w:line="249" w:lineRule="auto"/>
        <w:sectPr>
          <w:pgSz w:w="12240" w:h="15840"/>
          <w:pgMar w:top="1380" w:bottom="280" w:left="1440" w:right="1440"/>
        </w:sectPr>
      </w:pPr>
    </w:p>
    <w:p>
      <w:pPr>
        <w:pStyle w:val="BodyText"/>
        <w:spacing w:line="249" w:lineRule="auto"/>
        <w:ind w:right="99"/>
      </w:pPr>
      <w:r>
        <w:rPr/>
        <w:t>commercial CT systems; however, radiation exposure is higher than </w:t>
      </w:r>
      <w:r>
        <w:rPr/>
        <w:t>with DXA, and measurements of the femur are not available, although very accurate measurements of the spine are possible.</w:t>
      </w:r>
    </w:p>
    <w:p>
      <w:pPr>
        <w:pStyle w:val="BodyText"/>
        <w:spacing w:before="0"/>
        <w:ind w:left="0"/>
        <w:jc w:val="left"/>
        <w:rPr>
          <w:sz w:val="20"/>
        </w:rPr>
      </w:pPr>
    </w:p>
    <w:p>
      <w:pPr>
        <w:pStyle w:val="BodyText"/>
        <w:spacing w:before="114"/>
        <w:ind w:left="0"/>
        <w:jc w:val="left"/>
        <w:rPr>
          <w:sz w:val="20"/>
        </w:rPr>
      </w:pPr>
      <w:r>
        <w:rPr>
          <w:sz w:val="20"/>
        </w:rPr>
        <w:drawing>
          <wp:anchor distT="0" distB="0" distL="0" distR="0" allowOverlap="1" layoutInCell="1" locked="0" behindDoc="1" simplePos="0" relativeHeight="487598080">
            <wp:simplePos x="0" y="0"/>
            <wp:positionH relativeFrom="page">
              <wp:posOffset>981075</wp:posOffset>
            </wp:positionH>
            <wp:positionV relativeFrom="paragraph">
              <wp:posOffset>234143</wp:posOffset>
            </wp:positionV>
            <wp:extent cx="5153024" cy="2990850"/>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16" cstate="print"/>
                    <a:stretch>
                      <a:fillRect/>
                    </a:stretch>
                  </pic:blipFill>
                  <pic:spPr>
                    <a:xfrm>
                      <a:off x="0" y="0"/>
                      <a:ext cx="5153024" cy="29908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98592">
                <wp:simplePos x="0" y="0"/>
                <wp:positionH relativeFrom="page">
                  <wp:posOffset>981075</wp:posOffset>
                </wp:positionH>
                <wp:positionV relativeFrom="paragraph">
                  <wp:posOffset>3415493</wp:posOffset>
                </wp:positionV>
                <wp:extent cx="932815" cy="5715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932815" cy="57150"/>
                        </a:xfrm>
                        <a:custGeom>
                          <a:avLst/>
                          <a:gdLst/>
                          <a:ahLst/>
                          <a:cxnLst/>
                          <a:rect l="l" t="t" r="r" b="b"/>
                          <a:pathLst>
                            <a:path w="932815" h="57150">
                              <a:moveTo>
                                <a:pt x="32364" y="57130"/>
                              </a:moveTo>
                              <a:lnTo>
                                <a:pt x="24785" y="57130"/>
                              </a:lnTo>
                              <a:lnTo>
                                <a:pt x="21140" y="56407"/>
                              </a:lnTo>
                              <a:lnTo>
                                <a:pt x="0" y="32346"/>
                              </a:lnTo>
                              <a:lnTo>
                                <a:pt x="0" y="24764"/>
                              </a:lnTo>
                              <a:lnTo>
                                <a:pt x="24785" y="0"/>
                              </a:lnTo>
                              <a:lnTo>
                                <a:pt x="32364" y="0"/>
                              </a:lnTo>
                              <a:lnTo>
                                <a:pt x="57149" y="24764"/>
                              </a:lnTo>
                              <a:lnTo>
                                <a:pt x="57149" y="32346"/>
                              </a:lnTo>
                              <a:lnTo>
                                <a:pt x="32364" y="57130"/>
                              </a:lnTo>
                              <a:close/>
                            </a:path>
                            <a:path w="932815" h="57150">
                              <a:moveTo>
                                <a:pt x="141806" y="57130"/>
                              </a:moveTo>
                              <a:lnTo>
                                <a:pt x="134227" y="57130"/>
                              </a:lnTo>
                              <a:lnTo>
                                <a:pt x="130582" y="56407"/>
                              </a:lnTo>
                              <a:lnTo>
                                <a:pt x="109442" y="32346"/>
                              </a:lnTo>
                              <a:lnTo>
                                <a:pt x="109442" y="24764"/>
                              </a:lnTo>
                              <a:lnTo>
                                <a:pt x="134227" y="0"/>
                              </a:lnTo>
                              <a:lnTo>
                                <a:pt x="141806" y="0"/>
                              </a:lnTo>
                              <a:lnTo>
                                <a:pt x="166592" y="24764"/>
                              </a:lnTo>
                              <a:lnTo>
                                <a:pt x="166592" y="32346"/>
                              </a:lnTo>
                              <a:lnTo>
                                <a:pt x="141806" y="57130"/>
                              </a:lnTo>
                              <a:close/>
                            </a:path>
                            <a:path w="932815" h="57150">
                              <a:moveTo>
                                <a:pt x="251248" y="57130"/>
                              </a:moveTo>
                              <a:lnTo>
                                <a:pt x="243670" y="57130"/>
                              </a:lnTo>
                              <a:lnTo>
                                <a:pt x="240025" y="56407"/>
                              </a:lnTo>
                              <a:lnTo>
                                <a:pt x="218884" y="32346"/>
                              </a:lnTo>
                              <a:lnTo>
                                <a:pt x="218884" y="24764"/>
                              </a:lnTo>
                              <a:lnTo>
                                <a:pt x="243670" y="0"/>
                              </a:lnTo>
                              <a:lnTo>
                                <a:pt x="251248" y="0"/>
                              </a:lnTo>
                              <a:lnTo>
                                <a:pt x="276034" y="24764"/>
                              </a:lnTo>
                              <a:lnTo>
                                <a:pt x="276034" y="32346"/>
                              </a:lnTo>
                              <a:lnTo>
                                <a:pt x="251248" y="57130"/>
                              </a:lnTo>
                              <a:close/>
                            </a:path>
                            <a:path w="932815" h="57150">
                              <a:moveTo>
                                <a:pt x="360691" y="57130"/>
                              </a:moveTo>
                              <a:lnTo>
                                <a:pt x="353112" y="57130"/>
                              </a:lnTo>
                              <a:lnTo>
                                <a:pt x="349467" y="56407"/>
                              </a:lnTo>
                              <a:lnTo>
                                <a:pt x="328326" y="32346"/>
                              </a:lnTo>
                              <a:lnTo>
                                <a:pt x="328326" y="24764"/>
                              </a:lnTo>
                              <a:lnTo>
                                <a:pt x="353112" y="0"/>
                              </a:lnTo>
                              <a:lnTo>
                                <a:pt x="360691" y="0"/>
                              </a:lnTo>
                              <a:lnTo>
                                <a:pt x="385476" y="24764"/>
                              </a:lnTo>
                              <a:lnTo>
                                <a:pt x="385476" y="32346"/>
                              </a:lnTo>
                              <a:lnTo>
                                <a:pt x="360691" y="57130"/>
                              </a:lnTo>
                              <a:close/>
                            </a:path>
                            <a:path w="932815" h="57150">
                              <a:moveTo>
                                <a:pt x="470133" y="57130"/>
                              </a:moveTo>
                              <a:lnTo>
                                <a:pt x="462554" y="57130"/>
                              </a:lnTo>
                              <a:lnTo>
                                <a:pt x="458909" y="56407"/>
                              </a:lnTo>
                              <a:lnTo>
                                <a:pt x="437768" y="32346"/>
                              </a:lnTo>
                              <a:lnTo>
                                <a:pt x="437768" y="24764"/>
                              </a:lnTo>
                              <a:lnTo>
                                <a:pt x="462554" y="0"/>
                              </a:lnTo>
                              <a:lnTo>
                                <a:pt x="470133" y="0"/>
                              </a:lnTo>
                              <a:lnTo>
                                <a:pt x="494918" y="24764"/>
                              </a:lnTo>
                              <a:lnTo>
                                <a:pt x="494918" y="32346"/>
                              </a:lnTo>
                              <a:lnTo>
                                <a:pt x="470133" y="57130"/>
                              </a:lnTo>
                              <a:close/>
                            </a:path>
                            <a:path w="932815" h="57150">
                              <a:moveTo>
                                <a:pt x="579575" y="57130"/>
                              </a:moveTo>
                              <a:lnTo>
                                <a:pt x="571996" y="57130"/>
                              </a:lnTo>
                              <a:lnTo>
                                <a:pt x="568351" y="56407"/>
                              </a:lnTo>
                              <a:lnTo>
                                <a:pt x="547211" y="32346"/>
                              </a:lnTo>
                              <a:lnTo>
                                <a:pt x="547211" y="24764"/>
                              </a:lnTo>
                              <a:lnTo>
                                <a:pt x="571996" y="0"/>
                              </a:lnTo>
                              <a:lnTo>
                                <a:pt x="579575" y="0"/>
                              </a:lnTo>
                              <a:lnTo>
                                <a:pt x="604361" y="24764"/>
                              </a:lnTo>
                              <a:lnTo>
                                <a:pt x="604361" y="32346"/>
                              </a:lnTo>
                              <a:lnTo>
                                <a:pt x="579575" y="57130"/>
                              </a:lnTo>
                              <a:close/>
                            </a:path>
                            <a:path w="932815" h="57150">
                              <a:moveTo>
                                <a:pt x="689017" y="57130"/>
                              </a:moveTo>
                              <a:lnTo>
                                <a:pt x="681439" y="57130"/>
                              </a:lnTo>
                              <a:lnTo>
                                <a:pt x="677794" y="56407"/>
                              </a:lnTo>
                              <a:lnTo>
                                <a:pt x="656653" y="32346"/>
                              </a:lnTo>
                              <a:lnTo>
                                <a:pt x="656653" y="24764"/>
                              </a:lnTo>
                              <a:lnTo>
                                <a:pt x="681439" y="0"/>
                              </a:lnTo>
                              <a:lnTo>
                                <a:pt x="689017" y="0"/>
                              </a:lnTo>
                              <a:lnTo>
                                <a:pt x="713803" y="24764"/>
                              </a:lnTo>
                              <a:lnTo>
                                <a:pt x="713803" y="32346"/>
                              </a:lnTo>
                              <a:lnTo>
                                <a:pt x="689017" y="57130"/>
                              </a:lnTo>
                              <a:close/>
                            </a:path>
                            <a:path w="932815" h="57150">
                              <a:moveTo>
                                <a:pt x="798459" y="57130"/>
                              </a:moveTo>
                              <a:lnTo>
                                <a:pt x="790881" y="57130"/>
                              </a:lnTo>
                              <a:lnTo>
                                <a:pt x="787236" y="56407"/>
                              </a:lnTo>
                              <a:lnTo>
                                <a:pt x="766095" y="32346"/>
                              </a:lnTo>
                              <a:lnTo>
                                <a:pt x="766095" y="24764"/>
                              </a:lnTo>
                              <a:lnTo>
                                <a:pt x="790881" y="0"/>
                              </a:lnTo>
                              <a:lnTo>
                                <a:pt x="798459" y="0"/>
                              </a:lnTo>
                              <a:lnTo>
                                <a:pt x="823245" y="24764"/>
                              </a:lnTo>
                              <a:lnTo>
                                <a:pt x="823245" y="32346"/>
                              </a:lnTo>
                              <a:lnTo>
                                <a:pt x="798459" y="57130"/>
                              </a:lnTo>
                              <a:close/>
                            </a:path>
                            <a:path w="932815" h="57150">
                              <a:moveTo>
                                <a:pt x="907902" y="57130"/>
                              </a:moveTo>
                              <a:lnTo>
                                <a:pt x="900323" y="57130"/>
                              </a:lnTo>
                              <a:lnTo>
                                <a:pt x="896678" y="56407"/>
                              </a:lnTo>
                              <a:lnTo>
                                <a:pt x="875537" y="32346"/>
                              </a:lnTo>
                              <a:lnTo>
                                <a:pt x="875537" y="24764"/>
                              </a:lnTo>
                              <a:lnTo>
                                <a:pt x="900323" y="0"/>
                              </a:lnTo>
                              <a:lnTo>
                                <a:pt x="907902" y="0"/>
                              </a:lnTo>
                              <a:lnTo>
                                <a:pt x="932687" y="24764"/>
                              </a:lnTo>
                              <a:lnTo>
                                <a:pt x="932687" y="32346"/>
                              </a:lnTo>
                              <a:lnTo>
                                <a:pt x="907902" y="57130"/>
                              </a:lnTo>
                              <a:close/>
                            </a:path>
                          </a:pathLst>
                        </a:custGeom>
                        <a:solidFill>
                          <a:srgbClr val="2B816F"/>
                        </a:solidFill>
                      </wps:spPr>
                      <wps:bodyPr wrap="square" lIns="0" tIns="0" rIns="0" bIns="0" rtlCol="0">
                        <a:prstTxWarp prst="textNoShape">
                          <a:avLst/>
                        </a:prstTxWarp>
                        <a:noAutofit/>
                      </wps:bodyPr>
                    </wps:wsp>
                  </a:graphicData>
                </a:graphic>
              </wp:anchor>
            </w:drawing>
          </mc:Choice>
          <mc:Fallback>
            <w:pict>
              <v:shape style="position:absolute;margin-left:77.25pt;margin-top:268.936523pt;width:73.45pt;height:4.5pt;mso-position-horizontal-relative:page;mso-position-vertical-relative:paragraph;z-index:-15717888;mso-wrap-distance-left:0;mso-wrap-distance-right:0" id="docshape21" coordorigin="1545,5379" coordsize="1469,90" path="m1596,5469l1584,5469,1578,5468,1567,5463,1562,5460,1554,5451,1551,5446,1546,5435,1545,5430,1545,5418,1546,5412,1551,5401,1554,5396,1562,5388,1567,5384,1578,5380,1584,5379,1596,5379,1602,5380,1613,5384,1618,5388,1626,5396,1629,5401,1634,5412,1635,5418,1635,5430,1634,5435,1629,5446,1626,5451,1618,5460,1613,5463,1602,5468,1596,5469xm1768,5469l1756,5469,1751,5468,1740,5463,1735,5460,1726,5451,1723,5446,1718,5435,1717,5430,1717,5418,1718,5412,1723,5401,1726,5396,1735,5388,1740,5384,1751,5380,1756,5379,1768,5379,1774,5380,1785,5384,1790,5388,1798,5396,1802,5401,1806,5412,1807,5418,1807,5430,1806,5435,1802,5446,1798,5451,1790,5460,1785,5463,1774,5468,1768,5469xm1941,5469l1929,5469,1923,5468,1912,5463,1907,5460,1899,5451,1895,5446,1891,5435,1890,5430,1890,5418,1891,5412,1895,5401,1899,5396,1907,5388,1912,5384,1923,5380,1929,5379,1941,5379,1946,5380,1957,5384,1962,5388,1971,5396,1974,5401,1979,5412,1980,5418,1980,5430,1979,5435,1974,5446,1971,5451,1962,5460,1957,5463,1946,5468,1941,5469xm2113,5469l2101,5469,2095,5468,2084,5463,2079,5460,2071,5451,2068,5446,2063,5435,2062,5430,2062,5418,2063,5412,2068,5401,2071,5396,2079,5388,2084,5384,2095,5380,2101,5379,2113,5379,2119,5380,2130,5384,2135,5388,2143,5396,2146,5401,2151,5412,2152,5418,2152,5430,2151,5435,2146,5446,2143,5451,2135,5460,2130,5463,2119,5468,2113,5469xm2285,5469l2273,5469,2268,5468,2257,5463,2252,5460,2243,5451,2240,5446,2236,5435,2234,5430,2234,5418,2236,5412,2240,5401,2243,5396,2252,5388,2257,5384,2268,5380,2273,5379,2285,5379,2291,5380,2302,5384,2307,5388,2315,5396,2319,5401,2323,5412,2324,5418,2324,5430,2323,5435,2319,5446,2315,5451,2307,5460,2302,5463,2291,5468,2285,5469xm2458,5469l2446,5469,2440,5468,2429,5463,2424,5460,2416,5451,2412,5446,2408,5435,2407,5430,2407,5418,2408,5412,2412,5401,2416,5396,2424,5388,2429,5384,2440,5380,2446,5379,2458,5379,2463,5380,2474,5384,2479,5388,2488,5396,2491,5401,2496,5412,2497,5418,2497,5430,2496,5435,2491,5446,2488,5451,2479,5460,2474,5463,2463,5468,2458,5469xm2630,5469l2618,5469,2612,5468,2601,5463,2596,5460,2588,5451,2585,5446,2580,5435,2579,5430,2579,5418,2580,5412,2585,5401,2588,5396,2596,5388,2601,5384,2612,5380,2618,5379,2630,5379,2636,5380,2647,5384,2652,5388,2660,5396,2663,5401,2668,5412,2669,5418,2669,5430,2668,5435,2663,5446,2660,5451,2652,5460,2647,5463,2636,5468,2630,5469xm2802,5469l2790,5469,2785,5468,2774,5463,2769,5460,2760,5451,2757,5446,2753,5435,2751,5430,2751,5418,2753,5412,2757,5401,2760,5396,2769,5388,2774,5384,2785,5380,2790,5379,2802,5379,2808,5380,2819,5384,2824,5388,2832,5396,2836,5401,2840,5412,2841,5418,2841,5430,2840,5435,2836,5446,2832,5451,2824,5460,2819,5463,2808,5468,2802,5469xm2975,5469l2963,5469,2957,5468,2946,5463,2941,5460,2933,5451,2930,5446,2925,5435,2924,5430,2924,5418,2925,5412,2930,5401,2933,5396,2941,5388,2946,5384,2957,5380,2963,5379,2975,5379,2981,5380,2992,5384,2996,5388,3005,5396,3008,5401,3013,5412,3014,5418,3014,5430,3013,5435,3008,5446,3005,5451,2996,5460,2992,5463,2981,5468,2975,5469xe" filled="true" fillcolor="#2b816f" stroked="false">
                <v:path arrowok="t"/>
                <v:fill type="solid"/>
                <w10:wrap type="topAndBottom"/>
              </v:shape>
            </w:pict>
          </mc:Fallback>
        </mc:AlternateContent>
      </w:r>
    </w:p>
    <w:p>
      <w:pPr>
        <w:pStyle w:val="BodyText"/>
        <w:spacing w:before="46"/>
        <w:ind w:left="0"/>
        <w:jc w:val="left"/>
        <w:rPr>
          <w:sz w:val="20"/>
        </w:rPr>
      </w:pPr>
    </w:p>
    <w:p>
      <w:pPr>
        <w:spacing w:before="78"/>
        <w:ind w:left="99" w:right="0" w:firstLine="0"/>
        <w:jc w:val="left"/>
        <w:rPr>
          <w:rFonts w:ascii="Arial"/>
          <w:b/>
          <w:sz w:val="22"/>
        </w:rPr>
      </w:pPr>
      <w:r>
        <w:rPr>
          <w:rFonts w:ascii="Arial"/>
          <w:b/>
          <w:color w:val="2B816F"/>
          <w:sz w:val="22"/>
        </w:rPr>
        <w:t>FIGURE</w:t>
      </w:r>
      <w:r>
        <w:rPr>
          <w:rFonts w:ascii="Arial"/>
          <w:b/>
          <w:color w:val="2B816F"/>
          <w:spacing w:val="17"/>
          <w:sz w:val="22"/>
        </w:rPr>
        <w:t> </w:t>
      </w:r>
      <w:r>
        <w:rPr>
          <w:rFonts w:ascii="Arial"/>
          <w:b/>
          <w:color w:val="2B816F"/>
          <w:spacing w:val="-4"/>
          <w:sz w:val="22"/>
        </w:rPr>
        <w:t>23.10</w:t>
      </w:r>
    </w:p>
    <w:p>
      <w:pPr>
        <w:pStyle w:val="BodyText"/>
        <w:spacing w:before="216"/>
        <w:ind w:left="0"/>
        <w:jc w:val="left"/>
        <w:rPr>
          <w:rFonts w:ascii="Arial"/>
          <w:b/>
          <w:sz w:val="22"/>
        </w:rPr>
      </w:pPr>
    </w:p>
    <w:p>
      <w:pPr>
        <w:pStyle w:val="BodyText"/>
        <w:spacing w:line="249" w:lineRule="auto" w:before="0"/>
        <w:ind w:right="98" w:firstLine="450"/>
      </w:pPr>
      <w:r>
        <w:rPr/>
        <w:t>For high precision, the best information is provided by the DXA technique (together with sophisticated software to give a precision of 1%), measuring the three sites of greatest interest, the radius, the hip, and the spine.</w:t>
      </w:r>
      <w:r>
        <w:rPr>
          <w:vertAlign w:val="superscript"/>
        </w:rPr>
        <w:t>88</w:t>
      </w:r>
      <w:r>
        <w:rPr>
          <w:vertAlign w:val="baseline"/>
        </w:rPr>
        <w:t> Better accuracy is gained by three-site assessments because there can</w:t>
      </w:r>
      <w:r>
        <w:rPr>
          <w:spacing w:val="-1"/>
          <w:vertAlign w:val="baseline"/>
        </w:rPr>
        <w:t> </w:t>
      </w:r>
      <w:r>
        <w:rPr>
          <w:vertAlign w:val="baseline"/>
        </w:rPr>
        <w:t>be</w:t>
      </w:r>
      <w:r>
        <w:rPr>
          <w:spacing w:val="-1"/>
          <w:vertAlign w:val="baseline"/>
        </w:rPr>
        <w:t> </w:t>
      </w:r>
      <w:r>
        <w:rPr>
          <w:vertAlign w:val="baseline"/>
        </w:rPr>
        <w:t>differences</w:t>
      </w:r>
      <w:r>
        <w:rPr>
          <w:spacing w:val="-1"/>
          <w:vertAlign w:val="baseline"/>
        </w:rPr>
        <w:t> </w:t>
      </w:r>
      <w:r>
        <w:rPr>
          <w:vertAlign w:val="baseline"/>
        </w:rPr>
        <w:t>among</w:t>
      </w:r>
      <w:r>
        <w:rPr>
          <w:spacing w:val="-1"/>
          <w:vertAlign w:val="baseline"/>
        </w:rPr>
        <w:t> </w:t>
      </w:r>
      <w:r>
        <w:rPr>
          <w:vertAlign w:val="baseline"/>
        </w:rPr>
        <w:t>the</w:t>
      </w:r>
      <w:r>
        <w:rPr>
          <w:spacing w:val="-1"/>
          <w:vertAlign w:val="baseline"/>
        </w:rPr>
        <w:t> </w:t>
      </w:r>
      <w:r>
        <w:rPr>
          <w:vertAlign w:val="baseline"/>
        </w:rPr>
        <w:t>anatomic</w:t>
      </w:r>
      <w:r>
        <w:rPr>
          <w:spacing w:val="-1"/>
          <w:vertAlign w:val="baseline"/>
        </w:rPr>
        <w:t> </w:t>
      </w:r>
      <w:r>
        <w:rPr>
          <w:vertAlign w:val="baseline"/>
        </w:rPr>
        <w:t>sites.</w:t>
      </w:r>
      <w:r>
        <w:rPr>
          <w:spacing w:val="-1"/>
          <w:vertAlign w:val="baseline"/>
        </w:rPr>
        <w:t> </w:t>
      </w:r>
      <w:r>
        <w:rPr>
          <w:vertAlign w:val="baseline"/>
        </w:rPr>
        <w:t>In</w:t>
      </w:r>
      <w:r>
        <w:rPr>
          <w:spacing w:val="-1"/>
          <w:vertAlign w:val="baseline"/>
        </w:rPr>
        <w:t> </w:t>
      </w:r>
      <w:r>
        <w:rPr>
          <w:vertAlign w:val="baseline"/>
        </w:rPr>
        <w:t>other</w:t>
      </w:r>
      <w:r>
        <w:rPr>
          <w:spacing w:val="-1"/>
          <w:vertAlign w:val="baseline"/>
        </w:rPr>
        <w:t> </w:t>
      </w:r>
      <w:r>
        <w:rPr>
          <w:vertAlign w:val="baseline"/>
        </w:rPr>
        <w:t>words,</w:t>
      </w:r>
      <w:r>
        <w:rPr>
          <w:spacing w:val="-1"/>
          <w:vertAlign w:val="baseline"/>
        </w:rPr>
        <w:t> </w:t>
      </w:r>
      <w:r>
        <w:rPr>
          <w:vertAlign w:val="baseline"/>
        </w:rPr>
        <w:t>a</w:t>
      </w:r>
      <w:r>
        <w:rPr>
          <w:spacing w:val="-1"/>
          <w:vertAlign w:val="baseline"/>
        </w:rPr>
        <w:t> </w:t>
      </w:r>
      <w:r>
        <w:rPr>
          <w:vertAlign w:val="baseline"/>
        </w:rPr>
        <w:t>normal</w:t>
      </w:r>
      <w:r>
        <w:rPr>
          <w:spacing w:val="-1"/>
          <w:vertAlign w:val="baseline"/>
        </w:rPr>
        <w:t> </w:t>
      </w:r>
      <w:r>
        <w:rPr>
          <w:vertAlign w:val="baseline"/>
        </w:rPr>
        <w:t>value at one site does not preclude a low bone density at another site. </w:t>
      </w:r>
      <w:r>
        <w:rPr>
          <w:vertAlign w:val="baseline"/>
        </w:rPr>
        <w:t>For</w:t>
      </w:r>
      <w:r>
        <w:rPr>
          <w:spacing w:val="40"/>
          <w:vertAlign w:val="baseline"/>
        </w:rPr>
        <w:t> </w:t>
      </w:r>
      <w:r>
        <w:rPr>
          <w:vertAlign w:val="baseline"/>
        </w:rPr>
        <w:t>practical clinical use (and for screening), measurements are made at the lumbar spine, the hip, and the femoral neck. Serial measurements are best made at least 2 years apart to allow meaningful interpretation of interval data. Measurement of the bone density at the radius or calcaneus is more cost-effective, using single-source x-ray absorptiometry, and can be used</w:t>
      </w:r>
      <w:r>
        <w:rPr>
          <w:spacing w:val="40"/>
          <w:vertAlign w:val="baseline"/>
        </w:rPr>
        <w:t> </w:t>
      </w:r>
      <w:r>
        <w:rPr>
          <w:vertAlign w:val="baseline"/>
        </w:rPr>
        <w:t>for screening. It is anticipated that ultrasonography will prove to be a low-cost, effective method for bone mass assessment, particularly in high-risk populations.</w:t>
      </w:r>
      <w:r>
        <w:rPr>
          <w:vertAlign w:val="superscript"/>
        </w:rPr>
        <w:t>89</w:t>
      </w:r>
      <w:r>
        <w:rPr>
          <w:spacing w:val="36"/>
          <w:vertAlign w:val="baseline"/>
        </w:rPr>
        <w:t> </w:t>
      </w:r>
      <w:r>
        <w:rPr>
          <w:vertAlign w:val="baseline"/>
        </w:rPr>
        <w:t>Ultrasonographic</w:t>
      </w:r>
      <w:r>
        <w:rPr>
          <w:spacing w:val="36"/>
          <w:vertAlign w:val="baseline"/>
        </w:rPr>
        <w:t> </w:t>
      </w:r>
      <w:r>
        <w:rPr>
          <w:vertAlign w:val="baseline"/>
        </w:rPr>
        <w:t>measurements</w:t>
      </w:r>
      <w:r>
        <w:rPr>
          <w:spacing w:val="36"/>
          <w:vertAlign w:val="baseline"/>
        </w:rPr>
        <w:t> </w:t>
      </w:r>
      <w:r>
        <w:rPr>
          <w:vertAlign w:val="baseline"/>
        </w:rPr>
        <w:t>of</w:t>
      </w:r>
      <w:r>
        <w:rPr>
          <w:spacing w:val="36"/>
          <w:vertAlign w:val="baseline"/>
        </w:rPr>
        <w:t> </w:t>
      </w:r>
      <w:r>
        <w:rPr>
          <w:vertAlign w:val="baseline"/>
        </w:rPr>
        <w:t>the</w:t>
      </w:r>
      <w:r>
        <w:rPr>
          <w:spacing w:val="36"/>
          <w:vertAlign w:val="baseline"/>
        </w:rPr>
        <w:t> </w:t>
      </w:r>
      <w:r>
        <w:rPr>
          <w:vertAlign w:val="baseline"/>
        </w:rPr>
        <w:t>calcaneus</w:t>
      </w:r>
      <w:r>
        <w:rPr>
          <w:spacing w:val="36"/>
          <w:vertAlign w:val="baseline"/>
        </w:rPr>
        <w:t> </w:t>
      </w:r>
      <w:r>
        <w:rPr>
          <w:vertAlign w:val="baseline"/>
        </w:rPr>
        <w:t>have</w:t>
      </w:r>
      <w:r>
        <w:rPr>
          <w:spacing w:val="36"/>
          <w:vertAlign w:val="baseline"/>
        </w:rPr>
        <w:t> </w:t>
      </w:r>
      <w:r>
        <w:rPr>
          <w:spacing w:val="-4"/>
          <w:vertAlign w:val="baseline"/>
        </w:rPr>
        <w:t>been</w:t>
      </w:r>
    </w:p>
    <w:p>
      <w:pPr>
        <w:pStyle w:val="BodyText"/>
        <w:spacing w:after="0" w:line="249" w:lineRule="auto"/>
        <w:sectPr>
          <w:pgSz w:w="12240" w:h="15840"/>
          <w:pgMar w:top="1380" w:bottom="280" w:left="1440" w:right="1440"/>
        </w:sectPr>
      </w:pPr>
    </w:p>
    <w:p>
      <w:pPr>
        <w:pStyle w:val="BodyText"/>
        <w:spacing w:line="249" w:lineRule="auto"/>
        <w:ind w:right="104"/>
      </w:pPr>
      <w:r>
        <w:rPr/>
        <w:t>reported to be as accurate as femoral neck measurements by DXA </w:t>
      </w:r>
      <w:r>
        <w:rPr/>
        <w:t>in predicting the risk of hip fractures.</w:t>
      </w:r>
      <w:r>
        <w:rPr>
          <w:vertAlign w:val="superscript"/>
        </w:rPr>
        <w:t>90,91</w:t>
      </w:r>
      <w:r>
        <w:rPr>
          <w:vertAlign w:val="baseline"/>
        </w:rPr>
        <w:t> However, peripheral measurements are not accurate for monitoring response to treatment.</w:t>
      </w:r>
    </w:p>
    <w:p>
      <w:pPr>
        <w:spacing w:before="302"/>
        <w:ind w:left="99" w:right="0" w:firstLine="0"/>
        <w:jc w:val="both"/>
        <w:rPr>
          <w:b/>
          <w:sz w:val="22"/>
        </w:rPr>
      </w:pPr>
      <w:r>
        <w:rPr>
          <w:rFonts w:ascii="Arial"/>
          <w:b/>
          <w:i/>
          <w:color w:val="A0234E"/>
          <w:sz w:val="22"/>
        </w:rPr>
        <w:t>Terminology</w:t>
      </w:r>
      <w:r>
        <w:rPr>
          <w:rFonts w:ascii="Arial"/>
          <w:b/>
          <w:i/>
          <w:color w:val="A0234E"/>
          <w:spacing w:val="5"/>
          <w:sz w:val="22"/>
        </w:rPr>
        <w:t> </w:t>
      </w:r>
      <w:r>
        <w:rPr>
          <w:b/>
          <w:color w:val="2B816F"/>
          <w:sz w:val="22"/>
        </w:rPr>
        <w:t>(Table</w:t>
      </w:r>
      <w:r>
        <w:rPr>
          <w:b/>
          <w:color w:val="2B816F"/>
          <w:spacing w:val="5"/>
          <w:sz w:val="22"/>
        </w:rPr>
        <w:t> </w:t>
      </w:r>
      <w:r>
        <w:rPr>
          <w:b/>
          <w:color w:val="2B816F"/>
          <w:spacing w:val="-2"/>
          <w:sz w:val="22"/>
        </w:rPr>
        <w:t>23.1)</w:t>
      </w:r>
    </w:p>
    <w:p>
      <w:pPr>
        <w:pStyle w:val="BodyText"/>
        <w:spacing w:before="19"/>
        <w:ind w:left="0"/>
        <w:jc w:val="left"/>
        <w:rPr>
          <w:b/>
          <w:sz w:val="22"/>
        </w:rPr>
      </w:pPr>
    </w:p>
    <w:p>
      <w:pPr>
        <w:pStyle w:val="ListParagraph"/>
        <w:numPr>
          <w:ilvl w:val="0"/>
          <w:numId w:val="3"/>
        </w:numPr>
        <w:tabs>
          <w:tab w:pos="399" w:val="left" w:leader="none"/>
        </w:tabs>
        <w:spacing w:line="266" w:lineRule="auto" w:before="0" w:after="0"/>
        <w:ind w:left="399" w:right="102" w:hanging="280"/>
        <w:jc w:val="both"/>
        <w:rPr>
          <w:b/>
          <w:sz w:val="30"/>
        </w:rPr>
      </w:pPr>
      <w:r>
        <w:rPr>
          <w:b/>
          <w:i/>
          <w:sz w:val="30"/>
        </w:rPr>
        <w:t>T</w:t>
      </w:r>
      <w:r>
        <w:rPr>
          <w:b/>
          <w:sz w:val="30"/>
        </w:rPr>
        <w:t>-score: Standard deviations between patient and average </w:t>
      </w:r>
      <w:r>
        <w:rPr>
          <w:b/>
          <w:sz w:val="30"/>
        </w:rPr>
        <w:t>peak young adult bone mass. The more negative the score, the greater the risk of fracture.</w:t>
      </w:r>
    </w:p>
    <w:p>
      <w:pPr>
        <w:pStyle w:val="ListParagraph"/>
        <w:numPr>
          <w:ilvl w:val="0"/>
          <w:numId w:val="3"/>
        </w:numPr>
        <w:tabs>
          <w:tab w:pos="399" w:val="left" w:leader="none"/>
        </w:tabs>
        <w:spacing w:line="261" w:lineRule="auto" w:before="22" w:after="0"/>
        <w:ind w:left="399" w:right="100" w:hanging="280"/>
        <w:jc w:val="both"/>
        <w:rPr>
          <w:b/>
          <w:sz w:val="30"/>
        </w:rPr>
      </w:pPr>
      <w:r>
        <w:rPr>
          <w:b/>
          <w:i/>
          <w:sz w:val="30"/>
        </w:rPr>
        <w:t>Z</w:t>
      </w:r>
      <w:r>
        <w:rPr>
          <w:b/>
          <w:sz w:val="30"/>
        </w:rPr>
        <w:t>-score:</w:t>
      </w:r>
      <w:r>
        <w:rPr>
          <w:b/>
          <w:spacing w:val="-2"/>
          <w:sz w:val="30"/>
        </w:rPr>
        <w:t> </w:t>
      </w:r>
      <w:r>
        <w:rPr>
          <w:b/>
          <w:sz w:val="30"/>
        </w:rPr>
        <w:t>Standard</w:t>
      </w:r>
      <w:r>
        <w:rPr>
          <w:b/>
          <w:spacing w:val="-2"/>
          <w:sz w:val="30"/>
        </w:rPr>
        <w:t> </w:t>
      </w:r>
      <w:r>
        <w:rPr>
          <w:b/>
          <w:sz w:val="30"/>
        </w:rPr>
        <w:t>deviations</w:t>
      </w:r>
      <w:r>
        <w:rPr>
          <w:b/>
          <w:spacing w:val="-2"/>
          <w:sz w:val="30"/>
        </w:rPr>
        <w:t> </w:t>
      </w:r>
      <w:r>
        <w:rPr>
          <w:b/>
          <w:sz w:val="30"/>
        </w:rPr>
        <w:t>between</w:t>
      </w:r>
      <w:r>
        <w:rPr>
          <w:b/>
          <w:spacing w:val="-2"/>
          <w:sz w:val="30"/>
        </w:rPr>
        <w:t> </w:t>
      </w:r>
      <w:r>
        <w:rPr>
          <w:b/>
          <w:sz w:val="30"/>
        </w:rPr>
        <w:t>patient</w:t>
      </w:r>
      <w:r>
        <w:rPr>
          <w:b/>
          <w:spacing w:val="-2"/>
          <w:sz w:val="30"/>
        </w:rPr>
        <w:t> </w:t>
      </w:r>
      <w:r>
        <w:rPr>
          <w:b/>
          <w:sz w:val="30"/>
        </w:rPr>
        <w:t>and</w:t>
      </w:r>
      <w:r>
        <w:rPr>
          <w:b/>
          <w:spacing w:val="-2"/>
          <w:sz w:val="30"/>
        </w:rPr>
        <w:t> </w:t>
      </w:r>
      <w:r>
        <w:rPr>
          <w:b/>
          <w:sz w:val="30"/>
        </w:rPr>
        <w:t>average</w:t>
      </w:r>
      <w:r>
        <w:rPr>
          <w:b/>
          <w:spacing w:val="-2"/>
          <w:sz w:val="30"/>
        </w:rPr>
        <w:t> </w:t>
      </w:r>
      <w:r>
        <w:rPr>
          <w:b/>
          <w:sz w:val="30"/>
        </w:rPr>
        <w:t>bone</w:t>
      </w:r>
      <w:r>
        <w:rPr>
          <w:b/>
          <w:spacing w:val="-2"/>
          <w:sz w:val="30"/>
        </w:rPr>
        <w:t> </w:t>
      </w:r>
      <w:r>
        <w:rPr>
          <w:b/>
          <w:sz w:val="30"/>
        </w:rPr>
        <w:t>mass for same sex, age, and ethnicity. The more negative the score, the greater is the likelihood that there may be a secondary cause of </w:t>
      </w:r>
      <w:r>
        <w:rPr>
          <w:b/>
          <w:sz w:val="30"/>
        </w:rPr>
        <w:t>bone </w:t>
      </w:r>
      <w:r>
        <w:rPr>
          <w:b/>
          <w:spacing w:val="-2"/>
          <w:sz w:val="30"/>
        </w:rPr>
        <w:t>loss.</w:t>
      </w:r>
    </w:p>
    <w:p>
      <w:pPr>
        <w:spacing w:line="249" w:lineRule="auto" w:before="191"/>
        <w:ind w:left="99" w:right="98" w:firstLine="450"/>
        <w:jc w:val="both"/>
        <w:rPr>
          <w:b/>
          <w:sz w:val="30"/>
        </w:rPr>
      </w:pPr>
      <w:r>
        <w:rPr>
          <w:b/>
          <w:sz w:val="30"/>
        </w:rPr>
        <w:t>In postmenopausal women, fracture risk assessment based on </w:t>
      </w:r>
      <w:r>
        <w:rPr>
          <w:b/>
          <w:sz w:val="30"/>
        </w:rPr>
        <w:t>DXA depends on interpretation of the </w:t>
      </w:r>
      <w:r>
        <w:rPr>
          <w:b/>
          <w:i/>
          <w:sz w:val="30"/>
        </w:rPr>
        <w:t>T</w:t>
      </w:r>
      <w:r>
        <w:rPr>
          <w:b/>
          <w:sz w:val="30"/>
        </w:rPr>
        <w:t>-score (ie, how her bone mass compares to that of a young skeleton) </w:t>
      </w:r>
      <w:r>
        <w:rPr>
          <w:sz w:val="30"/>
        </w:rPr>
        <w:t>(see </w:t>
      </w:r>
      <w:r>
        <w:rPr>
          <w:b/>
          <w:color w:val="256E60"/>
          <w:sz w:val="30"/>
        </w:rPr>
        <w:t>Table 23.1</w:t>
      </w:r>
      <w:r>
        <w:rPr>
          <w:sz w:val="30"/>
        </w:rPr>
        <w:t>). </w:t>
      </w:r>
      <w:r>
        <w:rPr>
          <w:b/>
          <w:sz w:val="30"/>
        </w:rPr>
        <w:t>In contrast to postmenopausal</w:t>
      </w:r>
      <w:r>
        <w:rPr>
          <w:b/>
          <w:spacing w:val="-4"/>
          <w:sz w:val="30"/>
        </w:rPr>
        <w:t> </w:t>
      </w:r>
      <w:r>
        <w:rPr>
          <w:b/>
          <w:sz w:val="30"/>
        </w:rPr>
        <w:t>women,</w:t>
      </w:r>
      <w:r>
        <w:rPr>
          <w:b/>
          <w:spacing w:val="-4"/>
          <w:sz w:val="30"/>
        </w:rPr>
        <w:t> </w:t>
      </w:r>
      <w:r>
        <w:rPr>
          <w:b/>
          <w:sz w:val="30"/>
        </w:rPr>
        <w:t>interpretation</w:t>
      </w:r>
      <w:r>
        <w:rPr>
          <w:b/>
          <w:spacing w:val="-4"/>
          <w:sz w:val="30"/>
        </w:rPr>
        <w:t> </w:t>
      </w:r>
      <w:r>
        <w:rPr>
          <w:b/>
          <w:sz w:val="30"/>
        </w:rPr>
        <w:t>of</w:t>
      </w:r>
      <w:r>
        <w:rPr>
          <w:b/>
          <w:spacing w:val="-4"/>
          <w:sz w:val="30"/>
        </w:rPr>
        <w:t> </w:t>
      </w:r>
      <w:r>
        <w:rPr>
          <w:b/>
          <w:sz w:val="30"/>
        </w:rPr>
        <w:t>bone</w:t>
      </w:r>
      <w:r>
        <w:rPr>
          <w:b/>
          <w:spacing w:val="-4"/>
          <w:sz w:val="30"/>
        </w:rPr>
        <w:t> </w:t>
      </w:r>
      <w:r>
        <w:rPr>
          <w:b/>
          <w:sz w:val="30"/>
        </w:rPr>
        <w:t>density</w:t>
      </w:r>
      <w:r>
        <w:rPr>
          <w:b/>
          <w:spacing w:val="-4"/>
          <w:sz w:val="30"/>
        </w:rPr>
        <w:t> </w:t>
      </w:r>
      <w:r>
        <w:rPr>
          <w:b/>
          <w:sz w:val="30"/>
        </w:rPr>
        <w:t>measurement</w:t>
      </w:r>
      <w:r>
        <w:rPr>
          <w:b/>
          <w:spacing w:val="-4"/>
          <w:sz w:val="30"/>
        </w:rPr>
        <w:t> </w:t>
      </w:r>
      <w:r>
        <w:rPr>
          <w:b/>
          <w:sz w:val="30"/>
        </w:rPr>
        <w:t>in premenopausal women should be based on the </w:t>
      </w:r>
      <w:r>
        <w:rPr>
          <w:b/>
          <w:i/>
          <w:sz w:val="30"/>
        </w:rPr>
        <w:t>Z</w:t>
      </w:r>
      <w:r>
        <w:rPr>
          <w:b/>
          <w:sz w:val="30"/>
        </w:rPr>
        <w:t>-score (ie, how her bone</w:t>
      </w:r>
      <w:r>
        <w:rPr>
          <w:b/>
          <w:spacing w:val="-3"/>
          <w:sz w:val="30"/>
        </w:rPr>
        <w:t> </w:t>
      </w:r>
      <w:r>
        <w:rPr>
          <w:b/>
          <w:sz w:val="30"/>
        </w:rPr>
        <w:t>mass</w:t>
      </w:r>
      <w:r>
        <w:rPr>
          <w:b/>
          <w:spacing w:val="-3"/>
          <w:sz w:val="30"/>
        </w:rPr>
        <w:t> </w:t>
      </w:r>
      <w:r>
        <w:rPr>
          <w:b/>
          <w:sz w:val="30"/>
        </w:rPr>
        <w:t>compares</w:t>
      </w:r>
      <w:r>
        <w:rPr>
          <w:b/>
          <w:spacing w:val="-3"/>
          <w:sz w:val="30"/>
        </w:rPr>
        <w:t> </w:t>
      </w:r>
      <w:r>
        <w:rPr>
          <w:b/>
          <w:sz w:val="30"/>
        </w:rPr>
        <w:t>to</w:t>
      </w:r>
      <w:r>
        <w:rPr>
          <w:b/>
          <w:spacing w:val="-3"/>
          <w:sz w:val="30"/>
        </w:rPr>
        <w:t> </w:t>
      </w:r>
      <w:r>
        <w:rPr>
          <w:b/>
          <w:sz w:val="30"/>
        </w:rPr>
        <w:t>her</w:t>
      </w:r>
      <w:r>
        <w:rPr>
          <w:b/>
          <w:spacing w:val="-3"/>
          <w:sz w:val="30"/>
        </w:rPr>
        <w:t> </w:t>
      </w:r>
      <w:r>
        <w:rPr>
          <w:b/>
          <w:sz w:val="30"/>
        </w:rPr>
        <w:t>age-</w:t>
      </w:r>
      <w:r>
        <w:rPr>
          <w:b/>
          <w:spacing w:val="-3"/>
          <w:sz w:val="30"/>
        </w:rPr>
        <w:t> </w:t>
      </w:r>
      <w:r>
        <w:rPr>
          <w:b/>
          <w:sz w:val="30"/>
        </w:rPr>
        <w:t>and</w:t>
      </w:r>
      <w:r>
        <w:rPr>
          <w:b/>
          <w:spacing w:val="-3"/>
          <w:sz w:val="30"/>
        </w:rPr>
        <w:t> </w:t>
      </w:r>
      <w:r>
        <w:rPr>
          <w:b/>
          <w:sz w:val="30"/>
        </w:rPr>
        <w:t>sex-matched</w:t>
      </w:r>
      <w:r>
        <w:rPr>
          <w:b/>
          <w:spacing w:val="-3"/>
          <w:sz w:val="30"/>
        </w:rPr>
        <w:t> </w:t>
      </w:r>
      <w:r>
        <w:rPr>
          <w:b/>
          <w:sz w:val="30"/>
        </w:rPr>
        <w:t>healthy</w:t>
      </w:r>
      <w:r>
        <w:rPr>
          <w:b/>
          <w:spacing w:val="-3"/>
          <w:sz w:val="30"/>
        </w:rPr>
        <w:t> </w:t>
      </w:r>
      <w:r>
        <w:rPr>
          <w:b/>
          <w:sz w:val="30"/>
        </w:rPr>
        <w:t>individuals</w:t>
      </w:r>
      <w:r>
        <w:rPr>
          <w:b/>
          <w:spacing w:val="-3"/>
          <w:sz w:val="30"/>
        </w:rPr>
        <w:t> </w:t>
      </w:r>
      <w:r>
        <w:rPr>
          <w:b/>
          <w:sz w:val="30"/>
        </w:rPr>
        <w:t>in the population). In postmenopausal women, </w:t>
      </w:r>
      <w:r>
        <w:rPr>
          <w:b/>
          <w:i/>
          <w:sz w:val="30"/>
        </w:rPr>
        <w:t>T</w:t>
      </w:r>
      <w:r>
        <w:rPr>
          <w:b/>
          <w:sz w:val="30"/>
        </w:rPr>
        <w:t>-scores of less than or equal</w:t>
      </w:r>
      <w:r>
        <w:rPr>
          <w:b/>
          <w:spacing w:val="-4"/>
          <w:sz w:val="30"/>
        </w:rPr>
        <w:t> </w:t>
      </w:r>
      <w:r>
        <w:rPr>
          <w:b/>
          <w:sz w:val="30"/>
        </w:rPr>
        <w:t>to</w:t>
      </w:r>
      <w:r>
        <w:rPr>
          <w:b/>
          <w:spacing w:val="-5"/>
          <w:sz w:val="30"/>
        </w:rPr>
        <w:t> </w:t>
      </w:r>
      <w:r>
        <w:rPr>
          <w:sz w:val="30"/>
        </w:rPr>
        <w:t>−</w:t>
      </w:r>
      <w:r>
        <w:rPr>
          <w:b/>
          <w:sz w:val="30"/>
        </w:rPr>
        <w:t>2.5 are consistent with a diagnosis of osteoporosis, whereas in premenopausal women, </w:t>
      </w:r>
      <w:r>
        <w:rPr>
          <w:b/>
          <w:i/>
          <w:sz w:val="30"/>
        </w:rPr>
        <w:t>Z</w:t>
      </w:r>
      <w:r>
        <w:rPr>
          <w:b/>
          <w:sz w:val="30"/>
        </w:rPr>
        <w:t>-scores equal to or less than </w:t>
      </w:r>
      <w:r>
        <w:rPr>
          <w:sz w:val="30"/>
        </w:rPr>
        <w:t>−</w:t>
      </w:r>
      <w:r>
        <w:rPr>
          <w:b/>
          <w:sz w:val="30"/>
        </w:rPr>
        <w:t>2.0 reflect low bone mass and identify premenopausal women who are at risk for future fracture.</w:t>
      </w:r>
      <w:r>
        <w:rPr>
          <w:sz w:val="30"/>
          <w:vertAlign w:val="superscript"/>
        </w:rPr>
        <w:t>92</w:t>
      </w:r>
      <w:r>
        <w:rPr>
          <w:sz w:val="30"/>
          <w:vertAlign w:val="baseline"/>
        </w:rPr>
        <w:t> </w:t>
      </w:r>
      <w:r>
        <w:rPr>
          <w:b/>
          <w:sz w:val="30"/>
          <w:vertAlign w:val="baseline"/>
        </w:rPr>
        <w:t>A bone density </w:t>
      </w:r>
      <w:r>
        <w:rPr>
          <w:b/>
          <w:i/>
          <w:sz w:val="30"/>
          <w:vertAlign w:val="baseline"/>
        </w:rPr>
        <w:t>Z</w:t>
      </w:r>
      <w:r>
        <w:rPr>
          <w:b/>
          <w:sz w:val="30"/>
          <w:vertAlign w:val="baseline"/>
        </w:rPr>
        <w:t>-score that is lower than </w:t>
      </w:r>
      <w:r>
        <w:rPr>
          <w:sz w:val="30"/>
          <w:vertAlign w:val="baseline"/>
        </w:rPr>
        <w:t>−</w:t>
      </w:r>
      <w:r>
        <w:rPr>
          <w:b/>
          <w:sz w:val="30"/>
          <w:vertAlign w:val="baseline"/>
        </w:rPr>
        <w:t>2.0 (2.5% of normal population of same age) at any age should prompt consideration for diagnostic evaluation for potential causes of bone</w:t>
      </w:r>
      <w:r>
        <w:rPr>
          <w:b/>
          <w:spacing w:val="80"/>
          <w:sz w:val="30"/>
          <w:vertAlign w:val="baseline"/>
        </w:rPr>
        <w:t> </w:t>
      </w:r>
      <w:r>
        <w:rPr>
          <w:b/>
          <w:spacing w:val="-2"/>
          <w:sz w:val="30"/>
          <w:vertAlign w:val="baseline"/>
        </w:rPr>
        <w:t>loss.</w:t>
      </w:r>
    </w:p>
    <w:p>
      <w:pPr>
        <w:pStyle w:val="BodyText"/>
        <w:spacing w:before="0"/>
        <w:ind w:left="0"/>
        <w:jc w:val="left"/>
        <w:rPr>
          <w:b/>
          <w:sz w:val="20"/>
        </w:rPr>
      </w:pPr>
    </w:p>
    <w:p>
      <w:pPr>
        <w:pStyle w:val="BodyText"/>
        <w:spacing w:before="128"/>
        <w:ind w:left="0"/>
        <w:jc w:val="left"/>
        <w:rPr>
          <w:b/>
          <w:sz w:val="20"/>
        </w:rPr>
      </w:pPr>
      <w:r>
        <w:rPr>
          <w:b/>
          <w:sz w:val="20"/>
        </w:rPr>
        <mc:AlternateContent>
          <mc:Choice Requires="wps">
            <w:drawing>
              <wp:anchor distT="0" distB="0" distL="0" distR="0" allowOverlap="1" layoutInCell="1" locked="0" behindDoc="1" simplePos="0" relativeHeight="487599104">
                <wp:simplePos x="0" y="0"/>
                <wp:positionH relativeFrom="page">
                  <wp:posOffset>981075</wp:posOffset>
                </wp:positionH>
                <wp:positionV relativeFrom="paragraph">
                  <wp:posOffset>242695</wp:posOffset>
                </wp:positionV>
                <wp:extent cx="5810250" cy="981075"/>
                <wp:effectExtent l="0" t="0" r="0" b="0"/>
                <wp:wrapTopAndBottom/>
                <wp:docPr id="34" name="Group 34"/>
                <wp:cNvGraphicFramePr>
                  <a:graphicFrameLocks/>
                </wp:cNvGraphicFramePr>
                <a:graphic>
                  <a:graphicData uri="http://schemas.microsoft.com/office/word/2010/wordprocessingGroup">
                    <wpg:wgp>
                      <wpg:cNvPr id="34" name="Group 34"/>
                      <wpg:cNvGrpSpPr/>
                      <wpg:grpSpPr>
                        <a:xfrm>
                          <a:off x="0" y="0"/>
                          <a:ext cx="5810250" cy="981075"/>
                          <a:chExt cx="5810250" cy="981075"/>
                        </a:xfrm>
                      </wpg:grpSpPr>
                      <wps:wsp>
                        <wps:cNvPr id="35" name="Graphic 35"/>
                        <wps:cNvSpPr/>
                        <wps:spPr>
                          <a:xfrm>
                            <a:off x="-12" y="457207"/>
                            <a:ext cx="5810250" cy="514350"/>
                          </a:xfrm>
                          <a:custGeom>
                            <a:avLst/>
                            <a:gdLst/>
                            <a:ahLst/>
                            <a:cxnLst/>
                            <a:rect l="l" t="t" r="r" b="b"/>
                            <a:pathLst>
                              <a:path w="5810250" h="514350">
                                <a:moveTo>
                                  <a:pt x="5810250" y="0"/>
                                </a:moveTo>
                                <a:lnTo>
                                  <a:pt x="971550" y="0"/>
                                </a:lnTo>
                                <a:lnTo>
                                  <a:pt x="0" y="0"/>
                                </a:lnTo>
                                <a:lnTo>
                                  <a:pt x="0" y="514350"/>
                                </a:lnTo>
                                <a:lnTo>
                                  <a:pt x="971550" y="514350"/>
                                </a:lnTo>
                                <a:lnTo>
                                  <a:pt x="5810250" y="514350"/>
                                </a:lnTo>
                                <a:lnTo>
                                  <a:pt x="5810250" y="0"/>
                                </a:lnTo>
                                <a:close/>
                              </a:path>
                            </a:pathLst>
                          </a:custGeom>
                          <a:solidFill>
                            <a:srgbClr val="DDE6E3"/>
                          </a:solidFill>
                        </wps:spPr>
                        <wps:bodyPr wrap="square" lIns="0" tIns="0" rIns="0" bIns="0" rtlCol="0">
                          <a:prstTxWarp prst="textNoShape">
                            <a:avLst/>
                          </a:prstTxWarp>
                          <a:noAutofit/>
                        </wps:bodyPr>
                      </wps:wsp>
                      <wps:wsp>
                        <wps:cNvPr id="36" name="Graphic 36"/>
                        <wps:cNvSpPr/>
                        <wps:spPr>
                          <a:xfrm>
                            <a:off x="-12" y="971557"/>
                            <a:ext cx="5810250" cy="9525"/>
                          </a:xfrm>
                          <a:custGeom>
                            <a:avLst/>
                            <a:gdLst/>
                            <a:ahLst/>
                            <a:cxnLst/>
                            <a:rect l="l" t="t" r="r" b="b"/>
                            <a:pathLst>
                              <a:path w="5810250" h="9525">
                                <a:moveTo>
                                  <a:pt x="5810250" y="0"/>
                                </a:moveTo>
                                <a:lnTo>
                                  <a:pt x="971550" y="0"/>
                                </a:lnTo>
                                <a:lnTo>
                                  <a:pt x="0" y="0"/>
                                </a:lnTo>
                                <a:lnTo>
                                  <a:pt x="0" y="9525"/>
                                </a:lnTo>
                                <a:lnTo>
                                  <a:pt x="971550" y="9525"/>
                                </a:lnTo>
                                <a:lnTo>
                                  <a:pt x="5810250" y="9525"/>
                                </a:lnTo>
                                <a:lnTo>
                                  <a:pt x="5810250" y="0"/>
                                </a:lnTo>
                                <a:close/>
                              </a:path>
                            </a:pathLst>
                          </a:custGeom>
                          <a:solidFill>
                            <a:srgbClr val="256E60"/>
                          </a:solidFill>
                        </wps:spPr>
                        <wps:bodyPr wrap="square" lIns="0" tIns="0" rIns="0" bIns="0" rtlCol="0">
                          <a:prstTxWarp prst="textNoShape">
                            <a:avLst/>
                          </a:prstTxWarp>
                          <a:noAutofit/>
                        </wps:bodyPr>
                      </wps:wsp>
                      <wps:wsp>
                        <wps:cNvPr id="37" name="Textbox 37"/>
                        <wps:cNvSpPr txBox="1"/>
                        <wps:spPr>
                          <a:xfrm>
                            <a:off x="1025425" y="546940"/>
                            <a:ext cx="4121785" cy="331470"/>
                          </a:xfrm>
                          <a:prstGeom prst="rect">
                            <a:avLst/>
                          </a:prstGeom>
                        </wps:spPr>
                        <wps:txbx>
                          <w:txbxContent>
                            <w:p>
                              <w:pPr>
                                <w:spacing w:line="256" w:lineRule="auto" w:before="0"/>
                                <w:ind w:left="0" w:right="0" w:firstLine="0"/>
                                <w:jc w:val="left"/>
                                <w:rPr>
                                  <w:rFonts w:ascii="Arial" w:hAnsi="Arial"/>
                                  <w:b/>
                                  <w:sz w:val="22"/>
                                </w:rPr>
                              </w:pPr>
                              <w:r>
                                <w:rPr>
                                  <w:rFonts w:ascii="Arial" w:hAnsi="Arial"/>
                                  <w:b/>
                                  <w:color w:val="1C5349"/>
                                  <w:sz w:val="22"/>
                                </w:rPr>
                                <w:t>0 to −1 SD From the </w:t>
                              </w:r>
                              <w:r>
                                <w:rPr>
                                  <w:rFonts w:ascii="Arial" w:hAnsi="Arial"/>
                                  <w:b/>
                                  <w:i/>
                                  <w:color w:val="1C5349"/>
                                  <w:sz w:val="22"/>
                                </w:rPr>
                                <w:t>T</w:t>
                              </w:r>
                              <w:r>
                                <w:rPr>
                                  <w:rFonts w:ascii="Arial" w:hAnsi="Arial"/>
                                  <w:b/>
                                  <w:color w:val="1C5349"/>
                                  <w:sz w:val="22"/>
                                </w:rPr>
                                <w:t>-Score Reference Standard (84% of </w:t>
                              </w:r>
                              <w:r>
                                <w:rPr>
                                  <w:rFonts w:ascii="Arial" w:hAnsi="Arial"/>
                                  <w:b/>
                                  <w:color w:val="1C5349"/>
                                  <w:sz w:val="22"/>
                                </w:rPr>
                                <w:t>the</w:t>
                              </w:r>
                              <w:r>
                                <w:rPr>
                                  <w:rFonts w:ascii="Arial" w:hAnsi="Arial"/>
                                  <w:b/>
                                  <w:color w:val="1C5349"/>
                                  <w:sz w:val="22"/>
                                </w:rPr>
                                <w:t> </w:t>
                              </w:r>
                              <w:r>
                                <w:rPr>
                                  <w:rFonts w:ascii="Arial" w:hAnsi="Arial"/>
                                  <w:b/>
                                  <w:color w:val="1C5349"/>
                                  <w:spacing w:val="-2"/>
                                  <w:sz w:val="22"/>
                                </w:rPr>
                                <w:t>Population)</w:t>
                              </w:r>
                            </w:p>
                          </w:txbxContent>
                        </wps:txbx>
                        <wps:bodyPr wrap="square" lIns="0" tIns="0" rIns="0" bIns="0" rtlCol="0">
                          <a:noAutofit/>
                        </wps:bodyPr>
                      </wps:wsp>
                      <wps:wsp>
                        <wps:cNvPr id="38" name="Textbox 38"/>
                        <wps:cNvSpPr txBox="1"/>
                        <wps:spPr>
                          <a:xfrm>
                            <a:off x="53875" y="718390"/>
                            <a:ext cx="505459" cy="160020"/>
                          </a:xfrm>
                          <a:prstGeom prst="rect">
                            <a:avLst/>
                          </a:prstGeom>
                        </wps:spPr>
                        <wps:txbx>
                          <w:txbxContent>
                            <w:p>
                              <w:pPr>
                                <w:spacing w:line="250" w:lineRule="exact" w:before="0"/>
                                <w:ind w:left="0" w:right="0" w:firstLine="0"/>
                                <w:jc w:val="left"/>
                                <w:rPr>
                                  <w:rFonts w:ascii="Arial"/>
                                  <w:b/>
                                  <w:sz w:val="22"/>
                                </w:rPr>
                              </w:pPr>
                              <w:r>
                                <w:rPr>
                                  <w:rFonts w:ascii="Arial"/>
                                  <w:b/>
                                  <w:color w:val="1C5349"/>
                                  <w:spacing w:val="-2"/>
                                  <w:sz w:val="22"/>
                                </w:rPr>
                                <w:t>Normal</w:t>
                              </w:r>
                            </w:p>
                          </w:txbxContent>
                        </wps:txbx>
                        <wps:bodyPr wrap="square" lIns="0" tIns="0" rIns="0" bIns="0" rtlCol="0">
                          <a:noAutofit/>
                        </wps:bodyPr>
                      </wps:wsp>
                      <wps:wsp>
                        <wps:cNvPr id="39" name="Textbox 39"/>
                        <wps:cNvSpPr txBox="1"/>
                        <wps:spPr>
                          <a:xfrm>
                            <a:off x="0" y="0"/>
                            <a:ext cx="5810250" cy="457200"/>
                          </a:xfrm>
                          <a:prstGeom prst="rect">
                            <a:avLst/>
                          </a:prstGeom>
                          <a:solidFill>
                            <a:srgbClr val="256E60"/>
                          </a:solidFill>
                        </wps:spPr>
                        <wps:txbx>
                          <w:txbxContent>
                            <w:p>
                              <w:pPr>
                                <w:spacing w:line="256" w:lineRule="auto" w:before="93"/>
                                <w:ind w:left="84" w:right="0" w:firstLine="0"/>
                                <w:jc w:val="left"/>
                                <w:rPr>
                                  <w:rFonts w:ascii="Arial"/>
                                  <w:b/>
                                  <w:color w:val="000000"/>
                                  <w:sz w:val="22"/>
                                </w:rPr>
                              </w:pPr>
                              <w:r>
                                <w:rPr>
                                  <w:rFonts w:ascii="Arial"/>
                                  <w:b/>
                                  <w:color w:val="FFFFFF"/>
                                  <w:sz w:val="22"/>
                                </w:rPr>
                                <w:t>TABLE 23.1 Terminology Based on Bone Mineral Density by Dual-Energy X-</w:t>
                              </w:r>
                              <w:r>
                                <w:rPr>
                                  <w:rFonts w:ascii="Arial"/>
                                  <w:b/>
                                  <w:color w:val="FFFFFF"/>
                                  <w:sz w:val="22"/>
                                </w:rPr>
                                <w:t>Ray </w:t>
                              </w:r>
                              <w:r>
                                <w:rPr>
                                  <w:rFonts w:ascii="Arial"/>
                                  <w:b/>
                                  <w:color w:val="FFFFFF"/>
                                  <w:spacing w:val="-2"/>
                                  <w:sz w:val="22"/>
                                </w:rPr>
                                <w:t>absorptiometry</w:t>
                              </w:r>
                            </w:p>
                          </w:txbxContent>
                        </wps:txbx>
                        <wps:bodyPr wrap="square" lIns="0" tIns="0" rIns="0" bIns="0" rtlCol="0">
                          <a:noAutofit/>
                        </wps:bodyPr>
                      </wps:wsp>
                    </wpg:wgp>
                  </a:graphicData>
                </a:graphic>
              </wp:anchor>
            </w:drawing>
          </mc:Choice>
          <mc:Fallback>
            <w:pict>
              <v:group style="position:absolute;margin-left:77.25pt;margin-top:19.109875pt;width:457.5pt;height:77.25pt;mso-position-horizontal-relative:page;mso-position-vertical-relative:paragraph;z-index:-15717376;mso-wrap-distance-left:0;mso-wrap-distance-right:0" id="docshapegroup22" coordorigin="1545,382" coordsize="9150,1545">
                <v:shape style="position:absolute;left:1544;top:1102;width:9150;height:810" id="docshape23" coordorigin="1545,1102" coordsize="9150,810" path="m10695,1102l3075,1102,1545,1102,1545,1912,3075,1912,10695,1912,10695,1102xe" filled="true" fillcolor="#dde6e3" stroked="false">
                  <v:path arrowok="t"/>
                  <v:fill type="solid"/>
                </v:shape>
                <v:shape style="position:absolute;left:1544;top:1912;width:9150;height:15" id="docshape24" coordorigin="1545,1912" coordsize="9150,15" path="m10695,1912l3075,1912,1545,1912,1545,1927,3075,1927,10695,1927,10695,1912xe" filled="true" fillcolor="#256e60" stroked="false">
                  <v:path arrowok="t"/>
                  <v:fill type="solid"/>
                </v:shape>
                <v:shape style="position:absolute;left:3159;top:1243;width:6491;height:522" type="#_x0000_t202" id="docshape25" filled="false" stroked="false">
                  <v:textbox inset="0,0,0,0">
                    <w:txbxContent>
                      <w:p>
                        <w:pPr>
                          <w:spacing w:line="256" w:lineRule="auto" w:before="0"/>
                          <w:ind w:left="0" w:right="0" w:firstLine="0"/>
                          <w:jc w:val="left"/>
                          <w:rPr>
                            <w:rFonts w:ascii="Arial" w:hAnsi="Arial"/>
                            <w:b/>
                            <w:sz w:val="22"/>
                          </w:rPr>
                        </w:pPr>
                        <w:r>
                          <w:rPr>
                            <w:rFonts w:ascii="Arial" w:hAnsi="Arial"/>
                            <w:b/>
                            <w:color w:val="1C5349"/>
                            <w:sz w:val="22"/>
                          </w:rPr>
                          <w:t>0 to −1 SD From the </w:t>
                        </w:r>
                        <w:r>
                          <w:rPr>
                            <w:rFonts w:ascii="Arial" w:hAnsi="Arial"/>
                            <w:b/>
                            <w:i/>
                            <w:color w:val="1C5349"/>
                            <w:sz w:val="22"/>
                          </w:rPr>
                          <w:t>T</w:t>
                        </w:r>
                        <w:r>
                          <w:rPr>
                            <w:rFonts w:ascii="Arial" w:hAnsi="Arial"/>
                            <w:b/>
                            <w:color w:val="1C5349"/>
                            <w:sz w:val="22"/>
                          </w:rPr>
                          <w:t>-Score Reference Standard (84% of </w:t>
                        </w:r>
                        <w:r>
                          <w:rPr>
                            <w:rFonts w:ascii="Arial" w:hAnsi="Arial"/>
                            <w:b/>
                            <w:color w:val="1C5349"/>
                            <w:sz w:val="22"/>
                          </w:rPr>
                          <w:t>the</w:t>
                        </w:r>
                        <w:r>
                          <w:rPr>
                            <w:rFonts w:ascii="Arial" w:hAnsi="Arial"/>
                            <w:b/>
                            <w:color w:val="1C5349"/>
                            <w:sz w:val="22"/>
                          </w:rPr>
                          <w:t> </w:t>
                        </w:r>
                        <w:r>
                          <w:rPr>
                            <w:rFonts w:ascii="Arial" w:hAnsi="Arial"/>
                            <w:b/>
                            <w:color w:val="1C5349"/>
                            <w:spacing w:val="-2"/>
                            <w:sz w:val="22"/>
                          </w:rPr>
                          <w:t>Population)</w:t>
                        </w:r>
                      </w:p>
                    </w:txbxContent>
                  </v:textbox>
                  <w10:wrap type="none"/>
                </v:shape>
                <v:shape style="position:absolute;left:1629;top:1513;width:796;height:252" type="#_x0000_t202" id="docshape26" filled="false" stroked="false">
                  <v:textbox inset="0,0,0,0">
                    <w:txbxContent>
                      <w:p>
                        <w:pPr>
                          <w:spacing w:line="250" w:lineRule="exact" w:before="0"/>
                          <w:ind w:left="0" w:right="0" w:firstLine="0"/>
                          <w:jc w:val="left"/>
                          <w:rPr>
                            <w:rFonts w:ascii="Arial"/>
                            <w:b/>
                            <w:sz w:val="22"/>
                          </w:rPr>
                        </w:pPr>
                        <w:r>
                          <w:rPr>
                            <w:rFonts w:ascii="Arial"/>
                            <w:b/>
                            <w:color w:val="1C5349"/>
                            <w:spacing w:val="-2"/>
                            <w:sz w:val="22"/>
                          </w:rPr>
                          <w:t>Normal</w:t>
                        </w:r>
                      </w:p>
                    </w:txbxContent>
                  </v:textbox>
                  <w10:wrap type="none"/>
                </v:shape>
                <v:shape style="position:absolute;left:1545;top:382;width:9150;height:720" type="#_x0000_t202" id="docshape27" filled="true" fillcolor="#256e60" stroked="false">
                  <v:textbox inset="0,0,0,0">
                    <w:txbxContent>
                      <w:p>
                        <w:pPr>
                          <w:spacing w:line="256" w:lineRule="auto" w:before="93"/>
                          <w:ind w:left="84" w:right="0" w:firstLine="0"/>
                          <w:jc w:val="left"/>
                          <w:rPr>
                            <w:rFonts w:ascii="Arial"/>
                            <w:b/>
                            <w:color w:val="000000"/>
                            <w:sz w:val="22"/>
                          </w:rPr>
                        </w:pPr>
                        <w:r>
                          <w:rPr>
                            <w:rFonts w:ascii="Arial"/>
                            <w:b/>
                            <w:color w:val="FFFFFF"/>
                            <w:sz w:val="22"/>
                          </w:rPr>
                          <w:t>TABLE 23.1 Terminology Based on Bone Mineral Density by Dual-Energy X-</w:t>
                        </w:r>
                        <w:r>
                          <w:rPr>
                            <w:rFonts w:ascii="Arial"/>
                            <w:b/>
                            <w:color w:val="FFFFFF"/>
                            <w:sz w:val="22"/>
                          </w:rPr>
                          <w:t>Ray </w:t>
                        </w:r>
                        <w:r>
                          <w:rPr>
                            <w:rFonts w:ascii="Arial"/>
                            <w:b/>
                            <w:color w:val="FFFFFF"/>
                            <w:spacing w:val="-2"/>
                            <w:sz w:val="22"/>
                          </w:rPr>
                          <w:t>absorptiometry</w:t>
                        </w:r>
                      </w:p>
                    </w:txbxContent>
                  </v:textbox>
                  <v:fill type="solid"/>
                  <w10:wrap type="none"/>
                </v:shape>
                <w10:wrap type="topAndBottom"/>
              </v:group>
            </w:pict>
          </mc:Fallback>
        </mc:AlternateContent>
      </w:r>
    </w:p>
    <w:p>
      <w:pPr>
        <w:pStyle w:val="BodyText"/>
        <w:spacing w:before="1"/>
        <w:ind w:left="0"/>
        <w:jc w:val="left"/>
        <w:rPr>
          <w:b/>
          <w:sz w:val="6"/>
        </w:rPr>
      </w:pPr>
    </w:p>
    <w:p>
      <w:pPr>
        <w:pStyle w:val="BodyText"/>
        <w:spacing w:after="0"/>
        <w:jc w:val="left"/>
        <w:rPr>
          <w:b/>
          <w:sz w:val="6"/>
        </w:rPr>
        <w:sectPr>
          <w:pgSz w:w="12240" w:h="15840"/>
          <w:pgMar w:top="1380" w:bottom="280" w:left="1440" w:right="1440"/>
        </w:sectPr>
      </w:pPr>
    </w:p>
    <w:p>
      <w:pPr>
        <w:spacing w:line="271" w:lineRule="auto" w:before="69"/>
        <w:ind w:left="414" w:right="0" w:hanging="225"/>
        <w:jc w:val="left"/>
        <w:rPr>
          <w:sz w:val="22"/>
        </w:rPr>
      </w:pPr>
      <w:r>
        <w:rPr>
          <w:sz w:val="22"/>
        </w:rPr>
        <w:t>Low</w:t>
      </w:r>
      <w:r>
        <w:rPr>
          <w:spacing w:val="-14"/>
          <w:sz w:val="22"/>
        </w:rPr>
        <w:t> </w:t>
      </w:r>
      <w:r>
        <w:rPr>
          <w:sz w:val="22"/>
        </w:rPr>
        <w:t>bone </w:t>
      </w:r>
      <w:r>
        <w:rPr>
          <w:spacing w:val="-4"/>
          <w:sz w:val="22"/>
        </w:rPr>
        <w:t>mass</w:t>
      </w:r>
    </w:p>
    <w:p>
      <w:pPr>
        <w:spacing w:before="69"/>
        <w:ind w:left="189" w:right="0" w:firstLine="0"/>
        <w:jc w:val="left"/>
        <w:rPr>
          <w:sz w:val="22"/>
        </w:rPr>
      </w:pPr>
      <w:r>
        <w:rPr/>
        <w:br w:type="column"/>
      </w:r>
      <w:r>
        <w:rPr>
          <w:i/>
          <w:sz w:val="22"/>
        </w:rPr>
        <w:t>T</w:t>
      </w:r>
      <w:r>
        <w:rPr>
          <w:sz w:val="22"/>
        </w:rPr>
        <w:t>-score</w:t>
      </w:r>
      <w:r>
        <w:rPr>
          <w:spacing w:val="10"/>
          <w:sz w:val="22"/>
        </w:rPr>
        <w:t> </w:t>
      </w:r>
      <w:r>
        <w:rPr>
          <w:sz w:val="22"/>
        </w:rPr>
        <w:t>between</w:t>
      </w:r>
      <w:r>
        <w:rPr>
          <w:spacing w:val="10"/>
          <w:sz w:val="22"/>
        </w:rPr>
        <w:t> </w:t>
      </w:r>
      <w:r>
        <w:rPr>
          <w:sz w:val="22"/>
        </w:rPr>
        <w:t>−1</w:t>
      </w:r>
      <w:r>
        <w:rPr>
          <w:spacing w:val="10"/>
          <w:sz w:val="22"/>
        </w:rPr>
        <w:t> </w:t>
      </w:r>
      <w:r>
        <w:rPr>
          <w:sz w:val="22"/>
        </w:rPr>
        <w:t>and</w:t>
      </w:r>
      <w:r>
        <w:rPr>
          <w:spacing w:val="10"/>
          <w:sz w:val="22"/>
        </w:rPr>
        <w:t> </w:t>
      </w:r>
      <w:r>
        <w:rPr>
          <w:sz w:val="22"/>
        </w:rPr>
        <w:t>−2.5</w:t>
      </w:r>
      <w:r>
        <w:rPr>
          <w:spacing w:val="10"/>
          <w:sz w:val="22"/>
        </w:rPr>
        <w:t> </w:t>
      </w:r>
      <w:r>
        <w:rPr>
          <w:spacing w:val="-5"/>
          <w:sz w:val="22"/>
        </w:rPr>
        <w:t>SD</w:t>
      </w:r>
    </w:p>
    <w:p>
      <w:pPr>
        <w:spacing w:after="0"/>
        <w:jc w:val="left"/>
        <w:rPr>
          <w:sz w:val="22"/>
        </w:rPr>
        <w:sectPr>
          <w:type w:val="continuous"/>
          <w:pgSz w:w="12240" w:h="15840"/>
          <w:pgMar w:top="1820" w:bottom="280" w:left="1440" w:right="1440"/>
          <w:cols w:num="2" w:equalWidth="0">
            <w:col w:w="1136" w:space="394"/>
            <w:col w:w="7830"/>
          </w:cols>
        </w:sectPr>
      </w:pPr>
    </w:p>
    <w:p>
      <w:pPr>
        <w:pStyle w:val="BodyText"/>
        <w:spacing w:before="2"/>
        <w:ind w:left="0"/>
        <w:jc w:val="left"/>
        <w:rPr>
          <w:sz w:val="11"/>
        </w:rPr>
      </w:pPr>
    </w:p>
    <w:p>
      <w:pPr>
        <w:spacing w:line="20" w:lineRule="exact"/>
        <w:ind w:left="105" w:right="0" w:firstLine="0"/>
        <w:rPr>
          <w:sz w:val="2"/>
        </w:rPr>
      </w:pPr>
      <w:r>
        <w:rPr>
          <w:sz w:val="2"/>
        </w:rPr>
        <mc:AlternateContent>
          <mc:Choice Requires="wps">
            <w:drawing>
              <wp:inline distT="0" distB="0" distL="0" distR="0">
                <wp:extent cx="5810250" cy="9525"/>
                <wp:effectExtent l="0" t="0" r="0" b="0"/>
                <wp:docPr id="40" name="Group 40"/>
                <wp:cNvGraphicFramePr>
                  <a:graphicFrameLocks/>
                </wp:cNvGraphicFramePr>
                <a:graphic>
                  <a:graphicData uri="http://schemas.microsoft.com/office/word/2010/wordprocessingGroup">
                    <wpg:wgp>
                      <wpg:cNvPr id="40" name="Group 40"/>
                      <wpg:cNvGrpSpPr/>
                      <wpg:grpSpPr>
                        <a:xfrm>
                          <a:off x="0" y="0"/>
                          <a:ext cx="5810250" cy="9525"/>
                          <a:chExt cx="5810250" cy="9525"/>
                        </a:xfrm>
                      </wpg:grpSpPr>
                      <wps:wsp>
                        <wps:cNvPr id="41" name="Graphic 41"/>
                        <wps:cNvSpPr/>
                        <wps:spPr>
                          <a:xfrm>
                            <a:off x="-12" y="7"/>
                            <a:ext cx="5810250" cy="9525"/>
                          </a:xfrm>
                          <a:custGeom>
                            <a:avLst/>
                            <a:gdLst/>
                            <a:ahLst/>
                            <a:cxnLst/>
                            <a:rect l="l" t="t" r="r" b="b"/>
                            <a:pathLst>
                              <a:path w="5810250" h="9525">
                                <a:moveTo>
                                  <a:pt x="5810250" y="0"/>
                                </a:moveTo>
                                <a:lnTo>
                                  <a:pt x="971550" y="0"/>
                                </a:lnTo>
                                <a:lnTo>
                                  <a:pt x="0" y="0"/>
                                </a:lnTo>
                                <a:lnTo>
                                  <a:pt x="0" y="9525"/>
                                </a:lnTo>
                                <a:lnTo>
                                  <a:pt x="971550"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28" coordorigin="0,0" coordsize="9150,15">
                <v:shape style="position:absolute;left:-1;top:0;width:9150;height:15" id="docshape29" coordorigin="0,0" coordsize="9150,15" path="m9150,0l1530,0,0,0,0,15,1530,15,9150,15,9150,0xe" filled="true" fillcolor="#1c5349" stroked="false">
                  <v:path arrowok="t"/>
                  <v:fill type="solid"/>
                </v:shape>
              </v:group>
            </w:pict>
          </mc:Fallback>
        </mc:AlternateContent>
      </w:r>
      <w:r>
        <w:rPr>
          <w:sz w:val="2"/>
        </w:rPr>
      </w:r>
    </w:p>
    <w:p>
      <w:pPr>
        <w:spacing w:after="0" w:line="20" w:lineRule="exact"/>
        <w:rPr>
          <w:sz w:val="2"/>
        </w:rPr>
        <w:sectPr>
          <w:type w:val="continuous"/>
          <w:pgSz w:w="12240" w:h="15840"/>
          <w:pgMar w:top="1820" w:bottom="280" w:left="1440" w:right="1440"/>
        </w:sectPr>
      </w:pPr>
    </w:p>
    <w:p>
      <w:pPr>
        <w:spacing w:line="240" w:lineRule="auto"/>
        <w:ind w:left="105" w:right="0" w:firstLine="0"/>
        <w:rPr>
          <w:sz w:val="20"/>
        </w:rPr>
      </w:pPr>
      <w:r>
        <w:rPr>
          <w:sz w:val="20"/>
        </w:rPr>
        <mc:AlternateContent>
          <mc:Choice Requires="wps">
            <w:drawing>
              <wp:inline distT="0" distB="0" distL="0" distR="0">
                <wp:extent cx="5810250" cy="533400"/>
                <wp:effectExtent l="9525" t="0" r="0" b="9525"/>
                <wp:docPr id="42" name="Group 42"/>
                <wp:cNvGraphicFramePr>
                  <a:graphicFrameLocks/>
                </wp:cNvGraphicFramePr>
                <a:graphic>
                  <a:graphicData uri="http://schemas.microsoft.com/office/word/2010/wordprocessingGroup">
                    <wpg:wgp>
                      <wpg:cNvPr id="42" name="Group 42"/>
                      <wpg:cNvGrpSpPr/>
                      <wpg:grpSpPr>
                        <a:xfrm>
                          <a:off x="0" y="0"/>
                          <a:ext cx="5810250" cy="533400"/>
                          <a:chExt cx="5810250" cy="533400"/>
                        </a:xfrm>
                      </wpg:grpSpPr>
                      <wps:wsp>
                        <wps:cNvPr id="43" name="Graphic 43"/>
                        <wps:cNvSpPr/>
                        <wps:spPr>
                          <a:xfrm>
                            <a:off x="-12" y="6"/>
                            <a:ext cx="5810250" cy="514350"/>
                          </a:xfrm>
                          <a:custGeom>
                            <a:avLst/>
                            <a:gdLst/>
                            <a:ahLst/>
                            <a:cxnLst/>
                            <a:rect l="l" t="t" r="r" b="b"/>
                            <a:pathLst>
                              <a:path w="5810250" h="514350">
                                <a:moveTo>
                                  <a:pt x="5810250" y="0"/>
                                </a:moveTo>
                                <a:lnTo>
                                  <a:pt x="971550" y="0"/>
                                </a:lnTo>
                                <a:lnTo>
                                  <a:pt x="0" y="0"/>
                                </a:lnTo>
                                <a:lnTo>
                                  <a:pt x="0" y="514350"/>
                                </a:lnTo>
                                <a:lnTo>
                                  <a:pt x="971550" y="514350"/>
                                </a:lnTo>
                                <a:lnTo>
                                  <a:pt x="5810250" y="514350"/>
                                </a:lnTo>
                                <a:lnTo>
                                  <a:pt x="5810250" y="0"/>
                                </a:lnTo>
                                <a:close/>
                              </a:path>
                            </a:pathLst>
                          </a:custGeom>
                          <a:solidFill>
                            <a:srgbClr val="DDE6E3"/>
                          </a:solidFill>
                        </wps:spPr>
                        <wps:bodyPr wrap="square" lIns="0" tIns="0" rIns="0" bIns="0" rtlCol="0">
                          <a:prstTxWarp prst="textNoShape">
                            <a:avLst/>
                          </a:prstTxWarp>
                          <a:noAutofit/>
                        </wps:bodyPr>
                      </wps:wsp>
                      <wps:wsp>
                        <wps:cNvPr id="44" name="Graphic 44"/>
                        <wps:cNvSpPr/>
                        <wps:spPr>
                          <a:xfrm>
                            <a:off x="-12" y="523881"/>
                            <a:ext cx="5810250" cy="9525"/>
                          </a:xfrm>
                          <a:custGeom>
                            <a:avLst/>
                            <a:gdLst/>
                            <a:ahLst/>
                            <a:cxnLst/>
                            <a:rect l="l" t="t" r="r" b="b"/>
                            <a:pathLst>
                              <a:path w="5810250" h="9525">
                                <a:moveTo>
                                  <a:pt x="5810250" y="0"/>
                                </a:moveTo>
                                <a:lnTo>
                                  <a:pt x="971550" y="0"/>
                                </a:lnTo>
                                <a:lnTo>
                                  <a:pt x="0" y="0"/>
                                </a:lnTo>
                                <a:lnTo>
                                  <a:pt x="0" y="9525"/>
                                </a:lnTo>
                                <a:lnTo>
                                  <a:pt x="971550"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wps:wsp>
                        <wps:cNvPr id="45" name="Graphic 45"/>
                        <wps:cNvSpPr/>
                        <wps:spPr>
                          <a:xfrm>
                            <a:off x="-12" y="514356"/>
                            <a:ext cx="5810250" cy="9525"/>
                          </a:xfrm>
                          <a:custGeom>
                            <a:avLst/>
                            <a:gdLst/>
                            <a:ahLst/>
                            <a:cxnLst/>
                            <a:rect l="l" t="t" r="r" b="b"/>
                            <a:pathLst>
                              <a:path w="5810250" h="9525">
                                <a:moveTo>
                                  <a:pt x="5810250" y="0"/>
                                </a:moveTo>
                                <a:lnTo>
                                  <a:pt x="971550" y="0"/>
                                </a:lnTo>
                                <a:lnTo>
                                  <a:pt x="0" y="0"/>
                                </a:lnTo>
                                <a:lnTo>
                                  <a:pt x="0" y="9525"/>
                                </a:lnTo>
                                <a:lnTo>
                                  <a:pt x="971550" y="9525"/>
                                </a:lnTo>
                                <a:lnTo>
                                  <a:pt x="5810250" y="9525"/>
                                </a:lnTo>
                                <a:lnTo>
                                  <a:pt x="5810250" y="0"/>
                                </a:lnTo>
                                <a:close/>
                              </a:path>
                            </a:pathLst>
                          </a:custGeom>
                          <a:solidFill>
                            <a:srgbClr val="256E60"/>
                          </a:solidFill>
                        </wps:spPr>
                        <wps:bodyPr wrap="square" lIns="0" tIns="0" rIns="0" bIns="0" rtlCol="0">
                          <a:prstTxWarp prst="textNoShape">
                            <a:avLst/>
                          </a:prstTxWarp>
                          <a:noAutofit/>
                        </wps:bodyPr>
                      </wps:wsp>
                      <wps:wsp>
                        <wps:cNvPr id="46" name="Textbox 46"/>
                        <wps:cNvSpPr txBox="1"/>
                        <wps:spPr>
                          <a:xfrm>
                            <a:off x="53875" y="261190"/>
                            <a:ext cx="505459" cy="160020"/>
                          </a:xfrm>
                          <a:prstGeom prst="rect">
                            <a:avLst/>
                          </a:prstGeom>
                        </wps:spPr>
                        <wps:txbx>
                          <w:txbxContent>
                            <w:p>
                              <w:pPr>
                                <w:spacing w:line="250" w:lineRule="exact" w:before="0"/>
                                <w:ind w:left="0" w:right="0" w:firstLine="0"/>
                                <w:jc w:val="left"/>
                                <w:rPr>
                                  <w:rFonts w:ascii="Arial"/>
                                  <w:b/>
                                  <w:sz w:val="22"/>
                                </w:rPr>
                              </w:pPr>
                              <w:r>
                                <w:rPr>
                                  <w:rFonts w:ascii="Arial"/>
                                  <w:b/>
                                  <w:color w:val="1C5349"/>
                                  <w:spacing w:val="-2"/>
                                  <w:sz w:val="22"/>
                                </w:rPr>
                                <w:t>Normal</w:t>
                              </w:r>
                            </w:p>
                          </w:txbxContent>
                        </wps:txbx>
                        <wps:bodyPr wrap="square" lIns="0" tIns="0" rIns="0" bIns="0" rtlCol="0">
                          <a:noAutofit/>
                        </wps:bodyPr>
                      </wps:wsp>
                      <wps:wsp>
                        <wps:cNvPr id="47" name="Textbox 47"/>
                        <wps:cNvSpPr txBox="1"/>
                        <wps:spPr>
                          <a:xfrm>
                            <a:off x="1025425" y="89740"/>
                            <a:ext cx="4121785" cy="331470"/>
                          </a:xfrm>
                          <a:prstGeom prst="rect">
                            <a:avLst/>
                          </a:prstGeom>
                        </wps:spPr>
                        <wps:txbx>
                          <w:txbxContent>
                            <w:p>
                              <w:pPr>
                                <w:spacing w:line="256" w:lineRule="auto" w:before="0"/>
                                <w:ind w:left="0" w:right="0" w:firstLine="0"/>
                                <w:jc w:val="left"/>
                                <w:rPr>
                                  <w:rFonts w:ascii="Arial" w:hAnsi="Arial"/>
                                  <w:b/>
                                  <w:sz w:val="22"/>
                                </w:rPr>
                              </w:pPr>
                              <w:r>
                                <w:rPr>
                                  <w:rFonts w:ascii="Arial" w:hAnsi="Arial"/>
                                  <w:b/>
                                  <w:color w:val="1C5349"/>
                                  <w:sz w:val="22"/>
                                </w:rPr>
                                <w:t>0 to −1 SD From the </w:t>
                              </w:r>
                              <w:r>
                                <w:rPr>
                                  <w:rFonts w:ascii="Arial" w:hAnsi="Arial"/>
                                  <w:b/>
                                  <w:i/>
                                  <w:color w:val="1C5349"/>
                                  <w:sz w:val="22"/>
                                </w:rPr>
                                <w:t>T</w:t>
                              </w:r>
                              <w:r>
                                <w:rPr>
                                  <w:rFonts w:ascii="Arial" w:hAnsi="Arial"/>
                                  <w:b/>
                                  <w:color w:val="1C5349"/>
                                  <w:sz w:val="22"/>
                                </w:rPr>
                                <w:t>-Score Reference Standard (84% of </w:t>
                              </w:r>
                              <w:r>
                                <w:rPr>
                                  <w:rFonts w:ascii="Arial" w:hAnsi="Arial"/>
                                  <w:b/>
                                  <w:color w:val="1C5349"/>
                                  <w:sz w:val="22"/>
                                </w:rPr>
                                <w:t>the </w:t>
                              </w:r>
                              <w:r>
                                <w:rPr>
                                  <w:rFonts w:ascii="Arial" w:hAnsi="Arial"/>
                                  <w:b/>
                                  <w:color w:val="1C5349"/>
                                  <w:spacing w:val="-2"/>
                                  <w:sz w:val="22"/>
                                </w:rPr>
                                <w:t>Population)</w:t>
                              </w:r>
                            </w:p>
                          </w:txbxContent>
                        </wps:txbx>
                        <wps:bodyPr wrap="square" lIns="0" tIns="0" rIns="0" bIns="0" rtlCol="0">
                          <a:noAutofit/>
                        </wps:bodyPr>
                      </wps:wsp>
                    </wpg:wgp>
                  </a:graphicData>
                </a:graphic>
              </wp:inline>
            </w:drawing>
          </mc:Choice>
          <mc:Fallback>
            <w:pict>
              <v:group style="width:457.5pt;height:42pt;mso-position-horizontal-relative:char;mso-position-vertical-relative:line" id="docshapegroup30" coordorigin="0,0" coordsize="9150,840">
                <v:shape style="position:absolute;left:-1;top:0;width:9150;height:810" id="docshape31" coordorigin="0,0" coordsize="9150,810" path="m9150,0l1530,0,0,0,0,810,1530,810,9150,810,9150,0xe" filled="true" fillcolor="#dde6e3" stroked="false">
                  <v:path arrowok="t"/>
                  <v:fill type="solid"/>
                </v:shape>
                <v:shape style="position:absolute;left:-1;top:825;width:9150;height:15" id="docshape32" coordorigin="0,825" coordsize="9150,15" path="m9150,825l1530,825,0,825,0,840,1530,840,9150,840,9150,825xe" filled="true" fillcolor="#1c5349" stroked="false">
                  <v:path arrowok="t"/>
                  <v:fill type="solid"/>
                </v:shape>
                <v:shape style="position:absolute;left:-1;top:810;width:9150;height:15" id="docshape33" coordorigin="0,810" coordsize="9150,15" path="m9150,810l1530,810,0,810,0,825,1530,825,9150,825,9150,810xe" filled="true" fillcolor="#256e60" stroked="false">
                  <v:path arrowok="t"/>
                  <v:fill type="solid"/>
                </v:shape>
                <v:shape style="position:absolute;left:84;top:411;width:796;height:252" type="#_x0000_t202" id="docshape34" filled="false" stroked="false">
                  <v:textbox inset="0,0,0,0">
                    <w:txbxContent>
                      <w:p>
                        <w:pPr>
                          <w:spacing w:line="250" w:lineRule="exact" w:before="0"/>
                          <w:ind w:left="0" w:right="0" w:firstLine="0"/>
                          <w:jc w:val="left"/>
                          <w:rPr>
                            <w:rFonts w:ascii="Arial"/>
                            <w:b/>
                            <w:sz w:val="22"/>
                          </w:rPr>
                        </w:pPr>
                        <w:r>
                          <w:rPr>
                            <w:rFonts w:ascii="Arial"/>
                            <w:b/>
                            <w:color w:val="1C5349"/>
                            <w:spacing w:val="-2"/>
                            <w:sz w:val="22"/>
                          </w:rPr>
                          <w:t>Normal</w:t>
                        </w:r>
                      </w:p>
                    </w:txbxContent>
                  </v:textbox>
                  <w10:wrap type="none"/>
                </v:shape>
                <v:shape style="position:absolute;left:1614;top:141;width:6491;height:522" type="#_x0000_t202" id="docshape35" filled="false" stroked="false">
                  <v:textbox inset="0,0,0,0">
                    <w:txbxContent>
                      <w:p>
                        <w:pPr>
                          <w:spacing w:line="256" w:lineRule="auto" w:before="0"/>
                          <w:ind w:left="0" w:right="0" w:firstLine="0"/>
                          <w:jc w:val="left"/>
                          <w:rPr>
                            <w:rFonts w:ascii="Arial" w:hAnsi="Arial"/>
                            <w:b/>
                            <w:sz w:val="22"/>
                          </w:rPr>
                        </w:pPr>
                        <w:r>
                          <w:rPr>
                            <w:rFonts w:ascii="Arial" w:hAnsi="Arial"/>
                            <w:b/>
                            <w:color w:val="1C5349"/>
                            <w:sz w:val="22"/>
                          </w:rPr>
                          <w:t>0 to −1 SD From the </w:t>
                        </w:r>
                        <w:r>
                          <w:rPr>
                            <w:rFonts w:ascii="Arial" w:hAnsi="Arial"/>
                            <w:b/>
                            <w:i/>
                            <w:color w:val="1C5349"/>
                            <w:sz w:val="22"/>
                          </w:rPr>
                          <w:t>T</w:t>
                        </w:r>
                        <w:r>
                          <w:rPr>
                            <w:rFonts w:ascii="Arial" w:hAnsi="Arial"/>
                            <w:b/>
                            <w:color w:val="1C5349"/>
                            <w:sz w:val="22"/>
                          </w:rPr>
                          <w:t>-Score Reference Standard (84% of </w:t>
                        </w:r>
                        <w:r>
                          <w:rPr>
                            <w:rFonts w:ascii="Arial" w:hAnsi="Arial"/>
                            <w:b/>
                            <w:color w:val="1C5349"/>
                            <w:sz w:val="22"/>
                          </w:rPr>
                          <w:t>the </w:t>
                        </w:r>
                        <w:r>
                          <w:rPr>
                            <w:rFonts w:ascii="Arial" w:hAnsi="Arial"/>
                            <w:b/>
                            <w:color w:val="1C5349"/>
                            <w:spacing w:val="-2"/>
                            <w:sz w:val="22"/>
                          </w:rPr>
                          <w:t>Population)</w:t>
                        </w:r>
                      </w:p>
                    </w:txbxContent>
                  </v:textbox>
                  <w10:wrap type="none"/>
                </v:shape>
              </v:group>
            </w:pict>
          </mc:Fallback>
        </mc:AlternateContent>
      </w:r>
      <w:r>
        <w:rPr>
          <w:sz w:val="20"/>
        </w:rPr>
      </w:r>
    </w:p>
    <w:p>
      <w:pPr>
        <w:tabs>
          <w:tab w:pos="1719" w:val="left" w:leader="none"/>
        </w:tabs>
        <w:spacing w:line="554" w:lineRule="auto" w:before="114"/>
        <w:ind w:left="99" w:right="5086" w:firstLine="90"/>
        <w:jc w:val="left"/>
        <w:rPr>
          <w:sz w:val="22"/>
        </w:rPr>
      </w:pPr>
      <w:r>
        <w:rPr>
          <w:sz w:val="22"/>
        </w:rPr>
        <mc:AlternateContent>
          <mc:Choice Requires="wps">
            <w:drawing>
              <wp:anchor distT="0" distB="0" distL="0" distR="0" allowOverlap="1" layoutInCell="1" locked="0" behindDoc="0" simplePos="0" relativeHeight="15741440">
                <wp:simplePos x="0" y="0"/>
                <wp:positionH relativeFrom="page">
                  <wp:posOffset>981062</wp:posOffset>
                </wp:positionH>
                <wp:positionV relativeFrom="paragraph">
                  <wp:posOffset>336556</wp:posOffset>
                </wp:positionV>
                <wp:extent cx="5810250" cy="9525"/>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5810250" cy="9525"/>
                        </a:xfrm>
                        <a:custGeom>
                          <a:avLst/>
                          <a:gdLst/>
                          <a:ahLst/>
                          <a:cxnLst/>
                          <a:rect l="l" t="t" r="r" b="b"/>
                          <a:pathLst>
                            <a:path w="5810250" h="9525">
                              <a:moveTo>
                                <a:pt x="5810250" y="0"/>
                              </a:moveTo>
                              <a:lnTo>
                                <a:pt x="971550" y="0"/>
                              </a:lnTo>
                              <a:lnTo>
                                <a:pt x="0" y="0"/>
                              </a:lnTo>
                              <a:lnTo>
                                <a:pt x="0" y="9525"/>
                              </a:lnTo>
                              <a:lnTo>
                                <a:pt x="971550"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shape style="position:absolute;margin-left:77.249001pt;margin-top:26.500526pt;width:457.5pt;height:.75pt;mso-position-horizontal-relative:page;mso-position-vertical-relative:paragraph;z-index:15741440" id="docshape36" coordorigin="1545,530" coordsize="9150,15" path="m10695,530l3075,530,1545,530,1545,545,3075,545,10695,545,10695,530xe" filled="true" fillcolor="#1c5349" stroked="false">
                <v:path arrowok="t"/>
                <v:fill type="solid"/>
                <w10:wrap type="none"/>
              </v:shape>
            </w:pict>
          </mc:Fallback>
        </mc:AlternateContent>
      </w:r>
      <w:r>
        <w:rPr>
          <w:spacing w:val="-2"/>
          <w:sz w:val="22"/>
        </w:rPr>
        <w:t>Osteoporosis</w:t>
      </w:r>
      <w:r>
        <w:rPr>
          <w:sz w:val="22"/>
        </w:rPr>
        <w:tab/>
      </w:r>
      <w:r>
        <w:rPr>
          <w:i/>
          <w:sz w:val="22"/>
        </w:rPr>
        <w:t>T</w:t>
      </w:r>
      <w:r>
        <w:rPr>
          <w:sz w:val="22"/>
        </w:rPr>
        <w:t>-score at or below −2.5 </w:t>
      </w:r>
      <w:r>
        <w:rPr>
          <w:sz w:val="22"/>
        </w:rPr>
        <w:t>SD SD, standard deviation.</w:t>
      </w:r>
    </w:p>
    <w:p>
      <w:pPr>
        <w:spacing w:before="136"/>
        <w:ind w:left="99" w:right="0" w:firstLine="0"/>
        <w:jc w:val="left"/>
        <w:rPr>
          <w:rFonts w:ascii="Arial"/>
          <w:b/>
          <w:sz w:val="30"/>
        </w:rPr>
      </w:pPr>
      <w:r>
        <w:rPr>
          <w:rFonts w:ascii="Arial"/>
          <w:b/>
          <w:color w:val="2674AE"/>
          <w:sz w:val="30"/>
        </w:rPr>
        <w:t>Diagnostic </w:t>
      </w:r>
      <w:r>
        <w:rPr>
          <w:rFonts w:ascii="Arial"/>
          <w:b/>
          <w:color w:val="2674AE"/>
          <w:spacing w:val="-2"/>
          <w:sz w:val="30"/>
        </w:rPr>
        <w:t>Tests</w:t>
      </w:r>
    </w:p>
    <w:p>
      <w:pPr>
        <w:pStyle w:val="BodyText"/>
        <w:spacing w:line="249" w:lineRule="auto" w:before="166"/>
        <w:ind w:right="102"/>
      </w:pPr>
      <w:r>
        <w:rPr/>
        <w:t>Patients</w:t>
      </w:r>
      <w:r>
        <w:rPr>
          <w:spacing w:val="-3"/>
        </w:rPr>
        <w:t> </w:t>
      </w:r>
      <w:r>
        <w:rPr/>
        <w:t>with</w:t>
      </w:r>
      <w:r>
        <w:rPr>
          <w:spacing w:val="-3"/>
        </w:rPr>
        <w:t> </w:t>
      </w:r>
      <w:r>
        <w:rPr/>
        <w:t>osteoporosis</w:t>
      </w:r>
      <w:r>
        <w:rPr>
          <w:spacing w:val="-3"/>
        </w:rPr>
        <w:t> </w:t>
      </w:r>
      <w:r>
        <w:rPr/>
        <w:t>should</w:t>
      </w:r>
      <w:r>
        <w:rPr>
          <w:spacing w:val="-3"/>
        </w:rPr>
        <w:t> </w:t>
      </w:r>
      <w:r>
        <w:rPr/>
        <w:t>be</w:t>
      </w:r>
      <w:r>
        <w:rPr>
          <w:spacing w:val="-3"/>
        </w:rPr>
        <w:t> </w:t>
      </w:r>
      <w:r>
        <w:rPr/>
        <w:t>screened</w:t>
      </w:r>
      <w:r>
        <w:rPr>
          <w:spacing w:val="-3"/>
        </w:rPr>
        <w:t> </w:t>
      </w:r>
      <w:r>
        <w:rPr/>
        <w:t>for</w:t>
      </w:r>
      <w:r>
        <w:rPr>
          <w:spacing w:val="-3"/>
        </w:rPr>
        <w:t> </w:t>
      </w:r>
      <w:r>
        <w:rPr/>
        <w:t>underlying</w:t>
      </w:r>
      <w:r>
        <w:rPr>
          <w:spacing w:val="-3"/>
        </w:rPr>
        <w:t> </w:t>
      </w:r>
      <w:r>
        <w:rPr/>
        <w:t>conditions</w:t>
      </w:r>
      <w:r>
        <w:rPr>
          <w:spacing w:val="-3"/>
        </w:rPr>
        <w:t> </w:t>
      </w:r>
      <w:r>
        <w:rPr/>
        <w:t>that can lead to bone loss:</w:t>
      </w:r>
    </w:p>
    <w:p>
      <w:pPr>
        <w:pStyle w:val="ListParagraph"/>
        <w:numPr>
          <w:ilvl w:val="0"/>
          <w:numId w:val="4"/>
        </w:numPr>
        <w:tabs>
          <w:tab w:pos="434" w:val="left" w:leader="none"/>
          <w:tab w:pos="437" w:val="left" w:leader="none"/>
        </w:tabs>
        <w:spacing w:line="256" w:lineRule="auto" w:before="226" w:after="0"/>
        <w:ind w:left="437" w:right="109" w:hanging="243"/>
        <w:jc w:val="left"/>
        <w:rPr>
          <w:sz w:val="22"/>
        </w:rPr>
      </w:pPr>
      <w:r>
        <w:rPr>
          <w:sz w:val="22"/>
        </w:rPr>
        <w:t>Careful</w:t>
      </w:r>
      <w:r>
        <w:rPr>
          <w:spacing w:val="32"/>
          <w:sz w:val="22"/>
        </w:rPr>
        <w:t> </w:t>
      </w:r>
      <w:r>
        <w:rPr>
          <w:sz w:val="22"/>
        </w:rPr>
        <w:t>history</w:t>
      </w:r>
      <w:r>
        <w:rPr>
          <w:spacing w:val="32"/>
          <w:sz w:val="22"/>
        </w:rPr>
        <w:t> </w:t>
      </w:r>
      <w:r>
        <w:rPr>
          <w:sz w:val="22"/>
        </w:rPr>
        <w:t>and,</w:t>
      </w:r>
      <w:r>
        <w:rPr>
          <w:spacing w:val="32"/>
          <w:sz w:val="22"/>
        </w:rPr>
        <w:t> </w:t>
      </w:r>
      <w:r>
        <w:rPr>
          <w:sz w:val="22"/>
        </w:rPr>
        <w:t>when</w:t>
      </w:r>
      <w:r>
        <w:rPr>
          <w:spacing w:val="32"/>
          <w:sz w:val="22"/>
        </w:rPr>
        <w:t> </w:t>
      </w:r>
      <w:r>
        <w:rPr>
          <w:sz w:val="22"/>
        </w:rPr>
        <w:t>indicated,</w:t>
      </w:r>
      <w:r>
        <w:rPr>
          <w:spacing w:val="32"/>
          <w:sz w:val="22"/>
        </w:rPr>
        <w:t> </w:t>
      </w:r>
      <w:r>
        <w:rPr>
          <w:sz w:val="22"/>
        </w:rPr>
        <w:t>appropriate</w:t>
      </w:r>
      <w:r>
        <w:rPr>
          <w:spacing w:val="32"/>
          <w:sz w:val="22"/>
        </w:rPr>
        <w:t> </w:t>
      </w:r>
      <w:r>
        <w:rPr>
          <w:sz w:val="22"/>
        </w:rPr>
        <w:t>laboratory</w:t>
      </w:r>
      <w:r>
        <w:rPr>
          <w:spacing w:val="32"/>
          <w:sz w:val="22"/>
        </w:rPr>
        <w:t> </w:t>
      </w:r>
      <w:r>
        <w:rPr>
          <w:sz w:val="22"/>
        </w:rPr>
        <w:t>studies</w:t>
      </w:r>
      <w:r>
        <w:rPr>
          <w:spacing w:val="32"/>
          <w:sz w:val="22"/>
        </w:rPr>
        <w:t> </w:t>
      </w:r>
      <w:r>
        <w:rPr>
          <w:sz w:val="22"/>
        </w:rPr>
        <w:t>to</w:t>
      </w:r>
      <w:r>
        <w:rPr>
          <w:spacing w:val="32"/>
          <w:sz w:val="22"/>
        </w:rPr>
        <w:t> </w:t>
      </w:r>
      <w:r>
        <w:rPr>
          <w:sz w:val="22"/>
        </w:rPr>
        <w:t>rule</w:t>
      </w:r>
      <w:r>
        <w:rPr>
          <w:spacing w:val="32"/>
          <w:sz w:val="22"/>
        </w:rPr>
        <w:t> </w:t>
      </w:r>
      <w:r>
        <w:rPr>
          <w:sz w:val="22"/>
        </w:rPr>
        <w:t>out</w:t>
      </w:r>
      <w:r>
        <w:rPr>
          <w:spacing w:val="32"/>
          <w:sz w:val="22"/>
        </w:rPr>
        <w:t> </w:t>
      </w:r>
      <w:r>
        <w:rPr>
          <w:sz w:val="22"/>
        </w:rPr>
        <w:t>long-term</w:t>
      </w:r>
      <w:r>
        <w:rPr>
          <w:spacing w:val="32"/>
          <w:sz w:val="22"/>
        </w:rPr>
        <w:t> </w:t>
      </w:r>
      <w:r>
        <w:rPr>
          <w:sz w:val="22"/>
        </w:rPr>
        <w:t>use</w:t>
      </w:r>
      <w:r>
        <w:rPr>
          <w:spacing w:val="32"/>
          <w:sz w:val="22"/>
        </w:rPr>
        <w:t> </w:t>
      </w:r>
      <w:r>
        <w:rPr>
          <w:sz w:val="22"/>
        </w:rPr>
        <w:t>of bone-losing medications, alcohol abuse, metastatic cancer, and chronic liver disease</w:t>
      </w:r>
    </w:p>
    <w:p>
      <w:pPr>
        <w:pStyle w:val="ListParagraph"/>
        <w:numPr>
          <w:ilvl w:val="0"/>
          <w:numId w:val="4"/>
        </w:numPr>
        <w:tabs>
          <w:tab w:pos="434" w:val="left" w:leader="none"/>
        </w:tabs>
        <w:spacing w:line="252" w:lineRule="exact" w:before="0" w:after="0"/>
        <w:ind w:left="434" w:right="0" w:hanging="240"/>
        <w:jc w:val="left"/>
        <w:rPr>
          <w:sz w:val="22"/>
        </w:rPr>
      </w:pPr>
      <w:r>
        <w:rPr>
          <w:sz w:val="22"/>
        </w:rPr>
        <w:t>Serum</w:t>
      </w:r>
      <w:r>
        <w:rPr>
          <w:spacing w:val="12"/>
          <w:sz w:val="22"/>
        </w:rPr>
        <w:t> </w:t>
      </w:r>
      <w:r>
        <w:rPr>
          <w:sz w:val="22"/>
        </w:rPr>
        <w:t>25-hydroxyvitamin</w:t>
      </w:r>
      <w:r>
        <w:rPr>
          <w:spacing w:val="13"/>
          <w:sz w:val="22"/>
        </w:rPr>
        <w:t> </w:t>
      </w:r>
      <w:r>
        <w:rPr>
          <w:sz w:val="22"/>
        </w:rPr>
        <w:t>D:</w:t>
      </w:r>
      <w:r>
        <w:rPr>
          <w:spacing w:val="13"/>
          <w:sz w:val="22"/>
        </w:rPr>
        <w:t> </w:t>
      </w:r>
      <w:r>
        <w:rPr>
          <w:sz w:val="22"/>
        </w:rPr>
        <w:t>for</w:t>
      </w:r>
      <w:r>
        <w:rPr>
          <w:spacing w:val="13"/>
          <w:sz w:val="22"/>
        </w:rPr>
        <w:t> </w:t>
      </w:r>
      <w:r>
        <w:rPr>
          <w:sz w:val="22"/>
        </w:rPr>
        <w:t>vitamin</w:t>
      </w:r>
      <w:r>
        <w:rPr>
          <w:spacing w:val="13"/>
          <w:sz w:val="22"/>
        </w:rPr>
        <w:t> </w:t>
      </w:r>
      <w:r>
        <w:rPr>
          <w:sz w:val="22"/>
        </w:rPr>
        <w:t>D</w:t>
      </w:r>
      <w:r>
        <w:rPr>
          <w:spacing w:val="13"/>
          <w:sz w:val="22"/>
        </w:rPr>
        <w:t> </w:t>
      </w:r>
      <w:r>
        <w:rPr>
          <w:spacing w:val="-2"/>
          <w:sz w:val="22"/>
        </w:rPr>
        <w:t>deficiency</w:t>
      </w:r>
    </w:p>
    <w:p>
      <w:pPr>
        <w:pStyle w:val="ListParagraph"/>
        <w:numPr>
          <w:ilvl w:val="0"/>
          <w:numId w:val="4"/>
        </w:numPr>
        <w:tabs>
          <w:tab w:pos="434" w:val="left" w:leader="none"/>
        </w:tabs>
        <w:spacing w:line="240" w:lineRule="auto" w:before="16" w:after="0"/>
        <w:ind w:left="434" w:right="0" w:hanging="240"/>
        <w:jc w:val="left"/>
        <w:rPr>
          <w:sz w:val="22"/>
        </w:rPr>
      </w:pPr>
      <w:r>
        <w:rPr>
          <w:sz w:val="22"/>
        </w:rPr>
        <w:t>Serum</w:t>
      </w:r>
      <w:r>
        <w:rPr>
          <w:spacing w:val="14"/>
          <w:sz w:val="22"/>
        </w:rPr>
        <w:t> </w:t>
      </w:r>
      <w:r>
        <w:rPr>
          <w:sz w:val="22"/>
        </w:rPr>
        <w:t>PTH,</w:t>
      </w:r>
      <w:r>
        <w:rPr>
          <w:spacing w:val="14"/>
          <w:sz w:val="22"/>
        </w:rPr>
        <w:t> </w:t>
      </w:r>
      <w:r>
        <w:rPr>
          <w:sz w:val="22"/>
        </w:rPr>
        <w:t>calcium,</w:t>
      </w:r>
      <w:r>
        <w:rPr>
          <w:spacing w:val="14"/>
          <w:sz w:val="22"/>
        </w:rPr>
        <w:t> </w:t>
      </w:r>
      <w:r>
        <w:rPr>
          <w:sz w:val="22"/>
        </w:rPr>
        <w:t>phosphorus,</w:t>
      </w:r>
      <w:r>
        <w:rPr>
          <w:spacing w:val="15"/>
          <w:sz w:val="22"/>
        </w:rPr>
        <w:t> </w:t>
      </w:r>
      <w:r>
        <w:rPr>
          <w:sz w:val="22"/>
        </w:rPr>
        <w:t>and</w:t>
      </w:r>
      <w:r>
        <w:rPr>
          <w:spacing w:val="14"/>
          <w:sz w:val="22"/>
        </w:rPr>
        <w:t> </w:t>
      </w:r>
      <w:r>
        <w:rPr>
          <w:sz w:val="22"/>
        </w:rPr>
        <w:t>alkaline</w:t>
      </w:r>
      <w:r>
        <w:rPr>
          <w:spacing w:val="14"/>
          <w:sz w:val="22"/>
        </w:rPr>
        <w:t> </w:t>
      </w:r>
      <w:r>
        <w:rPr>
          <w:sz w:val="22"/>
        </w:rPr>
        <w:t>phosphatase:</w:t>
      </w:r>
      <w:r>
        <w:rPr>
          <w:spacing w:val="14"/>
          <w:sz w:val="22"/>
        </w:rPr>
        <w:t> </w:t>
      </w:r>
      <w:r>
        <w:rPr>
          <w:sz w:val="22"/>
        </w:rPr>
        <w:t>for</w:t>
      </w:r>
      <w:r>
        <w:rPr>
          <w:spacing w:val="15"/>
          <w:sz w:val="22"/>
        </w:rPr>
        <w:t> </w:t>
      </w:r>
      <w:r>
        <w:rPr>
          <w:sz w:val="22"/>
        </w:rPr>
        <w:t>primary</w:t>
      </w:r>
      <w:r>
        <w:rPr>
          <w:spacing w:val="14"/>
          <w:sz w:val="22"/>
        </w:rPr>
        <w:t> </w:t>
      </w:r>
      <w:r>
        <w:rPr>
          <w:spacing w:val="-2"/>
          <w:sz w:val="22"/>
        </w:rPr>
        <w:t>hyperparathyroidism</w:t>
      </w:r>
    </w:p>
    <w:p>
      <w:pPr>
        <w:pStyle w:val="ListParagraph"/>
        <w:numPr>
          <w:ilvl w:val="0"/>
          <w:numId w:val="4"/>
        </w:numPr>
        <w:tabs>
          <w:tab w:pos="434" w:val="left" w:leader="none"/>
        </w:tabs>
        <w:spacing w:line="240" w:lineRule="auto" w:before="16" w:after="0"/>
        <w:ind w:left="434" w:right="0" w:hanging="240"/>
        <w:jc w:val="left"/>
        <w:rPr>
          <w:sz w:val="22"/>
        </w:rPr>
      </w:pPr>
      <w:r>
        <w:rPr>
          <w:sz w:val="22"/>
        </w:rPr>
        <w:t>Renal</w:t>
      </w:r>
      <w:r>
        <w:rPr>
          <w:spacing w:val="14"/>
          <w:sz w:val="22"/>
        </w:rPr>
        <w:t> </w:t>
      </w:r>
      <w:r>
        <w:rPr>
          <w:sz w:val="22"/>
        </w:rPr>
        <w:t>function</w:t>
      </w:r>
      <w:r>
        <w:rPr>
          <w:spacing w:val="15"/>
          <w:sz w:val="22"/>
        </w:rPr>
        <w:t> </w:t>
      </w:r>
      <w:r>
        <w:rPr>
          <w:sz w:val="22"/>
        </w:rPr>
        <w:t>tests:</w:t>
      </w:r>
      <w:r>
        <w:rPr>
          <w:spacing w:val="15"/>
          <w:sz w:val="22"/>
        </w:rPr>
        <w:t> </w:t>
      </w:r>
      <w:r>
        <w:rPr>
          <w:sz w:val="22"/>
        </w:rPr>
        <w:t>for</w:t>
      </w:r>
      <w:r>
        <w:rPr>
          <w:spacing w:val="14"/>
          <w:sz w:val="22"/>
        </w:rPr>
        <w:t> </w:t>
      </w:r>
      <w:r>
        <w:rPr>
          <w:sz w:val="22"/>
        </w:rPr>
        <w:t>secondary</w:t>
      </w:r>
      <w:r>
        <w:rPr>
          <w:spacing w:val="15"/>
          <w:sz w:val="22"/>
        </w:rPr>
        <w:t> </w:t>
      </w:r>
      <w:r>
        <w:rPr>
          <w:sz w:val="22"/>
        </w:rPr>
        <w:t>hyperparathyroidism</w:t>
      </w:r>
      <w:r>
        <w:rPr>
          <w:spacing w:val="15"/>
          <w:sz w:val="22"/>
        </w:rPr>
        <w:t> </w:t>
      </w:r>
      <w:r>
        <w:rPr>
          <w:sz w:val="22"/>
        </w:rPr>
        <w:t>with</w:t>
      </w:r>
      <w:r>
        <w:rPr>
          <w:spacing w:val="14"/>
          <w:sz w:val="22"/>
        </w:rPr>
        <w:t> </w:t>
      </w:r>
      <w:r>
        <w:rPr>
          <w:sz w:val="22"/>
        </w:rPr>
        <w:t>chronic</w:t>
      </w:r>
      <w:r>
        <w:rPr>
          <w:spacing w:val="15"/>
          <w:sz w:val="22"/>
        </w:rPr>
        <w:t> </w:t>
      </w:r>
      <w:r>
        <w:rPr>
          <w:sz w:val="22"/>
        </w:rPr>
        <w:t>renal</w:t>
      </w:r>
      <w:r>
        <w:rPr>
          <w:spacing w:val="15"/>
          <w:sz w:val="22"/>
        </w:rPr>
        <w:t> </w:t>
      </w:r>
      <w:r>
        <w:rPr>
          <w:spacing w:val="-2"/>
          <w:sz w:val="22"/>
        </w:rPr>
        <w:t>failure</w:t>
      </w:r>
    </w:p>
    <w:p>
      <w:pPr>
        <w:pStyle w:val="ListParagraph"/>
        <w:numPr>
          <w:ilvl w:val="0"/>
          <w:numId w:val="4"/>
        </w:numPr>
        <w:tabs>
          <w:tab w:pos="434" w:val="left" w:leader="none"/>
        </w:tabs>
        <w:spacing w:line="240" w:lineRule="auto" w:before="16" w:after="0"/>
        <w:ind w:left="434" w:right="0" w:hanging="240"/>
        <w:jc w:val="left"/>
        <w:rPr>
          <w:sz w:val="22"/>
        </w:rPr>
      </w:pPr>
      <w:r>
        <w:rPr>
          <w:sz w:val="22"/>
        </w:rPr>
        <w:t>Thyroid</w:t>
      </w:r>
      <w:r>
        <w:rPr>
          <w:spacing w:val="14"/>
          <w:sz w:val="22"/>
        </w:rPr>
        <w:t> </w:t>
      </w:r>
      <w:r>
        <w:rPr>
          <w:sz w:val="22"/>
        </w:rPr>
        <w:t>function</w:t>
      </w:r>
      <w:r>
        <w:rPr>
          <w:spacing w:val="15"/>
          <w:sz w:val="22"/>
        </w:rPr>
        <w:t> </w:t>
      </w:r>
      <w:r>
        <w:rPr>
          <w:sz w:val="22"/>
        </w:rPr>
        <w:t>tests:</w:t>
      </w:r>
      <w:r>
        <w:rPr>
          <w:spacing w:val="15"/>
          <w:sz w:val="22"/>
        </w:rPr>
        <w:t> </w:t>
      </w:r>
      <w:r>
        <w:rPr>
          <w:sz w:val="22"/>
        </w:rPr>
        <w:t>for</w:t>
      </w:r>
      <w:r>
        <w:rPr>
          <w:spacing w:val="14"/>
          <w:sz w:val="22"/>
        </w:rPr>
        <w:t> </w:t>
      </w:r>
      <w:r>
        <w:rPr>
          <w:sz w:val="22"/>
        </w:rPr>
        <w:t>hyperthyroidism</w:t>
      </w:r>
      <w:r>
        <w:rPr>
          <w:spacing w:val="15"/>
          <w:sz w:val="22"/>
        </w:rPr>
        <w:t> </w:t>
      </w:r>
      <w:r>
        <w:rPr>
          <w:sz w:val="22"/>
        </w:rPr>
        <w:t>and</w:t>
      </w:r>
      <w:r>
        <w:rPr>
          <w:spacing w:val="15"/>
          <w:sz w:val="22"/>
        </w:rPr>
        <w:t> </w:t>
      </w:r>
      <w:r>
        <w:rPr>
          <w:sz w:val="22"/>
        </w:rPr>
        <w:t>excessive</w:t>
      </w:r>
      <w:r>
        <w:rPr>
          <w:spacing w:val="15"/>
          <w:sz w:val="22"/>
        </w:rPr>
        <w:t> </w:t>
      </w:r>
      <w:r>
        <w:rPr>
          <w:sz w:val="22"/>
        </w:rPr>
        <w:t>thyroid</w:t>
      </w:r>
      <w:r>
        <w:rPr>
          <w:spacing w:val="14"/>
          <w:sz w:val="22"/>
        </w:rPr>
        <w:t> </w:t>
      </w:r>
      <w:r>
        <w:rPr>
          <w:sz w:val="22"/>
        </w:rPr>
        <w:t>hormone</w:t>
      </w:r>
      <w:r>
        <w:rPr>
          <w:spacing w:val="15"/>
          <w:sz w:val="22"/>
        </w:rPr>
        <w:t> </w:t>
      </w:r>
      <w:r>
        <w:rPr>
          <w:spacing w:val="-2"/>
          <w:sz w:val="22"/>
        </w:rPr>
        <w:t>treatment</w:t>
      </w:r>
    </w:p>
    <w:p>
      <w:pPr>
        <w:pStyle w:val="ListParagraph"/>
        <w:numPr>
          <w:ilvl w:val="0"/>
          <w:numId w:val="4"/>
        </w:numPr>
        <w:tabs>
          <w:tab w:pos="434" w:val="left" w:leader="none"/>
          <w:tab w:pos="437" w:val="left" w:leader="none"/>
        </w:tabs>
        <w:spacing w:line="256" w:lineRule="auto" w:before="16" w:after="0"/>
        <w:ind w:left="437" w:right="109" w:hanging="243"/>
        <w:jc w:val="left"/>
        <w:rPr>
          <w:sz w:val="22"/>
        </w:rPr>
      </w:pPr>
      <w:r>
        <w:rPr>
          <w:sz w:val="22"/>
        </w:rPr>
        <w:t>Blood</w:t>
      </w:r>
      <w:r>
        <w:rPr>
          <w:spacing w:val="39"/>
          <w:sz w:val="22"/>
        </w:rPr>
        <w:t> </w:t>
      </w:r>
      <w:r>
        <w:rPr>
          <w:sz w:val="22"/>
        </w:rPr>
        <w:t>count</w:t>
      </w:r>
      <w:r>
        <w:rPr>
          <w:spacing w:val="39"/>
          <w:sz w:val="22"/>
        </w:rPr>
        <w:t> </w:t>
      </w:r>
      <w:r>
        <w:rPr>
          <w:sz w:val="22"/>
        </w:rPr>
        <w:t>and</w:t>
      </w:r>
      <w:r>
        <w:rPr>
          <w:spacing w:val="39"/>
          <w:sz w:val="22"/>
        </w:rPr>
        <w:t> </w:t>
      </w:r>
      <w:r>
        <w:rPr>
          <w:sz w:val="22"/>
        </w:rPr>
        <w:t>smear,</w:t>
      </w:r>
      <w:r>
        <w:rPr>
          <w:spacing w:val="39"/>
          <w:sz w:val="22"/>
        </w:rPr>
        <w:t> </w:t>
      </w:r>
      <w:r>
        <w:rPr>
          <w:sz w:val="22"/>
        </w:rPr>
        <w:t>sedimentation</w:t>
      </w:r>
      <w:r>
        <w:rPr>
          <w:spacing w:val="39"/>
          <w:sz w:val="22"/>
        </w:rPr>
        <w:t> </w:t>
      </w:r>
      <w:r>
        <w:rPr>
          <w:sz w:val="22"/>
        </w:rPr>
        <w:t>rate,</w:t>
      </w:r>
      <w:r>
        <w:rPr>
          <w:spacing w:val="39"/>
          <w:sz w:val="22"/>
        </w:rPr>
        <w:t> </w:t>
      </w:r>
      <w:r>
        <w:rPr>
          <w:sz w:val="22"/>
        </w:rPr>
        <w:t>and</w:t>
      </w:r>
      <w:r>
        <w:rPr>
          <w:spacing w:val="39"/>
          <w:sz w:val="22"/>
        </w:rPr>
        <w:t> </w:t>
      </w:r>
      <w:r>
        <w:rPr>
          <w:sz w:val="22"/>
        </w:rPr>
        <w:t>protein</w:t>
      </w:r>
      <w:r>
        <w:rPr>
          <w:spacing w:val="39"/>
          <w:sz w:val="22"/>
        </w:rPr>
        <w:t> </w:t>
      </w:r>
      <w:r>
        <w:rPr>
          <w:sz w:val="22"/>
        </w:rPr>
        <w:t>electrophoresis:</w:t>
      </w:r>
      <w:r>
        <w:rPr>
          <w:spacing w:val="39"/>
          <w:sz w:val="22"/>
        </w:rPr>
        <w:t> </w:t>
      </w:r>
      <w:r>
        <w:rPr>
          <w:sz w:val="22"/>
        </w:rPr>
        <w:t>for</w:t>
      </w:r>
      <w:r>
        <w:rPr>
          <w:spacing w:val="39"/>
          <w:sz w:val="22"/>
        </w:rPr>
        <w:t> </w:t>
      </w:r>
      <w:r>
        <w:rPr>
          <w:sz w:val="22"/>
        </w:rPr>
        <w:t>multiple</w:t>
      </w:r>
      <w:r>
        <w:rPr>
          <w:spacing w:val="39"/>
          <w:sz w:val="22"/>
        </w:rPr>
        <w:t> </w:t>
      </w:r>
      <w:r>
        <w:rPr>
          <w:sz w:val="22"/>
        </w:rPr>
        <w:t>myeloma, leukemia, or lymphoma</w:t>
      </w:r>
    </w:p>
    <w:p>
      <w:pPr>
        <w:pStyle w:val="BodyText"/>
        <w:spacing w:line="249" w:lineRule="auto" w:before="224"/>
        <w:ind w:right="97" w:firstLine="450"/>
      </w:pPr>
      <w:r>
        <w:rPr/>
        <w:t>Excess thyroxine treatment can cause bone loss. However, </w:t>
      </w:r>
      <w:r>
        <w:rPr/>
        <w:t>retrospective studies of thyroid function and bone mass have not produced uniform conclusions.</w:t>
      </w:r>
      <w:r>
        <w:rPr>
          <w:vertAlign w:val="superscript"/>
        </w:rPr>
        <w:t>93</w:t>
      </w:r>
      <w:r>
        <w:rPr>
          <w:vertAlign w:val="baseline"/>
        </w:rPr>
        <w:t> In the Study of Osteoporotic Fractures research study,</w:t>
      </w:r>
      <w:r>
        <w:rPr>
          <w:spacing w:val="40"/>
          <w:vertAlign w:val="baseline"/>
        </w:rPr>
        <w:t> </w:t>
      </w:r>
      <w:r>
        <w:rPr>
          <w:vertAlign w:val="baseline"/>
        </w:rPr>
        <w:t>women with a previous history of hyperthyroidism had an increased risk of subsequent hip fractures, and women taking thyroid hormone also had an increased risk of fracture (which did not reach statistical significance).</w:t>
      </w:r>
      <w:r>
        <w:rPr>
          <w:vertAlign w:val="superscript"/>
        </w:rPr>
        <w:t>94</w:t>
      </w:r>
      <w:r>
        <w:rPr>
          <w:vertAlign w:val="baseline"/>
        </w:rPr>
        <w:t> However, in a prospective assessment of thyroid-stimulating hormone (TSH) levels in the Study of Osteoporotic Fractures, no association could</w:t>
      </w:r>
      <w:r>
        <w:rPr>
          <w:spacing w:val="40"/>
          <w:vertAlign w:val="baseline"/>
        </w:rPr>
        <w:t> </w:t>
      </w:r>
      <w:r>
        <w:rPr>
          <w:vertAlign w:val="baseline"/>
        </w:rPr>
        <w:t>be detected between low TSH and bone loss.</w:t>
      </w:r>
      <w:r>
        <w:rPr>
          <w:vertAlign w:val="superscript"/>
        </w:rPr>
        <w:t>95</w:t>
      </w:r>
      <w:r>
        <w:rPr>
          <w:vertAlign w:val="baseline"/>
        </w:rPr>
        <w:t> A recent meta-analysis provides evidence of increased fracture risk for the spine, hip, and wrist in both subclinical hyperthyroidism and subclinical hypothyroidism.</w:t>
      </w:r>
      <w:r>
        <w:rPr>
          <w:vertAlign w:val="superscript"/>
        </w:rPr>
        <w:t>96</w:t>
      </w:r>
      <w:r>
        <w:rPr>
          <w:vertAlign w:val="baseline"/>
        </w:rPr>
        <w:t> </w:t>
      </w:r>
      <w:r>
        <w:rPr>
          <w:b/>
          <w:vertAlign w:val="baseline"/>
        </w:rPr>
        <w:t>It is thus prudent to screen for thyroid dysfunction in postmenopausal women with osteoporosis as well as those with osteopenia and maintain TSH levels within the normal range</w:t>
      </w:r>
      <w:r>
        <w:rPr>
          <w:vertAlign w:val="baseline"/>
        </w:rPr>
        <w:t>.</w:t>
      </w:r>
    </w:p>
    <w:p>
      <w:pPr>
        <w:spacing w:before="301"/>
        <w:ind w:left="99" w:right="0" w:firstLine="0"/>
        <w:jc w:val="both"/>
        <w:rPr>
          <w:rFonts w:ascii="Arial"/>
          <w:b/>
          <w:i/>
          <w:sz w:val="22"/>
        </w:rPr>
      </w:pPr>
      <w:r>
        <w:rPr>
          <w:rFonts w:ascii="Arial"/>
          <w:b/>
          <w:i/>
          <w:color w:val="A0234E"/>
          <w:sz w:val="22"/>
        </w:rPr>
        <w:t>Should</w:t>
      </w:r>
      <w:r>
        <w:rPr>
          <w:rFonts w:ascii="Arial"/>
          <w:b/>
          <w:i/>
          <w:color w:val="A0234E"/>
          <w:spacing w:val="15"/>
          <w:sz w:val="22"/>
        </w:rPr>
        <w:t> </w:t>
      </w:r>
      <w:r>
        <w:rPr>
          <w:rFonts w:ascii="Arial"/>
          <w:b/>
          <w:i/>
          <w:color w:val="A0234E"/>
          <w:sz w:val="22"/>
        </w:rPr>
        <w:t>Osteopenia</w:t>
      </w:r>
      <w:r>
        <w:rPr>
          <w:rFonts w:ascii="Arial"/>
          <w:b/>
          <w:i/>
          <w:color w:val="A0234E"/>
          <w:spacing w:val="16"/>
          <w:sz w:val="22"/>
        </w:rPr>
        <w:t> </w:t>
      </w:r>
      <w:r>
        <w:rPr>
          <w:rFonts w:ascii="Arial"/>
          <w:b/>
          <w:i/>
          <w:color w:val="A0234E"/>
          <w:sz w:val="22"/>
        </w:rPr>
        <w:t>Be</w:t>
      </w:r>
      <w:r>
        <w:rPr>
          <w:rFonts w:ascii="Arial"/>
          <w:b/>
          <w:i/>
          <w:color w:val="A0234E"/>
          <w:spacing w:val="16"/>
          <w:sz w:val="22"/>
        </w:rPr>
        <w:t> </w:t>
      </w:r>
      <w:r>
        <w:rPr>
          <w:rFonts w:ascii="Arial"/>
          <w:b/>
          <w:i/>
          <w:color w:val="A0234E"/>
          <w:spacing w:val="-2"/>
          <w:sz w:val="22"/>
        </w:rPr>
        <w:t>Treated?</w:t>
      </w:r>
    </w:p>
    <w:p>
      <w:pPr>
        <w:pStyle w:val="BodyText"/>
        <w:spacing w:line="249" w:lineRule="auto" w:before="138"/>
        <w:ind w:right="101"/>
      </w:pPr>
      <w:r>
        <w:rPr/>
        <w:t>The term “low bone mass” is now preferred to the older term </w:t>
      </w:r>
      <w:r>
        <w:rPr/>
        <w:t>“osteopenia,” as defined by bone density </w:t>
      </w:r>
      <w:r>
        <w:rPr>
          <w:i/>
        </w:rPr>
        <w:t>T</w:t>
      </w:r>
      <w:r>
        <w:rPr/>
        <w:t>-scores between −1.0 and −2.5. Approximately 40%</w:t>
      </w:r>
      <w:r>
        <w:rPr>
          <w:spacing w:val="13"/>
        </w:rPr>
        <w:t> </w:t>
      </w:r>
      <w:r>
        <w:rPr/>
        <w:t>of</w:t>
      </w:r>
      <w:r>
        <w:rPr>
          <w:spacing w:val="13"/>
        </w:rPr>
        <w:t> </w:t>
      </w:r>
      <w:r>
        <w:rPr/>
        <w:t>American</w:t>
      </w:r>
      <w:r>
        <w:rPr>
          <w:spacing w:val="13"/>
        </w:rPr>
        <w:t> </w:t>
      </w:r>
      <w:r>
        <w:rPr/>
        <w:t>postmenopausal</w:t>
      </w:r>
      <w:r>
        <w:rPr>
          <w:spacing w:val="13"/>
        </w:rPr>
        <w:t> </w:t>
      </w:r>
      <w:r>
        <w:rPr/>
        <w:t>women</w:t>
      </w:r>
      <w:r>
        <w:rPr>
          <w:spacing w:val="13"/>
        </w:rPr>
        <w:t> </w:t>
      </w:r>
      <w:r>
        <w:rPr/>
        <w:t>have</w:t>
      </w:r>
      <w:r>
        <w:rPr>
          <w:spacing w:val="13"/>
        </w:rPr>
        <w:t> </w:t>
      </w:r>
      <w:r>
        <w:rPr/>
        <w:t>bone</w:t>
      </w:r>
      <w:r>
        <w:rPr>
          <w:spacing w:val="13"/>
        </w:rPr>
        <w:t> </w:t>
      </w:r>
      <w:r>
        <w:rPr/>
        <w:t>densities</w:t>
      </w:r>
      <w:r>
        <w:rPr>
          <w:spacing w:val="13"/>
        </w:rPr>
        <w:t> </w:t>
      </w:r>
      <w:r>
        <w:rPr/>
        <w:t>in</w:t>
      </w:r>
      <w:r>
        <w:rPr>
          <w:spacing w:val="13"/>
        </w:rPr>
        <w:t> </w:t>
      </w:r>
      <w:r>
        <w:rPr/>
        <w:t>the</w:t>
      </w:r>
      <w:r>
        <w:rPr>
          <w:spacing w:val="13"/>
        </w:rPr>
        <w:t> </w:t>
      </w:r>
      <w:r>
        <w:rPr>
          <w:spacing w:val="-2"/>
        </w:rPr>
        <w:t>range</w:t>
      </w:r>
    </w:p>
    <w:p>
      <w:pPr>
        <w:pStyle w:val="BodyText"/>
        <w:spacing w:after="0" w:line="249" w:lineRule="auto"/>
        <w:sectPr>
          <w:pgSz w:w="12240" w:h="15840"/>
          <w:pgMar w:top="1440" w:bottom="280" w:left="1440" w:right="1440"/>
        </w:sectPr>
      </w:pPr>
    </w:p>
    <w:p>
      <w:pPr>
        <w:pStyle w:val="BodyText"/>
        <w:spacing w:line="249" w:lineRule="auto"/>
        <w:ind w:right="99"/>
        <w:rPr>
          <w:b/>
        </w:rPr>
      </w:pPr>
      <w:r>
        <w:rPr/>
        <w:t>of osteopenia. It is logical to expect a continuum of fracture risk extending from normal bone density to osteoporosis, and a longitudinal American study observed that osteopenia was associated with a 1.8-fold higher rate of fracture (compared with a 4-fold higher rate with osteoporosis).</w:t>
      </w:r>
      <w:r>
        <w:rPr>
          <w:vertAlign w:val="superscript"/>
        </w:rPr>
        <w:t>97</w:t>
      </w:r>
      <w:r>
        <w:rPr>
          <w:vertAlign w:val="baseline"/>
        </w:rPr>
        <w:t> Experts argue, however, that most women with osteopenia simply have lower than average bone mass but will not have progressive bone loss and, in the absence of risk factors, may not require any bone-specific interventions beyond lifestyle modifications that include attention to diet, calcium and vitamin D intake, and weight-bearing exercise. Notably, an ancillary study of the VITamin D and omegA-3 triaL (VITAL), which examined vitamin </w:t>
      </w:r>
      <w:r>
        <w:rPr>
          <w:vertAlign w:val="baseline"/>
        </w:rPr>
        <w:t>D and omega 3 supplementation in women older than 55 years who did not have low BMD, found that supplementation led to a lower risk of fractures compared to placebo.</w:t>
      </w:r>
      <w:r>
        <w:rPr>
          <w:vertAlign w:val="superscript"/>
        </w:rPr>
        <w:t>98</w:t>
      </w:r>
      <w:r>
        <w:rPr>
          <w:vertAlign w:val="baseline"/>
        </w:rPr>
        <w:t> Consideration for treatment depends on the demonstration of continued bone loss as determined by declining bone density on serial measurements. </w:t>
      </w:r>
      <w:r>
        <w:rPr>
          <w:b/>
          <w:vertAlign w:val="baseline"/>
        </w:rPr>
        <w:t>We support preventive drug therapy for postmenopausal women with evidence of low bone mass in the presence of one or more risk factors for fracture or documented progressive bone loss.</w:t>
      </w:r>
    </w:p>
    <w:p>
      <w:pPr>
        <w:spacing w:before="321"/>
        <w:ind w:left="99" w:right="0" w:firstLine="0"/>
        <w:jc w:val="both"/>
        <w:rPr>
          <w:rFonts w:ascii="Arial"/>
          <w:b/>
          <w:i/>
          <w:sz w:val="22"/>
        </w:rPr>
      </w:pPr>
      <w:r>
        <w:rPr>
          <w:rFonts w:ascii="Arial"/>
          <w:b/>
          <w:i/>
          <w:color w:val="A0234E"/>
          <w:sz w:val="22"/>
        </w:rPr>
        <w:t>FRAX,</w:t>
      </w:r>
      <w:r>
        <w:rPr>
          <w:rFonts w:ascii="Arial"/>
          <w:b/>
          <w:i/>
          <w:color w:val="A0234E"/>
          <w:spacing w:val="16"/>
          <w:sz w:val="22"/>
        </w:rPr>
        <w:t> </w:t>
      </w:r>
      <w:r>
        <w:rPr>
          <w:rFonts w:ascii="Arial"/>
          <w:b/>
          <w:i/>
          <w:color w:val="A0234E"/>
          <w:sz w:val="22"/>
        </w:rPr>
        <w:t>the</w:t>
      </w:r>
      <w:r>
        <w:rPr>
          <w:rFonts w:ascii="Arial"/>
          <w:b/>
          <w:i/>
          <w:color w:val="A0234E"/>
          <w:spacing w:val="16"/>
          <w:sz w:val="22"/>
        </w:rPr>
        <w:t> </w:t>
      </w:r>
      <w:r>
        <w:rPr>
          <w:rFonts w:ascii="Arial"/>
          <w:b/>
          <w:i/>
          <w:color w:val="A0234E"/>
          <w:sz w:val="22"/>
        </w:rPr>
        <w:t>World</w:t>
      </w:r>
      <w:r>
        <w:rPr>
          <w:rFonts w:ascii="Arial"/>
          <w:b/>
          <w:i/>
          <w:color w:val="A0234E"/>
          <w:spacing w:val="16"/>
          <w:sz w:val="22"/>
        </w:rPr>
        <w:t> </w:t>
      </w:r>
      <w:r>
        <w:rPr>
          <w:rFonts w:ascii="Arial"/>
          <w:b/>
          <w:i/>
          <w:color w:val="A0234E"/>
          <w:sz w:val="22"/>
        </w:rPr>
        <w:t>Health</w:t>
      </w:r>
      <w:r>
        <w:rPr>
          <w:rFonts w:ascii="Arial"/>
          <w:b/>
          <w:i/>
          <w:color w:val="A0234E"/>
          <w:spacing w:val="16"/>
          <w:sz w:val="22"/>
        </w:rPr>
        <w:t> </w:t>
      </w:r>
      <w:r>
        <w:rPr>
          <w:rFonts w:ascii="Arial"/>
          <w:b/>
          <w:i/>
          <w:color w:val="A0234E"/>
          <w:sz w:val="22"/>
        </w:rPr>
        <w:t>Organization</w:t>
      </w:r>
      <w:r>
        <w:rPr>
          <w:rFonts w:ascii="Arial"/>
          <w:b/>
          <w:i/>
          <w:color w:val="A0234E"/>
          <w:spacing w:val="16"/>
          <w:sz w:val="22"/>
        </w:rPr>
        <w:t> </w:t>
      </w:r>
      <w:r>
        <w:rPr>
          <w:rFonts w:ascii="Arial"/>
          <w:b/>
          <w:i/>
          <w:color w:val="A0234E"/>
          <w:sz w:val="22"/>
        </w:rPr>
        <w:t>Fracture</w:t>
      </w:r>
      <w:r>
        <w:rPr>
          <w:rFonts w:ascii="Arial"/>
          <w:b/>
          <w:i/>
          <w:color w:val="A0234E"/>
          <w:spacing w:val="16"/>
          <w:sz w:val="22"/>
        </w:rPr>
        <w:t> </w:t>
      </w:r>
      <w:r>
        <w:rPr>
          <w:rFonts w:ascii="Arial"/>
          <w:b/>
          <w:i/>
          <w:color w:val="A0234E"/>
          <w:sz w:val="22"/>
        </w:rPr>
        <w:t>Risk</w:t>
      </w:r>
      <w:r>
        <w:rPr>
          <w:rFonts w:ascii="Arial"/>
          <w:b/>
          <w:i/>
          <w:color w:val="A0234E"/>
          <w:spacing w:val="16"/>
          <w:sz w:val="22"/>
        </w:rPr>
        <w:t> </w:t>
      </w:r>
      <w:r>
        <w:rPr>
          <w:rFonts w:ascii="Arial"/>
          <w:b/>
          <w:i/>
          <w:color w:val="A0234E"/>
          <w:sz w:val="22"/>
        </w:rPr>
        <w:t>Assessment</w:t>
      </w:r>
      <w:r>
        <w:rPr>
          <w:rFonts w:ascii="Arial"/>
          <w:b/>
          <w:i/>
          <w:color w:val="A0234E"/>
          <w:spacing w:val="16"/>
          <w:sz w:val="22"/>
        </w:rPr>
        <w:t> </w:t>
      </w:r>
      <w:r>
        <w:rPr>
          <w:rFonts w:ascii="Arial"/>
          <w:b/>
          <w:i/>
          <w:color w:val="A0234E"/>
          <w:spacing w:val="-4"/>
          <w:sz w:val="22"/>
        </w:rPr>
        <w:t>Tool</w:t>
      </w:r>
    </w:p>
    <w:p>
      <w:pPr>
        <w:pStyle w:val="BodyText"/>
        <w:spacing w:line="249" w:lineRule="auto" w:before="123"/>
        <w:ind w:right="97"/>
      </w:pPr>
      <w:r>
        <w:rPr/>
        <w:t>The World Health Organization fracture risk assessment tool, FRAX is updated and calibrated according to risk in different geographic areas. This tool is available online for free use from the Bone Health and Osteoporosis Foundation (</w:t>
      </w:r>
      <w:hyperlink r:id="rId17">
        <w:r>
          <w:rPr/>
          <w:t>https://www.bonesource.org/frax-tool</w:t>
        </w:r>
      </w:hyperlink>
      <w:r>
        <w:rPr/>
        <w:t>) or directly from the FRAX website (</w:t>
      </w:r>
      <w:hyperlink r:id="rId18">
        <w:r>
          <w:rPr/>
          <w:t>http://www.shef.ac.uk/FRAX/</w:t>
        </w:r>
      </w:hyperlink>
      <w:r>
        <w:rPr/>
        <w:t>).</w:t>
      </w:r>
      <w:r>
        <w:rPr>
          <w:vertAlign w:val="superscript"/>
        </w:rPr>
        <w:t>99,100</w:t>
      </w:r>
      <w:r>
        <w:rPr>
          <w:vertAlign w:val="baseline"/>
        </w:rPr>
        <w:t> The FRAX </w:t>
      </w:r>
      <w:r>
        <w:rPr>
          <w:vertAlign w:val="baseline"/>
        </w:rPr>
        <w:t>algorithm predicts the likelihood for an older individual to experience a fragility fracture over a period of 10 years because of low bone mass. There is consensus</w:t>
      </w:r>
      <w:r>
        <w:rPr>
          <w:spacing w:val="-2"/>
          <w:vertAlign w:val="baseline"/>
        </w:rPr>
        <w:t> </w:t>
      </w:r>
      <w:r>
        <w:rPr>
          <w:vertAlign w:val="baseline"/>
        </w:rPr>
        <w:t>in</w:t>
      </w:r>
      <w:r>
        <w:rPr>
          <w:spacing w:val="-2"/>
          <w:vertAlign w:val="baseline"/>
        </w:rPr>
        <w:t> </w:t>
      </w:r>
      <w:r>
        <w:rPr>
          <w:vertAlign w:val="baseline"/>
        </w:rPr>
        <w:t>the</w:t>
      </w:r>
      <w:r>
        <w:rPr>
          <w:spacing w:val="-2"/>
          <w:vertAlign w:val="baseline"/>
        </w:rPr>
        <w:t> </w:t>
      </w:r>
      <w:r>
        <w:rPr>
          <w:vertAlign w:val="baseline"/>
        </w:rPr>
        <w:t>field</w:t>
      </w:r>
      <w:r>
        <w:rPr>
          <w:spacing w:val="-2"/>
          <w:vertAlign w:val="baseline"/>
        </w:rPr>
        <w:t> </w:t>
      </w:r>
      <w:r>
        <w:rPr>
          <w:vertAlign w:val="baseline"/>
        </w:rPr>
        <w:t>that</w:t>
      </w:r>
      <w:r>
        <w:rPr>
          <w:spacing w:val="-2"/>
          <w:vertAlign w:val="baseline"/>
        </w:rPr>
        <w:t> </w:t>
      </w:r>
      <w:r>
        <w:rPr>
          <w:vertAlign w:val="baseline"/>
        </w:rPr>
        <w:t>treatment</w:t>
      </w:r>
      <w:r>
        <w:rPr>
          <w:spacing w:val="-2"/>
          <w:vertAlign w:val="baseline"/>
        </w:rPr>
        <w:t> </w:t>
      </w:r>
      <w:r>
        <w:rPr>
          <w:vertAlign w:val="baseline"/>
        </w:rPr>
        <w:t>is</w:t>
      </w:r>
      <w:r>
        <w:rPr>
          <w:spacing w:val="-2"/>
          <w:vertAlign w:val="baseline"/>
        </w:rPr>
        <w:t> </w:t>
      </w:r>
      <w:r>
        <w:rPr>
          <w:vertAlign w:val="baseline"/>
        </w:rPr>
        <w:t>cost-effective</w:t>
      </w:r>
      <w:r>
        <w:rPr>
          <w:spacing w:val="-2"/>
          <w:vertAlign w:val="baseline"/>
        </w:rPr>
        <w:t> </w:t>
      </w:r>
      <w:r>
        <w:rPr>
          <w:vertAlign w:val="baseline"/>
        </w:rPr>
        <w:t>if</w:t>
      </w:r>
      <w:r>
        <w:rPr>
          <w:spacing w:val="-2"/>
          <w:vertAlign w:val="baseline"/>
        </w:rPr>
        <w:t> </w:t>
      </w:r>
      <w:r>
        <w:rPr>
          <w:vertAlign w:val="baseline"/>
        </w:rPr>
        <w:t>FRAX</w:t>
      </w:r>
      <w:r>
        <w:rPr>
          <w:spacing w:val="-2"/>
          <w:vertAlign w:val="baseline"/>
        </w:rPr>
        <w:t> </w:t>
      </w:r>
      <w:r>
        <w:rPr>
          <w:vertAlign w:val="baseline"/>
        </w:rPr>
        <w:t>predicts</w:t>
      </w:r>
      <w:r>
        <w:rPr>
          <w:spacing w:val="-2"/>
          <w:vertAlign w:val="baseline"/>
        </w:rPr>
        <w:t> </w:t>
      </w:r>
      <w:r>
        <w:rPr>
          <w:vertAlign w:val="baseline"/>
        </w:rPr>
        <w:t>a</w:t>
      </w:r>
      <w:r>
        <w:rPr>
          <w:spacing w:val="-2"/>
          <w:vertAlign w:val="baseline"/>
        </w:rPr>
        <w:t> </w:t>
      </w:r>
      <w:r>
        <w:rPr>
          <w:vertAlign w:val="baseline"/>
        </w:rPr>
        <w:t>10-year hip fracture probability of at least 3% or an overall risk of any osteoporotic fracture greater than 20%.</w:t>
      </w:r>
      <w:r>
        <w:rPr>
          <w:vertAlign w:val="superscript"/>
        </w:rPr>
        <w:t>101</w:t>
      </w:r>
      <w:r>
        <w:rPr>
          <w:vertAlign w:val="baseline"/>
        </w:rPr>
        <w:t> The clinical application of FRAX produces no major changes in already-existing guidelines.</w:t>
      </w:r>
      <w:r>
        <w:rPr>
          <w:vertAlign w:val="superscript"/>
        </w:rPr>
        <w:t>102</w:t>
      </w:r>
      <w:r>
        <w:rPr>
          <w:vertAlign w:val="baseline"/>
        </w:rPr>
        <w:t> An osteoporotic bone density and historical risk factors continue to be important factors indicating the need for treatment. </w:t>
      </w:r>
      <w:r>
        <w:rPr>
          <w:b/>
          <w:vertAlign w:val="baseline"/>
        </w:rPr>
        <w:t>FRAX is useful in identifying which individuals with osteopenia merit treatment</w:t>
      </w:r>
      <w:r>
        <w:rPr>
          <w:vertAlign w:val="baseline"/>
        </w:rPr>
        <w:t>; nevertheless, a careful evaluation of risk factors as reviewed in this chapter continues</w:t>
      </w:r>
      <w:r>
        <w:rPr>
          <w:spacing w:val="30"/>
          <w:vertAlign w:val="baseline"/>
        </w:rPr>
        <w:t> </w:t>
      </w:r>
      <w:r>
        <w:rPr>
          <w:vertAlign w:val="baseline"/>
        </w:rPr>
        <w:t>to</w:t>
      </w:r>
      <w:r>
        <w:rPr>
          <w:spacing w:val="30"/>
          <w:vertAlign w:val="baseline"/>
        </w:rPr>
        <w:t> </w:t>
      </w:r>
      <w:r>
        <w:rPr>
          <w:vertAlign w:val="baseline"/>
        </w:rPr>
        <w:t>be</w:t>
      </w:r>
      <w:r>
        <w:rPr>
          <w:spacing w:val="30"/>
          <w:vertAlign w:val="baseline"/>
        </w:rPr>
        <w:t> </w:t>
      </w:r>
      <w:r>
        <w:rPr>
          <w:vertAlign w:val="baseline"/>
        </w:rPr>
        <w:t>a</w:t>
      </w:r>
      <w:r>
        <w:rPr>
          <w:spacing w:val="30"/>
          <w:vertAlign w:val="baseline"/>
        </w:rPr>
        <w:t> </w:t>
      </w:r>
      <w:r>
        <w:rPr>
          <w:vertAlign w:val="baseline"/>
        </w:rPr>
        <w:t>reliable</w:t>
      </w:r>
      <w:r>
        <w:rPr>
          <w:spacing w:val="30"/>
          <w:vertAlign w:val="baseline"/>
        </w:rPr>
        <w:t> </w:t>
      </w:r>
      <w:r>
        <w:rPr>
          <w:vertAlign w:val="baseline"/>
        </w:rPr>
        <w:t>method</w:t>
      </w:r>
      <w:r>
        <w:rPr>
          <w:spacing w:val="30"/>
          <w:vertAlign w:val="baseline"/>
        </w:rPr>
        <w:t> </w:t>
      </w:r>
      <w:r>
        <w:rPr>
          <w:vertAlign w:val="baseline"/>
        </w:rPr>
        <w:t>to</w:t>
      </w:r>
      <w:r>
        <w:rPr>
          <w:spacing w:val="30"/>
          <w:vertAlign w:val="baseline"/>
        </w:rPr>
        <w:t> </w:t>
      </w:r>
      <w:r>
        <w:rPr>
          <w:vertAlign w:val="baseline"/>
        </w:rPr>
        <w:t>indicate</w:t>
      </w:r>
      <w:r>
        <w:rPr>
          <w:spacing w:val="30"/>
          <w:vertAlign w:val="baseline"/>
        </w:rPr>
        <w:t> </w:t>
      </w:r>
      <w:r>
        <w:rPr>
          <w:vertAlign w:val="baseline"/>
        </w:rPr>
        <w:t>fracture</w:t>
      </w:r>
      <w:r>
        <w:rPr>
          <w:spacing w:val="30"/>
          <w:vertAlign w:val="baseline"/>
        </w:rPr>
        <w:t> </w:t>
      </w:r>
      <w:r>
        <w:rPr>
          <w:vertAlign w:val="baseline"/>
        </w:rPr>
        <w:t>risk</w:t>
      </w:r>
      <w:r>
        <w:rPr>
          <w:spacing w:val="30"/>
          <w:vertAlign w:val="baseline"/>
        </w:rPr>
        <w:t> </w:t>
      </w:r>
      <w:r>
        <w:rPr>
          <w:vertAlign w:val="baseline"/>
        </w:rPr>
        <w:t>in</w:t>
      </w:r>
      <w:r>
        <w:rPr>
          <w:spacing w:val="30"/>
          <w:vertAlign w:val="baseline"/>
        </w:rPr>
        <w:t> </w:t>
      </w:r>
      <w:r>
        <w:rPr>
          <w:vertAlign w:val="baseline"/>
        </w:rPr>
        <w:t>an</w:t>
      </w:r>
      <w:r>
        <w:rPr>
          <w:spacing w:val="30"/>
          <w:vertAlign w:val="baseline"/>
        </w:rPr>
        <w:t> </w:t>
      </w:r>
      <w:r>
        <w:rPr>
          <w:spacing w:val="-2"/>
          <w:vertAlign w:val="baseline"/>
        </w:rPr>
        <w:t>individual</w:t>
      </w:r>
    </w:p>
    <w:p>
      <w:pPr>
        <w:pStyle w:val="BodyText"/>
        <w:spacing w:after="0" w:line="249" w:lineRule="auto"/>
        <w:sectPr>
          <w:pgSz w:w="12240" w:h="15840"/>
          <w:pgMar w:top="1380" w:bottom="280" w:left="1440" w:right="1440"/>
        </w:sectPr>
      </w:pPr>
    </w:p>
    <w:p>
      <w:pPr>
        <w:spacing w:line="249" w:lineRule="auto" w:before="65"/>
        <w:ind w:left="99" w:right="97" w:firstLine="0"/>
        <w:jc w:val="both"/>
        <w:rPr>
          <w:b/>
          <w:sz w:val="30"/>
        </w:rPr>
      </w:pPr>
      <w:r>
        <w:rPr>
          <w:sz w:val="30"/>
        </w:rPr>
        <w:t>with low bone mass. For example, long-term use of corticosteroid or treatment with aromatase inhibitors (eg, in the management of postmenopausal breast cancer) identifies individuals in whom bone loss prevention should be considered regardless of the bone density. In addition, fracture risk calculation by FRAX utilizes bone density at the hip, but not at the</w:t>
      </w:r>
      <w:r>
        <w:rPr>
          <w:spacing w:val="-2"/>
          <w:sz w:val="30"/>
        </w:rPr>
        <w:t> </w:t>
      </w:r>
      <w:r>
        <w:rPr>
          <w:sz w:val="30"/>
        </w:rPr>
        <w:t>spine.</w:t>
      </w:r>
      <w:r>
        <w:rPr>
          <w:spacing w:val="-3"/>
          <w:sz w:val="30"/>
        </w:rPr>
        <w:t> </w:t>
      </w:r>
      <w:r>
        <w:rPr>
          <w:sz w:val="30"/>
        </w:rPr>
        <w:t>The decision to initiate antifracture treatment as well as choice of treatment in a patient with low bone density at the spine but with normal</w:t>
      </w:r>
      <w:r>
        <w:rPr>
          <w:spacing w:val="40"/>
          <w:sz w:val="30"/>
        </w:rPr>
        <w:t> </w:t>
      </w:r>
      <w:r>
        <w:rPr>
          <w:sz w:val="30"/>
        </w:rPr>
        <w:t>hip bone density requires careful consideration of the individual’s history and risk factors. FRAX does not replace good medical judgment. </w:t>
      </w:r>
      <w:r>
        <w:rPr>
          <w:b/>
          <w:sz w:val="30"/>
        </w:rPr>
        <w:t>FRAX can provide a reliable risk assessment even in the absence of BMD data as it takes into consideration clinically relevant history in risk </w:t>
      </w:r>
      <w:r>
        <w:rPr>
          <w:b/>
          <w:sz w:val="30"/>
        </w:rPr>
        <w:t>score calculation (Table 23.2). We support preventive drug therapy for postmenopausal women with evidence of low bone mass and a 10-year hip fracture probability of 3% or higher or a 10-year fracture probability of 20% or higher for any osteoporosis-related fracture according to FRAX.</w:t>
      </w:r>
    </w:p>
    <w:p>
      <w:pPr>
        <w:spacing w:before="318"/>
        <w:ind w:left="99" w:right="0" w:firstLine="0"/>
        <w:jc w:val="both"/>
        <w:rPr>
          <w:rFonts w:ascii="Arial"/>
          <w:b/>
          <w:i/>
          <w:sz w:val="22"/>
        </w:rPr>
      </w:pPr>
      <w:r>
        <w:rPr>
          <w:rFonts w:ascii="Arial"/>
          <w:b/>
          <w:i/>
          <w:color w:val="A0234E"/>
          <w:sz w:val="22"/>
        </w:rPr>
        <w:t>Biochemical</w:t>
      </w:r>
      <w:r>
        <w:rPr>
          <w:rFonts w:ascii="Arial"/>
          <w:b/>
          <w:i/>
          <w:color w:val="A0234E"/>
          <w:spacing w:val="15"/>
          <w:sz w:val="22"/>
        </w:rPr>
        <w:t> </w:t>
      </w:r>
      <w:r>
        <w:rPr>
          <w:rFonts w:ascii="Arial"/>
          <w:b/>
          <w:i/>
          <w:color w:val="A0234E"/>
          <w:sz w:val="22"/>
        </w:rPr>
        <w:t>Markers</w:t>
      </w:r>
      <w:r>
        <w:rPr>
          <w:rFonts w:ascii="Arial"/>
          <w:b/>
          <w:i/>
          <w:color w:val="A0234E"/>
          <w:spacing w:val="15"/>
          <w:sz w:val="22"/>
        </w:rPr>
        <w:t> </w:t>
      </w:r>
      <w:r>
        <w:rPr>
          <w:rFonts w:ascii="Arial"/>
          <w:b/>
          <w:i/>
          <w:color w:val="A0234E"/>
          <w:sz w:val="22"/>
        </w:rPr>
        <w:t>of</w:t>
      </w:r>
      <w:r>
        <w:rPr>
          <w:rFonts w:ascii="Arial"/>
          <w:b/>
          <w:i/>
          <w:color w:val="A0234E"/>
          <w:spacing w:val="16"/>
          <w:sz w:val="22"/>
        </w:rPr>
        <w:t> </w:t>
      </w:r>
      <w:r>
        <w:rPr>
          <w:rFonts w:ascii="Arial"/>
          <w:b/>
          <w:i/>
          <w:color w:val="A0234E"/>
          <w:sz w:val="22"/>
        </w:rPr>
        <w:t>Bone</w:t>
      </w:r>
      <w:r>
        <w:rPr>
          <w:rFonts w:ascii="Arial"/>
          <w:b/>
          <w:i/>
          <w:color w:val="A0234E"/>
          <w:spacing w:val="15"/>
          <w:sz w:val="22"/>
        </w:rPr>
        <w:t> </w:t>
      </w:r>
      <w:r>
        <w:rPr>
          <w:rFonts w:ascii="Arial"/>
          <w:b/>
          <w:i/>
          <w:color w:val="A0234E"/>
          <w:spacing w:val="-2"/>
          <w:sz w:val="22"/>
        </w:rPr>
        <w:t>Turnover</w:t>
      </w:r>
    </w:p>
    <w:p>
      <w:pPr>
        <w:pStyle w:val="BodyText"/>
        <w:tabs>
          <w:tab w:pos="1304" w:val="left" w:leader="none"/>
          <w:tab w:pos="1775" w:val="left" w:leader="none"/>
          <w:tab w:pos="2630" w:val="left" w:leader="none"/>
          <w:tab w:pos="3834" w:val="left" w:leader="none"/>
          <w:tab w:pos="4972" w:val="left" w:leader="none"/>
          <w:tab w:pos="6160" w:val="left" w:leader="none"/>
          <w:tab w:pos="7564" w:val="left" w:leader="none"/>
          <w:tab w:pos="8036" w:val="left" w:leader="none"/>
        </w:tabs>
        <w:spacing w:line="249" w:lineRule="auto" w:before="123"/>
        <w:ind w:right="98"/>
        <w:jc w:val="right"/>
      </w:pPr>
      <w:r>
        <w:rPr/>
        <w:t>There are many serum and urinary biochemical markers of bone </w:t>
      </w:r>
      <w:r>
        <w:rPr/>
        <w:t>turnover</w:t>
      </w:r>
      <w:r>
        <w:rPr>
          <w:spacing w:val="80"/>
          <w:w w:val="150"/>
        </w:rPr>
        <w:t> </w:t>
      </w:r>
      <w:r>
        <w:rPr/>
        <w:t>(see</w:t>
      </w:r>
      <w:r>
        <w:rPr>
          <w:spacing w:val="80"/>
        </w:rPr>
        <w:t> </w:t>
      </w:r>
      <w:r>
        <w:rPr>
          <w:b/>
          <w:color w:val="256E60"/>
        </w:rPr>
        <w:t>Table</w:t>
      </w:r>
      <w:r>
        <w:rPr>
          <w:b/>
          <w:color w:val="256E60"/>
          <w:spacing w:val="80"/>
        </w:rPr>
        <w:t> </w:t>
      </w:r>
      <w:r>
        <w:rPr>
          <w:b/>
          <w:color w:val="256E60"/>
        </w:rPr>
        <w:t>23.3</w:t>
      </w:r>
      <w:r>
        <w:rPr/>
        <w:t>).</w:t>
      </w:r>
      <w:r>
        <w:rPr>
          <w:spacing w:val="80"/>
        </w:rPr>
        <w:t> </w:t>
      </w:r>
      <w:r>
        <w:rPr/>
        <w:t>Some</w:t>
      </w:r>
      <w:r>
        <w:rPr>
          <w:spacing w:val="80"/>
          <w:w w:val="150"/>
        </w:rPr>
        <w:t> </w:t>
      </w:r>
      <w:r>
        <w:rPr/>
        <w:t>of</w:t>
      </w:r>
      <w:r>
        <w:rPr>
          <w:spacing w:val="80"/>
          <w:w w:val="150"/>
        </w:rPr>
        <w:t> </w:t>
      </w:r>
      <w:r>
        <w:rPr/>
        <w:t>the</w:t>
      </w:r>
      <w:r>
        <w:rPr>
          <w:spacing w:val="80"/>
          <w:w w:val="150"/>
        </w:rPr>
        <w:t> </w:t>
      </w:r>
      <w:r>
        <w:rPr/>
        <w:t>biomarkers</w:t>
      </w:r>
      <w:r>
        <w:rPr>
          <w:spacing w:val="80"/>
          <w:w w:val="150"/>
        </w:rPr>
        <w:t> </w:t>
      </w:r>
      <w:r>
        <w:rPr/>
        <w:t>(such</w:t>
      </w:r>
      <w:r>
        <w:rPr>
          <w:spacing w:val="80"/>
          <w:w w:val="150"/>
        </w:rPr>
        <w:t> </w:t>
      </w:r>
      <w:r>
        <w:rPr/>
        <w:t>as</w:t>
      </w:r>
      <w:r>
        <w:rPr>
          <w:spacing w:val="80"/>
          <w:w w:val="150"/>
        </w:rPr>
        <w:t> </w:t>
      </w:r>
      <w:r>
        <w:rPr/>
        <w:t>hydroxyproline, pyridinoline, and deoxypyridinoline cross-links of collagen, telopeptides of collagen,</w:t>
      </w:r>
      <w:r>
        <w:rPr>
          <w:spacing w:val="40"/>
        </w:rPr>
        <w:t> </w:t>
      </w:r>
      <w:r>
        <w:rPr/>
        <w:t>and</w:t>
      </w:r>
      <w:r>
        <w:rPr>
          <w:spacing w:val="40"/>
        </w:rPr>
        <w:t> </w:t>
      </w:r>
      <w:r>
        <w:rPr/>
        <w:t>serum</w:t>
      </w:r>
      <w:r>
        <w:rPr>
          <w:spacing w:val="40"/>
        </w:rPr>
        <w:t> </w:t>
      </w:r>
      <w:r>
        <w:rPr/>
        <w:t>cross-linked</w:t>
      </w:r>
      <w:r>
        <w:rPr>
          <w:spacing w:val="40"/>
        </w:rPr>
        <w:t> </w:t>
      </w:r>
      <w:r>
        <w:rPr/>
        <w:t>telopeptides)</w:t>
      </w:r>
      <w:r>
        <w:rPr>
          <w:spacing w:val="40"/>
        </w:rPr>
        <w:t> </w:t>
      </w:r>
      <w:r>
        <w:rPr/>
        <w:t>reflect</w:t>
      </w:r>
      <w:r>
        <w:rPr>
          <w:spacing w:val="40"/>
        </w:rPr>
        <w:t> </w:t>
      </w:r>
      <w:r>
        <w:rPr/>
        <w:t>the</w:t>
      </w:r>
      <w:r>
        <w:rPr>
          <w:spacing w:val="40"/>
        </w:rPr>
        <w:t> </w:t>
      </w:r>
      <w:r>
        <w:rPr/>
        <w:t>activity</w:t>
      </w:r>
      <w:r>
        <w:rPr>
          <w:spacing w:val="40"/>
        </w:rPr>
        <w:t> </w:t>
      </w:r>
      <w:r>
        <w:rPr/>
        <w:t>of</w:t>
      </w:r>
      <w:r>
        <w:rPr>
          <w:spacing w:val="40"/>
        </w:rPr>
        <w:t> </w:t>
      </w:r>
      <w:r>
        <w:rPr/>
        <w:t>the osteoclasts,</w:t>
      </w:r>
      <w:r>
        <w:rPr>
          <w:spacing w:val="80"/>
        </w:rPr>
        <w:t> </w:t>
      </w:r>
      <w:r>
        <w:rPr/>
        <w:t>whereas</w:t>
      </w:r>
      <w:r>
        <w:rPr>
          <w:spacing w:val="80"/>
        </w:rPr>
        <w:t> </w:t>
      </w:r>
      <w:r>
        <w:rPr/>
        <w:t>others</w:t>
      </w:r>
      <w:r>
        <w:rPr>
          <w:spacing w:val="80"/>
        </w:rPr>
        <w:t> </w:t>
      </w:r>
      <w:r>
        <w:rPr/>
        <w:t>(such</w:t>
      </w:r>
      <w:r>
        <w:rPr>
          <w:spacing w:val="80"/>
        </w:rPr>
        <w:t> </w:t>
      </w:r>
      <w:r>
        <w:rPr/>
        <w:t>as</w:t>
      </w:r>
      <w:r>
        <w:rPr>
          <w:spacing w:val="80"/>
        </w:rPr>
        <w:t> </w:t>
      </w:r>
      <w:r>
        <w:rPr/>
        <w:t>osteocalcin,</w:t>
      </w:r>
      <w:r>
        <w:rPr>
          <w:spacing w:val="80"/>
        </w:rPr>
        <w:t> </w:t>
      </w:r>
      <w:r>
        <w:rPr/>
        <w:t>bone-specific</w:t>
      </w:r>
      <w:r>
        <w:rPr>
          <w:spacing w:val="80"/>
        </w:rPr>
        <w:t> </w:t>
      </w:r>
      <w:r>
        <w:rPr/>
        <w:t>alkaline phosphatase, and procollagen peptide) reflect the activity of the osteoblasts. The urinary tests use a second-morning voided urine specimen, and the immunoassays</w:t>
      </w:r>
      <w:r>
        <w:rPr>
          <w:spacing w:val="40"/>
        </w:rPr>
        <w:t> </w:t>
      </w:r>
      <w:r>
        <w:rPr/>
        <w:t>measure</w:t>
      </w:r>
      <w:r>
        <w:rPr>
          <w:spacing w:val="40"/>
        </w:rPr>
        <w:t> </w:t>
      </w:r>
      <w:r>
        <w:rPr/>
        <w:t>hydroxyproline,</w:t>
      </w:r>
      <w:r>
        <w:rPr>
          <w:spacing w:val="40"/>
        </w:rPr>
        <w:t> </w:t>
      </w:r>
      <w:r>
        <w:rPr/>
        <w:t>pyridinoline,</w:t>
      </w:r>
      <w:r>
        <w:rPr>
          <w:spacing w:val="40"/>
        </w:rPr>
        <w:t> </w:t>
      </w:r>
      <w:r>
        <w:rPr/>
        <w:t>deoxypyridinoline, the</w:t>
      </w:r>
      <w:r>
        <w:rPr>
          <w:spacing w:val="80"/>
        </w:rPr>
        <w:t> </w:t>
      </w:r>
      <w:r>
        <w:rPr/>
        <w:t>collagen</w:t>
      </w:r>
      <w:r>
        <w:rPr>
          <w:spacing w:val="80"/>
        </w:rPr>
        <w:t> </w:t>
      </w:r>
      <w:r>
        <w:rPr/>
        <w:t>cross-linked</w:t>
      </w:r>
      <w:r>
        <w:rPr>
          <w:spacing w:val="80"/>
        </w:rPr>
        <w:t> </w:t>
      </w:r>
      <w:r>
        <w:rPr/>
        <w:t>N-telopeptides,</w:t>
      </w:r>
      <w:r>
        <w:rPr>
          <w:spacing w:val="80"/>
        </w:rPr>
        <w:t> </w:t>
      </w:r>
      <w:r>
        <w:rPr/>
        <w:t>or</w:t>
      </w:r>
      <w:r>
        <w:rPr>
          <w:spacing w:val="80"/>
        </w:rPr>
        <w:t> </w:t>
      </w:r>
      <w:r>
        <w:rPr/>
        <w:t>the</w:t>
      </w:r>
      <w:r>
        <w:rPr>
          <w:spacing w:val="80"/>
        </w:rPr>
        <w:t> </w:t>
      </w:r>
      <w:r>
        <w:rPr/>
        <w:t>collagen</w:t>
      </w:r>
      <w:r>
        <w:rPr>
          <w:spacing w:val="80"/>
        </w:rPr>
        <w:t> </w:t>
      </w:r>
      <w:r>
        <w:rPr/>
        <w:t>cross-linked</w:t>
      </w:r>
      <w:r>
        <w:rPr>
          <w:spacing w:val="40"/>
        </w:rPr>
        <w:t> </w:t>
      </w:r>
      <w:r>
        <w:rPr/>
        <w:t>CTXs.</w:t>
      </w:r>
      <w:r>
        <w:rPr>
          <w:vertAlign w:val="superscript"/>
        </w:rPr>
        <w:t>103</w:t>
      </w:r>
      <w:r>
        <w:rPr>
          <w:vertAlign w:val="baseline"/>
        </w:rPr>
        <w:t> These are structural proteins released by osteoclastic resorption of bone.</w:t>
      </w:r>
      <w:r>
        <w:rPr>
          <w:spacing w:val="-5"/>
          <w:vertAlign w:val="baseline"/>
        </w:rPr>
        <w:t> </w:t>
      </w:r>
      <w:r>
        <w:rPr>
          <w:b/>
          <w:vertAlign w:val="baseline"/>
        </w:rPr>
        <w:t>A measurement of bone turnover markers provides a snapshot in time</w:t>
      </w:r>
      <w:r>
        <w:rPr>
          <w:b/>
          <w:spacing w:val="40"/>
          <w:vertAlign w:val="baseline"/>
        </w:rPr>
        <w:t> </w:t>
      </w:r>
      <w:r>
        <w:rPr>
          <w:b/>
          <w:vertAlign w:val="baseline"/>
        </w:rPr>
        <w:t>of</w:t>
      </w:r>
      <w:r>
        <w:rPr>
          <w:b/>
          <w:spacing w:val="40"/>
          <w:vertAlign w:val="baseline"/>
        </w:rPr>
        <w:t> </w:t>
      </w:r>
      <w:r>
        <w:rPr>
          <w:b/>
          <w:vertAlign w:val="baseline"/>
        </w:rPr>
        <w:t>the</w:t>
      </w:r>
      <w:r>
        <w:rPr>
          <w:b/>
          <w:spacing w:val="40"/>
          <w:vertAlign w:val="baseline"/>
        </w:rPr>
        <w:t> </w:t>
      </w:r>
      <w:r>
        <w:rPr>
          <w:b/>
          <w:vertAlign w:val="baseline"/>
        </w:rPr>
        <w:t>current</w:t>
      </w:r>
      <w:r>
        <w:rPr>
          <w:b/>
          <w:spacing w:val="40"/>
          <w:vertAlign w:val="baseline"/>
        </w:rPr>
        <w:t> </w:t>
      </w:r>
      <w:r>
        <w:rPr>
          <w:b/>
          <w:vertAlign w:val="baseline"/>
        </w:rPr>
        <w:t>state</w:t>
      </w:r>
      <w:r>
        <w:rPr>
          <w:b/>
          <w:spacing w:val="40"/>
          <w:vertAlign w:val="baseline"/>
        </w:rPr>
        <w:t> </w:t>
      </w:r>
      <w:r>
        <w:rPr>
          <w:b/>
          <w:vertAlign w:val="baseline"/>
        </w:rPr>
        <w:t>of</w:t>
      </w:r>
      <w:r>
        <w:rPr>
          <w:b/>
          <w:spacing w:val="40"/>
          <w:vertAlign w:val="baseline"/>
        </w:rPr>
        <w:t> </w:t>
      </w:r>
      <w:r>
        <w:rPr>
          <w:b/>
          <w:vertAlign w:val="baseline"/>
        </w:rPr>
        <w:t>bone</w:t>
      </w:r>
      <w:r>
        <w:rPr>
          <w:b/>
          <w:spacing w:val="40"/>
          <w:vertAlign w:val="baseline"/>
        </w:rPr>
        <w:t> </w:t>
      </w:r>
      <w:r>
        <w:rPr>
          <w:b/>
          <w:vertAlign w:val="baseline"/>
        </w:rPr>
        <w:t>metabolism.</w:t>
      </w:r>
      <w:r>
        <w:rPr>
          <w:b/>
          <w:spacing w:val="40"/>
          <w:vertAlign w:val="baseline"/>
        </w:rPr>
        <w:t> </w:t>
      </w:r>
      <w:r>
        <w:rPr>
          <w:vertAlign w:val="baseline"/>
        </w:rPr>
        <w:t>Because</w:t>
      </w:r>
      <w:r>
        <w:rPr>
          <w:spacing w:val="40"/>
          <w:vertAlign w:val="baseline"/>
        </w:rPr>
        <w:t> </w:t>
      </w:r>
      <w:r>
        <w:rPr>
          <w:vertAlign w:val="baseline"/>
        </w:rPr>
        <w:t>of</w:t>
      </w:r>
      <w:r>
        <w:rPr>
          <w:spacing w:val="40"/>
          <w:vertAlign w:val="baseline"/>
        </w:rPr>
        <w:t> </w:t>
      </w:r>
      <w:r>
        <w:rPr>
          <w:vertAlign w:val="baseline"/>
        </w:rPr>
        <w:t>individual</w:t>
      </w:r>
      <w:r>
        <w:rPr>
          <w:spacing w:val="80"/>
          <w:w w:val="150"/>
          <w:vertAlign w:val="baseline"/>
        </w:rPr>
        <w:t> </w:t>
      </w:r>
      <w:r>
        <w:rPr>
          <w:vertAlign w:val="baseline"/>
        </w:rPr>
        <w:t>variability,</w:t>
      </w:r>
      <w:r>
        <w:rPr>
          <w:spacing w:val="40"/>
          <w:vertAlign w:val="baseline"/>
        </w:rPr>
        <w:t> </w:t>
      </w:r>
      <w:r>
        <w:rPr>
          <w:vertAlign w:val="baseline"/>
        </w:rPr>
        <w:t>marker</w:t>
      </w:r>
      <w:r>
        <w:rPr>
          <w:spacing w:val="40"/>
          <w:vertAlign w:val="baseline"/>
        </w:rPr>
        <w:t> </w:t>
      </w:r>
      <w:r>
        <w:rPr>
          <w:vertAlign w:val="baseline"/>
        </w:rPr>
        <w:t>measurements</w:t>
      </w:r>
      <w:r>
        <w:rPr>
          <w:spacing w:val="40"/>
          <w:vertAlign w:val="baseline"/>
        </w:rPr>
        <w:t> </w:t>
      </w:r>
      <w:r>
        <w:rPr>
          <w:vertAlign w:val="baseline"/>
        </w:rPr>
        <w:t>correlate</w:t>
      </w:r>
      <w:r>
        <w:rPr>
          <w:spacing w:val="40"/>
          <w:vertAlign w:val="baseline"/>
        </w:rPr>
        <w:t> </w:t>
      </w:r>
      <w:r>
        <w:rPr>
          <w:vertAlign w:val="baseline"/>
        </w:rPr>
        <w:t>poorly</w:t>
      </w:r>
      <w:r>
        <w:rPr>
          <w:spacing w:val="40"/>
          <w:vertAlign w:val="baseline"/>
        </w:rPr>
        <w:t> </w:t>
      </w:r>
      <w:r>
        <w:rPr>
          <w:vertAlign w:val="baseline"/>
        </w:rPr>
        <w:t>with</w:t>
      </w:r>
      <w:r>
        <w:rPr>
          <w:spacing w:val="40"/>
          <w:vertAlign w:val="baseline"/>
        </w:rPr>
        <w:t> </w:t>
      </w:r>
      <w:r>
        <w:rPr>
          <w:vertAlign w:val="baseline"/>
        </w:rPr>
        <w:t>BMD;</w:t>
      </w:r>
      <w:r>
        <w:rPr>
          <w:spacing w:val="40"/>
          <w:vertAlign w:val="baseline"/>
        </w:rPr>
        <w:t> </w:t>
      </w:r>
      <w:r>
        <w:rPr>
          <w:vertAlign w:val="baseline"/>
        </w:rPr>
        <w:t>however, </w:t>
      </w:r>
      <w:r>
        <w:rPr>
          <w:spacing w:val="-2"/>
          <w:vertAlign w:val="baseline"/>
        </w:rPr>
        <w:t>changes</w:t>
      </w:r>
      <w:r>
        <w:rPr>
          <w:vertAlign w:val="baseline"/>
        </w:rPr>
        <w:tab/>
      </w:r>
      <w:r>
        <w:rPr>
          <w:spacing w:val="-6"/>
          <w:vertAlign w:val="baseline"/>
        </w:rPr>
        <w:t>in</w:t>
      </w:r>
      <w:r>
        <w:rPr>
          <w:vertAlign w:val="baseline"/>
        </w:rPr>
        <w:tab/>
      </w:r>
      <w:r>
        <w:rPr>
          <w:spacing w:val="-2"/>
          <w:vertAlign w:val="baseline"/>
        </w:rPr>
        <w:t>these</w:t>
      </w:r>
      <w:r>
        <w:rPr>
          <w:vertAlign w:val="baseline"/>
        </w:rPr>
        <w:tab/>
      </w:r>
      <w:r>
        <w:rPr>
          <w:spacing w:val="-2"/>
          <w:vertAlign w:val="baseline"/>
        </w:rPr>
        <w:t>markers</w:t>
      </w:r>
      <w:r>
        <w:rPr>
          <w:vertAlign w:val="baseline"/>
        </w:rPr>
        <w:tab/>
      </w:r>
      <w:r>
        <w:rPr>
          <w:spacing w:val="-2"/>
          <w:vertAlign w:val="baseline"/>
        </w:rPr>
        <w:t>quickly</w:t>
      </w:r>
      <w:r>
        <w:rPr>
          <w:vertAlign w:val="baseline"/>
        </w:rPr>
        <w:tab/>
      </w:r>
      <w:r>
        <w:rPr>
          <w:spacing w:val="-2"/>
          <w:vertAlign w:val="baseline"/>
        </w:rPr>
        <w:t>indicate</w:t>
      </w:r>
      <w:r>
        <w:rPr>
          <w:vertAlign w:val="baseline"/>
        </w:rPr>
        <w:tab/>
      </w:r>
      <w:r>
        <w:rPr>
          <w:spacing w:val="-2"/>
          <w:vertAlign w:val="baseline"/>
        </w:rPr>
        <w:t>responses</w:t>
      </w:r>
      <w:r>
        <w:rPr>
          <w:vertAlign w:val="baseline"/>
        </w:rPr>
        <w:tab/>
      </w:r>
      <w:r>
        <w:rPr>
          <w:spacing w:val="-6"/>
          <w:vertAlign w:val="baseline"/>
        </w:rPr>
        <w:t>to</w:t>
      </w:r>
      <w:r>
        <w:rPr>
          <w:vertAlign w:val="baseline"/>
        </w:rPr>
        <w:tab/>
      </w:r>
      <w:r>
        <w:rPr>
          <w:spacing w:val="-4"/>
          <w:vertAlign w:val="baseline"/>
        </w:rPr>
        <w:t>therapy.</w:t>
      </w:r>
      <w:r>
        <w:rPr>
          <w:spacing w:val="-4"/>
          <w:vertAlign w:val="superscript"/>
        </w:rPr>
        <w:t>104</w:t>
      </w:r>
      <w:r>
        <w:rPr>
          <w:spacing w:val="-4"/>
          <w:vertAlign w:val="baseline"/>
        </w:rPr>
        <w:t> </w:t>
      </w:r>
      <w:r>
        <w:rPr>
          <w:vertAlign w:val="baseline"/>
        </w:rPr>
        <w:t>Therefore,</w:t>
      </w:r>
      <w:r>
        <w:rPr>
          <w:spacing w:val="80"/>
          <w:vertAlign w:val="baseline"/>
        </w:rPr>
        <w:t> </w:t>
      </w:r>
      <w:r>
        <w:rPr>
          <w:vertAlign w:val="baseline"/>
        </w:rPr>
        <w:t>it</w:t>
      </w:r>
      <w:r>
        <w:rPr>
          <w:spacing w:val="80"/>
          <w:vertAlign w:val="baseline"/>
        </w:rPr>
        <w:t> </w:t>
      </w:r>
      <w:r>
        <w:rPr>
          <w:vertAlign w:val="baseline"/>
        </w:rPr>
        <w:t>has</w:t>
      </w:r>
      <w:r>
        <w:rPr>
          <w:spacing w:val="80"/>
          <w:vertAlign w:val="baseline"/>
        </w:rPr>
        <w:t> </w:t>
      </w:r>
      <w:r>
        <w:rPr>
          <w:vertAlign w:val="baseline"/>
        </w:rPr>
        <w:t>been</w:t>
      </w:r>
      <w:r>
        <w:rPr>
          <w:spacing w:val="80"/>
          <w:vertAlign w:val="baseline"/>
        </w:rPr>
        <w:t> </w:t>
      </w:r>
      <w:r>
        <w:rPr>
          <w:vertAlign w:val="baseline"/>
        </w:rPr>
        <w:t>proposed</w:t>
      </w:r>
      <w:r>
        <w:rPr>
          <w:spacing w:val="80"/>
          <w:vertAlign w:val="baseline"/>
        </w:rPr>
        <w:t> </w:t>
      </w:r>
      <w:r>
        <w:rPr>
          <w:vertAlign w:val="baseline"/>
        </w:rPr>
        <w:t>that</w:t>
      </w:r>
      <w:r>
        <w:rPr>
          <w:spacing w:val="80"/>
          <w:vertAlign w:val="baseline"/>
        </w:rPr>
        <w:t> </w:t>
      </w:r>
      <w:r>
        <w:rPr>
          <w:vertAlign w:val="baseline"/>
        </w:rPr>
        <w:t>efficacy</w:t>
      </w:r>
      <w:r>
        <w:rPr>
          <w:spacing w:val="80"/>
          <w:vertAlign w:val="baseline"/>
        </w:rPr>
        <w:t> </w:t>
      </w:r>
      <w:r>
        <w:rPr>
          <w:vertAlign w:val="baseline"/>
        </w:rPr>
        <w:t>of</w:t>
      </w:r>
      <w:r>
        <w:rPr>
          <w:spacing w:val="80"/>
          <w:vertAlign w:val="baseline"/>
        </w:rPr>
        <w:t> </w:t>
      </w:r>
      <w:r>
        <w:rPr>
          <w:vertAlign w:val="baseline"/>
        </w:rPr>
        <w:t>therapy</w:t>
      </w:r>
      <w:r>
        <w:rPr>
          <w:spacing w:val="80"/>
          <w:vertAlign w:val="baseline"/>
        </w:rPr>
        <w:t> </w:t>
      </w:r>
      <w:r>
        <w:rPr>
          <w:vertAlign w:val="baseline"/>
        </w:rPr>
        <w:t>(with</w:t>
      </w:r>
      <w:r>
        <w:rPr>
          <w:spacing w:val="80"/>
          <w:vertAlign w:val="baseline"/>
        </w:rPr>
        <w:t> </w:t>
      </w:r>
      <w:r>
        <w:rPr>
          <w:vertAlign w:val="baseline"/>
        </w:rPr>
        <w:t>either hormones</w:t>
      </w:r>
      <w:r>
        <w:rPr>
          <w:spacing w:val="40"/>
          <w:vertAlign w:val="baseline"/>
        </w:rPr>
        <w:t> </w:t>
      </w:r>
      <w:r>
        <w:rPr>
          <w:vertAlign w:val="baseline"/>
        </w:rPr>
        <w:t>or</w:t>
      </w:r>
      <w:r>
        <w:rPr>
          <w:spacing w:val="40"/>
          <w:vertAlign w:val="baseline"/>
        </w:rPr>
        <w:t> </w:t>
      </w:r>
      <w:r>
        <w:rPr>
          <w:vertAlign w:val="baseline"/>
        </w:rPr>
        <w:t>other</w:t>
      </w:r>
      <w:r>
        <w:rPr>
          <w:spacing w:val="40"/>
          <w:vertAlign w:val="baseline"/>
        </w:rPr>
        <w:t> </w:t>
      </w:r>
      <w:r>
        <w:rPr>
          <w:vertAlign w:val="baseline"/>
        </w:rPr>
        <w:t>antiresorptive</w:t>
      </w:r>
      <w:r>
        <w:rPr>
          <w:spacing w:val="40"/>
          <w:vertAlign w:val="baseline"/>
        </w:rPr>
        <w:t> </w:t>
      </w:r>
      <w:r>
        <w:rPr>
          <w:vertAlign w:val="baseline"/>
        </w:rPr>
        <w:t>agents)</w:t>
      </w:r>
      <w:r>
        <w:rPr>
          <w:spacing w:val="40"/>
          <w:vertAlign w:val="baseline"/>
        </w:rPr>
        <w:t> </w:t>
      </w:r>
      <w:r>
        <w:rPr>
          <w:vertAlign w:val="baseline"/>
        </w:rPr>
        <w:t>can</w:t>
      </w:r>
      <w:r>
        <w:rPr>
          <w:spacing w:val="40"/>
          <w:vertAlign w:val="baseline"/>
        </w:rPr>
        <w:t> </w:t>
      </w:r>
      <w:r>
        <w:rPr>
          <w:vertAlign w:val="baseline"/>
        </w:rPr>
        <w:t>be</w:t>
      </w:r>
      <w:r>
        <w:rPr>
          <w:spacing w:val="40"/>
          <w:vertAlign w:val="baseline"/>
        </w:rPr>
        <w:t> </w:t>
      </w:r>
      <w:r>
        <w:rPr>
          <w:vertAlign w:val="baseline"/>
        </w:rPr>
        <w:t>judged</w:t>
      </w:r>
      <w:r>
        <w:rPr>
          <w:spacing w:val="40"/>
          <w:vertAlign w:val="baseline"/>
        </w:rPr>
        <w:t> </w:t>
      </w:r>
      <w:r>
        <w:rPr>
          <w:vertAlign w:val="baseline"/>
        </w:rPr>
        <w:t>by</w:t>
      </w:r>
      <w:r>
        <w:rPr>
          <w:spacing w:val="40"/>
          <w:vertAlign w:val="baseline"/>
        </w:rPr>
        <w:t> </w:t>
      </w:r>
      <w:r>
        <w:rPr>
          <w:vertAlign w:val="baseline"/>
        </w:rPr>
        <w:t>comparing</w:t>
      </w:r>
      <w:r>
        <w:rPr>
          <w:spacing w:val="40"/>
          <w:vertAlign w:val="baseline"/>
        </w:rPr>
        <w:t> </w:t>
      </w:r>
      <w:r>
        <w:rPr>
          <w:vertAlign w:val="baseline"/>
        </w:rPr>
        <w:t>a baseline value with a single follow-up measurement after 1 to 3 months of treatment.</w:t>
      </w:r>
      <w:r>
        <w:rPr>
          <w:vertAlign w:val="superscript"/>
        </w:rPr>
        <w:t>105</w:t>
      </w:r>
      <w:r>
        <w:rPr>
          <w:spacing w:val="6"/>
          <w:vertAlign w:val="baseline"/>
        </w:rPr>
        <w:t> </w:t>
      </w:r>
      <w:r>
        <w:rPr>
          <w:vertAlign w:val="baseline"/>
        </w:rPr>
        <w:t>A</w:t>
      </w:r>
      <w:r>
        <w:rPr>
          <w:spacing w:val="7"/>
          <w:vertAlign w:val="baseline"/>
        </w:rPr>
        <w:t> </w:t>
      </w:r>
      <w:r>
        <w:rPr>
          <w:vertAlign w:val="baseline"/>
        </w:rPr>
        <w:t>lesser</w:t>
      </w:r>
      <w:r>
        <w:rPr>
          <w:spacing w:val="6"/>
          <w:vertAlign w:val="baseline"/>
        </w:rPr>
        <w:t> </w:t>
      </w:r>
      <w:r>
        <w:rPr>
          <w:vertAlign w:val="baseline"/>
        </w:rPr>
        <w:t>decrease</w:t>
      </w:r>
      <w:r>
        <w:rPr>
          <w:spacing w:val="7"/>
          <w:vertAlign w:val="baseline"/>
        </w:rPr>
        <w:t> </w:t>
      </w:r>
      <w:r>
        <w:rPr>
          <w:vertAlign w:val="baseline"/>
        </w:rPr>
        <w:t>in</w:t>
      </w:r>
      <w:r>
        <w:rPr>
          <w:spacing w:val="7"/>
          <w:vertAlign w:val="baseline"/>
        </w:rPr>
        <w:t> </w:t>
      </w:r>
      <w:r>
        <w:rPr>
          <w:vertAlign w:val="baseline"/>
        </w:rPr>
        <w:t>the</w:t>
      </w:r>
      <w:r>
        <w:rPr>
          <w:spacing w:val="7"/>
          <w:vertAlign w:val="baseline"/>
        </w:rPr>
        <w:t> </w:t>
      </w:r>
      <w:r>
        <w:rPr>
          <w:vertAlign w:val="baseline"/>
        </w:rPr>
        <w:t>serum</w:t>
      </w:r>
      <w:r>
        <w:rPr>
          <w:spacing w:val="7"/>
          <w:vertAlign w:val="baseline"/>
        </w:rPr>
        <w:t> </w:t>
      </w:r>
      <w:r>
        <w:rPr>
          <w:vertAlign w:val="baseline"/>
        </w:rPr>
        <w:t>or</w:t>
      </w:r>
      <w:r>
        <w:rPr>
          <w:spacing w:val="7"/>
          <w:vertAlign w:val="baseline"/>
        </w:rPr>
        <w:t> </w:t>
      </w:r>
      <w:r>
        <w:rPr>
          <w:vertAlign w:val="baseline"/>
        </w:rPr>
        <w:t>urinary</w:t>
      </w:r>
      <w:r>
        <w:rPr>
          <w:spacing w:val="7"/>
          <w:vertAlign w:val="baseline"/>
        </w:rPr>
        <w:t> </w:t>
      </w:r>
      <w:r>
        <w:rPr>
          <w:vertAlign w:val="baseline"/>
        </w:rPr>
        <w:t>cross-linked</w:t>
      </w:r>
      <w:r>
        <w:rPr>
          <w:spacing w:val="7"/>
          <w:vertAlign w:val="baseline"/>
        </w:rPr>
        <w:t> </w:t>
      </w:r>
      <w:r>
        <w:rPr>
          <w:spacing w:val="-2"/>
          <w:vertAlign w:val="baseline"/>
        </w:rPr>
        <w:t>peptides</w:t>
      </w:r>
    </w:p>
    <w:p>
      <w:pPr>
        <w:pStyle w:val="BodyText"/>
        <w:spacing w:after="0" w:line="249" w:lineRule="auto"/>
        <w:jc w:val="right"/>
        <w:sectPr>
          <w:pgSz w:w="12240" w:h="15840"/>
          <w:pgMar w:top="1380" w:bottom="280" w:left="1440" w:right="1440"/>
        </w:sectPr>
      </w:pPr>
    </w:p>
    <w:p>
      <w:pPr>
        <w:spacing w:line="249" w:lineRule="auto" w:before="65"/>
        <w:ind w:left="99" w:right="97" w:firstLine="0"/>
        <w:jc w:val="both"/>
        <w:rPr>
          <w:b/>
          <w:sz w:val="30"/>
        </w:rPr>
      </w:pPr>
      <w:r>
        <w:rPr>
          <w:sz w:val="30"/>
        </w:rPr>
        <w:t>indicates a less than optimal bone response, raising concerns about compliance with therapy as well as identifying patients for further evaluation and specific added treatment. How reliable, practical, and cost-effective this approach is for routine clinical use is a reasonable question. Upregulation</w:t>
      </w:r>
      <w:r>
        <w:rPr>
          <w:spacing w:val="-1"/>
          <w:sz w:val="30"/>
        </w:rPr>
        <w:t> </w:t>
      </w:r>
      <w:r>
        <w:rPr>
          <w:sz w:val="30"/>
        </w:rPr>
        <w:t>of</w:t>
      </w:r>
      <w:r>
        <w:rPr>
          <w:spacing w:val="-1"/>
          <w:sz w:val="30"/>
        </w:rPr>
        <w:t> </w:t>
      </w:r>
      <w:r>
        <w:rPr>
          <w:sz w:val="30"/>
        </w:rPr>
        <w:t>bone</w:t>
      </w:r>
      <w:r>
        <w:rPr>
          <w:spacing w:val="-1"/>
          <w:sz w:val="30"/>
        </w:rPr>
        <w:t> </w:t>
      </w:r>
      <w:r>
        <w:rPr>
          <w:sz w:val="30"/>
        </w:rPr>
        <w:t>resorption</w:t>
      </w:r>
      <w:r>
        <w:rPr>
          <w:spacing w:val="-1"/>
          <w:sz w:val="30"/>
        </w:rPr>
        <w:t> </w:t>
      </w:r>
      <w:r>
        <w:rPr>
          <w:sz w:val="30"/>
        </w:rPr>
        <w:t>markers</w:t>
      </w:r>
      <w:r>
        <w:rPr>
          <w:spacing w:val="-1"/>
          <w:sz w:val="30"/>
        </w:rPr>
        <w:t> </w:t>
      </w:r>
      <w:r>
        <w:rPr>
          <w:sz w:val="30"/>
        </w:rPr>
        <w:t>identifies</w:t>
      </w:r>
      <w:r>
        <w:rPr>
          <w:spacing w:val="-1"/>
          <w:sz w:val="30"/>
        </w:rPr>
        <w:t> </w:t>
      </w:r>
      <w:r>
        <w:rPr>
          <w:sz w:val="30"/>
        </w:rPr>
        <w:t>a</w:t>
      </w:r>
      <w:r>
        <w:rPr>
          <w:spacing w:val="-1"/>
          <w:sz w:val="30"/>
        </w:rPr>
        <w:t> </w:t>
      </w:r>
      <w:r>
        <w:rPr>
          <w:sz w:val="30"/>
        </w:rPr>
        <w:t>state</w:t>
      </w:r>
      <w:r>
        <w:rPr>
          <w:spacing w:val="-1"/>
          <w:sz w:val="30"/>
        </w:rPr>
        <w:t> </w:t>
      </w:r>
      <w:r>
        <w:rPr>
          <w:sz w:val="30"/>
        </w:rPr>
        <w:t>of</w:t>
      </w:r>
      <w:r>
        <w:rPr>
          <w:spacing w:val="-1"/>
          <w:sz w:val="30"/>
        </w:rPr>
        <w:t> </w:t>
      </w:r>
      <w:r>
        <w:rPr>
          <w:sz w:val="30"/>
        </w:rPr>
        <w:t>excessive</w:t>
      </w:r>
      <w:r>
        <w:rPr>
          <w:spacing w:val="-1"/>
          <w:sz w:val="30"/>
        </w:rPr>
        <w:t> </w:t>
      </w:r>
      <w:r>
        <w:rPr>
          <w:sz w:val="30"/>
        </w:rPr>
        <w:t>bone loss,</w:t>
      </w:r>
      <w:r>
        <w:rPr>
          <w:spacing w:val="-4"/>
          <w:sz w:val="30"/>
        </w:rPr>
        <w:t> </w:t>
      </w:r>
      <w:r>
        <w:rPr>
          <w:sz w:val="30"/>
        </w:rPr>
        <w:t>which</w:t>
      </w:r>
      <w:r>
        <w:rPr>
          <w:spacing w:val="-2"/>
          <w:sz w:val="30"/>
        </w:rPr>
        <w:t> </w:t>
      </w:r>
      <w:r>
        <w:rPr>
          <w:sz w:val="30"/>
        </w:rPr>
        <w:t>if</w:t>
      </w:r>
      <w:r>
        <w:rPr>
          <w:spacing w:val="-2"/>
          <w:sz w:val="30"/>
        </w:rPr>
        <w:t> </w:t>
      </w:r>
      <w:r>
        <w:rPr>
          <w:sz w:val="30"/>
        </w:rPr>
        <w:t>left</w:t>
      </w:r>
      <w:r>
        <w:rPr>
          <w:spacing w:val="-2"/>
          <w:sz w:val="30"/>
        </w:rPr>
        <w:t> </w:t>
      </w:r>
      <w:r>
        <w:rPr>
          <w:sz w:val="30"/>
        </w:rPr>
        <w:t>unchecked</w:t>
      </w:r>
      <w:r>
        <w:rPr>
          <w:spacing w:val="-2"/>
          <w:sz w:val="30"/>
        </w:rPr>
        <w:t> </w:t>
      </w:r>
      <w:r>
        <w:rPr>
          <w:sz w:val="30"/>
        </w:rPr>
        <w:t>will</w:t>
      </w:r>
      <w:r>
        <w:rPr>
          <w:spacing w:val="-2"/>
          <w:sz w:val="30"/>
        </w:rPr>
        <w:t> </w:t>
      </w:r>
      <w:r>
        <w:rPr>
          <w:sz w:val="30"/>
        </w:rPr>
        <w:t>result</w:t>
      </w:r>
      <w:r>
        <w:rPr>
          <w:spacing w:val="-2"/>
          <w:sz w:val="30"/>
        </w:rPr>
        <w:t> </w:t>
      </w:r>
      <w:r>
        <w:rPr>
          <w:sz w:val="30"/>
        </w:rPr>
        <w:t>in</w:t>
      </w:r>
      <w:r>
        <w:rPr>
          <w:spacing w:val="-2"/>
          <w:sz w:val="30"/>
        </w:rPr>
        <w:t> </w:t>
      </w:r>
      <w:r>
        <w:rPr>
          <w:sz w:val="30"/>
        </w:rPr>
        <w:t>progressive</w:t>
      </w:r>
      <w:r>
        <w:rPr>
          <w:spacing w:val="-2"/>
          <w:sz w:val="30"/>
        </w:rPr>
        <w:t> </w:t>
      </w:r>
      <w:r>
        <w:rPr>
          <w:sz w:val="30"/>
        </w:rPr>
        <w:t>decline</w:t>
      </w:r>
      <w:r>
        <w:rPr>
          <w:spacing w:val="-2"/>
          <w:sz w:val="30"/>
        </w:rPr>
        <w:t> </w:t>
      </w:r>
      <w:r>
        <w:rPr>
          <w:sz w:val="30"/>
        </w:rPr>
        <w:t>in</w:t>
      </w:r>
      <w:r>
        <w:rPr>
          <w:spacing w:val="-2"/>
          <w:sz w:val="30"/>
        </w:rPr>
        <w:t> </w:t>
      </w:r>
      <w:r>
        <w:rPr>
          <w:sz w:val="30"/>
        </w:rPr>
        <w:t>bone</w:t>
      </w:r>
      <w:r>
        <w:rPr>
          <w:spacing w:val="-2"/>
          <w:sz w:val="30"/>
        </w:rPr>
        <w:t> </w:t>
      </w:r>
      <w:r>
        <w:rPr>
          <w:sz w:val="30"/>
        </w:rPr>
        <w:t>mass. Notably, fracture risk is higher in individuals with evidence of low bone density and upregulated bone loss compared to either alone. </w:t>
      </w:r>
      <w:r>
        <w:rPr>
          <w:b/>
          <w:sz w:val="30"/>
        </w:rPr>
        <w:t>Single, random measurements of bone markers are not useful in predicting future bone loss, and bone turnover markers are insensitive indicators of</w:t>
      </w:r>
      <w:r>
        <w:rPr>
          <w:b/>
          <w:spacing w:val="-3"/>
          <w:sz w:val="30"/>
        </w:rPr>
        <w:t> </w:t>
      </w:r>
      <w:r>
        <w:rPr>
          <w:b/>
          <w:sz w:val="30"/>
        </w:rPr>
        <w:t>response</w:t>
      </w:r>
      <w:r>
        <w:rPr>
          <w:b/>
          <w:spacing w:val="-3"/>
          <w:sz w:val="30"/>
        </w:rPr>
        <w:t> </w:t>
      </w:r>
      <w:r>
        <w:rPr>
          <w:b/>
          <w:sz w:val="30"/>
        </w:rPr>
        <w:t>to</w:t>
      </w:r>
      <w:r>
        <w:rPr>
          <w:b/>
          <w:spacing w:val="-3"/>
          <w:sz w:val="30"/>
        </w:rPr>
        <w:t> </w:t>
      </w:r>
      <w:r>
        <w:rPr>
          <w:b/>
          <w:sz w:val="30"/>
        </w:rPr>
        <w:t>raloxifene</w:t>
      </w:r>
      <w:r>
        <w:rPr>
          <w:b/>
          <w:spacing w:val="-3"/>
          <w:sz w:val="30"/>
        </w:rPr>
        <w:t> </w:t>
      </w:r>
      <w:r>
        <w:rPr>
          <w:b/>
          <w:sz w:val="30"/>
        </w:rPr>
        <w:t>and</w:t>
      </w:r>
      <w:r>
        <w:rPr>
          <w:b/>
          <w:spacing w:val="-3"/>
          <w:sz w:val="30"/>
        </w:rPr>
        <w:t> </w:t>
      </w:r>
      <w:r>
        <w:rPr>
          <w:b/>
          <w:sz w:val="30"/>
        </w:rPr>
        <w:t>calcitonin.</w:t>
      </w:r>
      <w:r>
        <w:rPr>
          <w:b/>
          <w:spacing w:val="-3"/>
          <w:sz w:val="30"/>
        </w:rPr>
        <w:t> </w:t>
      </w:r>
      <w:r>
        <w:rPr>
          <w:b/>
          <w:sz w:val="30"/>
        </w:rPr>
        <w:t>Measurement</w:t>
      </w:r>
      <w:r>
        <w:rPr>
          <w:b/>
          <w:spacing w:val="-5"/>
          <w:sz w:val="30"/>
        </w:rPr>
        <w:t> </w:t>
      </w:r>
      <w:r>
        <w:rPr>
          <w:b/>
          <w:sz w:val="30"/>
        </w:rPr>
        <w:t>of</w:t>
      </w:r>
      <w:r>
        <w:rPr>
          <w:b/>
          <w:spacing w:val="-5"/>
          <w:sz w:val="30"/>
        </w:rPr>
        <w:t> </w:t>
      </w:r>
      <w:r>
        <w:rPr>
          <w:b/>
          <w:sz w:val="30"/>
        </w:rPr>
        <w:t>bone</w:t>
      </w:r>
      <w:r>
        <w:rPr>
          <w:b/>
          <w:spacing w:val="-5"/>
          <w:sz w:val="30"/>
        </w:rPr>
        <w:t> </w:t>
      </w:r>
      <w:r>
        <w:rPr>
          <w:b/>
          <w:sz w:val="30"/>
        </w:rPr>
        <w:t>turnover markers is best confined to clinical trials, except in special situations as noted in this chapter.</w:t>
      </w:r>
    </w:p>
    <w:p>
      <w:pPr>
        <w:pStyle w:val="BodyText"/>
        <w:spacing w:before="0"/>
        <w:ind w:left="0"/>
        <w:jc w:val="left"/>
        <w:rPr>
          <w:b/>
          <w:sz w:val="20"/>
        </w:rPr>
      </w:pPr>
    </w:p>
    <w:p>
      <w:pPr>
        <w:pStyle w:val="BodyText"/>
        <w:spacing w:before="127"/>
        <w:ind w:left="0"/>
        <w:jc w:val="left"/>
        <w:rPr>
          <w:b/>
          <w:sz w:val="20"/>
        </w:rPr>
      </w:pPr>
      <w:r>
        <w:rPr>
          <w:b/>
          <w:sz w:val="20"/>
        </w:rPr>
        <mc:AlternateContent>
          <mc:Choice Requires="wps">
            <w:drawing>
              <wp:anchor distT="0" distB="0" distL="0" distR="0" allowOverlap="1" layoutInCell="1" locked="0" behindDoc="1" simplePos="0" relativeHeight="487601152">
                <wp:simplePos x="0" y="0"/>
                <wp:positionH relativeFrom="page">
                  <wp:posOffset>981075</wp:posOffset>
                </wp:positionH>
                <wp:positionV relativeFrom="paragraph">
                  <wp:posOffset>241949</wp:posOffset>
                </wp:positionV>
                <wp:extent cx="5810250" cy="638175"/>
                <wp:effectExtent l="0" t="0" r="0" b="0"/>
                <wp:wrapTopAndBottom/>
                <wp:docPr id="49" name="Group 49"/>
                <wp:cNvGraphicFramePr>
                  <a:graphicFrameLocks/>
                </wp:cNvGraphicFramePr>
                <a:graphic>
                  <a:graphicData uri="http://schemas.microsoft.com/office/word/2010/wordprocessingGroup">
                    <wpg:wgp>
                      <wpg:cNvPr id="49" name="Group 49"/>
                      <wpg:cNvGrpSpPr/>
                      <wpg:grpSpPr>
                        <a:xfrm>
                          <a:off x="0" y="0"/>
                          <a:ext cx="5810250" cy="638175"/>
                          <a:chExt cx="5810250" cy="638175"/>
                        </a:xfrm>
                      </wpg:grpSpPr>
                      <wps:wsp>
                        <wps:cNvPr id="50" name="Textbox 50"/>
                        <wps:cNvSpPr txBox="1"/>
                        <wps:spPr>
                          <a:xfrm>
                            <a:off x="0" y="285749"/>
                            <a:ext cx="5810250" cy="342900"/>
                          </a:xfrm>
                          <a:prstGeom prst="rect">
                            <a:avLst/>
                          </a:prstGeom>
                          <a:solidFill>
                            <a:srgbClr val="DDE6E3"/>
                          </a:solidFill>
                        </wps:spPr>
                        <wps:txbx>
                          <w:txbxContent>
                            <w:p>
                              <w:pPr>
                                <w:spacing w:before="138"/>
                                <w:ind w:left="84" w:right="0" w:firstLine="0"/>
                                <w:jc w:val="left"/>
                                <w:rPr>
                                  <w:rFonts w:ascii="Arial" w:hAnsi="Arial"/>
                                  <w:b/>
                                  <w:color w:val="000000"/>
                                  <w:sz w:val="22"/>
                                </w:rPr>
                              </w:pPr>
                              <w:r>
                                <w:rPr>
                                  <w:rFonts w:ascii="Arial" w:hAnsi="Arial"/>
                                  <w:b/>
                                  <w:color w:val="1C5349"/>
                                  <w:sz w:val="22"/>
                                </w:rPr>
                                <w:t>Screening</w:t>
                              </w:r>
                              <w:r>
                                <w:rPr>
                                  <w:rFonts w:ascii="Arial" w:hAnsi="Arial"/>
                                  <w:b/>
                                  <w:color w:val="1C5349"/>
                                  <w:spacing w:val="12"/>
                                  <w:sz w:val="22"/>
                                </w:rPr>
                                <w:t> </w:t>
                              </w:r>
                              <w:r>
                                <w:rPr>
                                  <w:rFonts w:ascii="Arial" w:hAnsi="Arial"/>
                                  <w:b/>
                                  <w:color w:val="1C5349"/>
                                  <w:sz w:val="22"/>
                                </w:rPr>
                                <w:t>for</w:t>
                              </w:r>
                              <w:r>
                                <w:rPr>
                                  <w:rFonts w:ascii="Arial" w:hAnsi="Arial"/>
                                  <w:b/>
                                  <w:color w:val="1C5349"/>
                                  <w:spacing w:val="12"/>
                                  <w:sz w:val="22"/>
                                </w:rPr>
                                <w:t> </w:t>
                              </w:r>
                              <w:r>
                                <w:rPr>
                                  <w:rFonts w:ascii="Arial" w:hAnsi="Arial"/>
                                  <w:b/>
                                  <w:color w:val="1C5349"/>
                                  <w:sz w:val="22"/>
                                </w:rPr>
                                <w:t>“At</w:t>
                              </w:r>
                              <w:r>
                                <w:rPr>
                                  <w:rFonts w:ascii="Arial" w:hAnsi="Arial"/>
                                  <w:b/>
                                  <w:color w:val="1C5349"/>
                                  <w:spacing w:val="12"/>
                                  <w:sz w:val="22"/>
                                </w:rPr>
                                <w:t> </w:t>
                              </w:r>
                              <w:r>
                                <w:rPr>
                                  <w:rFonts w:ascii="Arial" w:hAnsi="Arial"/>
                                  <w:b/>
                                  <w:color w:val="1C5349"/>
                                  <w:spacing w:val="-2"/>
                                  <w:sz w:val="22"/>
                                </w:rPr>
                                <w:t>Risk”</w:t>
                              </w:r>
                            </w:p>
                          </w:txbxContent>
                        </wps:txbx>
                        <wps:bodyPr wrap="square" lIns="0" tIns="0" rIns="0" bIns="0" rtlCol="0">
                          <a:noAutofit/>
                        </wps:bodyPr>
                      </wps:wsp>
                      <wps:wsp>
                        <wps:cNvPr id="51" name="Graphic 51"/>
                        <wps:cNvSpPr/>
                        <wps:spPr>
                          <a:xfrm>
                            <a:off x="0" y="628649"/>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256E60"/>
                          </a:solidFill>
                        </wps:spPr>
                        <wps:bodyPr wrap="square" lIns="0" tIns="0" rIns="0" bIns="0" rtlCol="0">
                          <a:prstTxWarp prst="textNoShape">
                            <a:avLst/>
                          </a:prstTxWarp>
                          <a:noAutofit/>
                        </wps:bodyPr>
                      </wps:wsp>
                      <wps:wsp>
                        <wps:cNvPr id="52" name="Textbox 52"/>
                        <wps:cNvSpPr txBox="1"/>
                        <wps:spPr>
                          <a:xfrm>
                            <a:off x="0" y="0"/>
                            <a:ext cx="5810250" cy="285750"/>
                          </a:xfrm>
                          <a:prstGeom prst="rect">
                            <a:avLst/>
                          </a:prstGeom>
                          <a:solidFill>
                            <a:srgbClr val="256E60"/>
                          </a:solidFill>
                        </wps:spPr>
                        <wps:txbx>
                          <w:txbxContent>
                            <w:p>
                              <w:pPr>
                                <w:spacing w:before="93"/>
                                <w:ind w:left="84" w:right="0" w:firstLine="0"/>
                                <w:jc w:val="left"/>
                                <w:rPr>
                                  <w:rFonts w:ascii="Arial"/>
                                  <w:b/>
                                  <w:color w:val="000000"/>
                                  <w:sz w:val="22"/>
                                </w:rPr>
                              </w:pPr>
                              <w:r>
                                <w:rPr>
                                  <w:rFonts w:ascii="Arial"/>
                                  <w:b/>
                                  <w:color w:val="FFFFFF"/>
                                  <w:sz w:val="22"/>
                                </w:rPr>
                                <w:t>TABLE</w:t>
                              </w:r>
                              <w:r>
                                <w:rPr>
                                  <w:rFonts w:ascii="Arial"/>
                                  <w:b/>
                                  <w:color w:val="FFFFFF"/>
                                  <w:spacing w:val="12"/>
                                  <w:sz w:val="22"/>
                                </w:rPr>
                                <w:t> </w:t>
                              </w:r>
                              <w:r>
                                <w:rPr>
                                  <w:rFonts w:ascii="Arial"/>
                                  <w:b/>
                                  <w:color w:val="FFFFFF"/>
                                  <w:sz w:val="22"/>
                                </w:rPr>
                                <w:t>23.2</w:t>
                              </w:r>
                              <w:r>
                                <w:rPr>
                                  <w:rFonts w:ascii="Arial"/>
                                  <w:b/>
                                  <w:color w:val="FFFFFF"/>
                                  <w:spacing w:val="12"/>
                                  <w:sz w:val="22"/>
                                </w:rPr>
                                <w:t> </w:t>
                              </w:r>
                              <w:r>
                                <w:rPr>
                                  <w:rFonts w:ascii="Arial"/>
                                  <w:b/>
                                  <w:color w:val="FFFFFF"/>
                                  <w:sz w:val="22"/>
                                </w:rPr>
                                <w:t>Identifying</w:t>
                              </w:r>
                              <w:r>
                                <w:rPr>
                                  <w:rFonts w:ascii="Arial"/>
                                  <w:b/>
                                  <w:color w:val="FFFFFF"/>
                                  <w:spacing w:val="12"/>
                                  <w:sz w:val="22"/>
                                </w:rPr>
                                <w:t> </w:t>
                              </w:r>
                              <w:r>
                                <w:rPr>
                                  <w:rFonts w:ascii="Arial"/>
                                  <w:b/>
                                  <w:color w:val="FFFFFF"/>
                                  <w:sz w:val="22"/>
                                </w:rPr>
                                <w:t>Populations</w:t>
                              </w:r>
                              <w:r>
                                <w:rPr>
                                  <w:rFonts w:ascii="Arial"/>
                                  <w:b/>
                                  <w:color w:val="FFFFFF"/>
                                  <w:spacing w:val="12"/>
                                  <w:sz w:val="22"/>
                                </w:rPr>
                                <w:t> </w:t>
                              </w:r>
                              <w:r>
                                <w:rPr>
                                  <w:rFonts w:ascii="Arial"/>
                                  <w:b/>
                                  <w:color w:val="FFFFFF"/>
                                  <w:sz w:val="22"/>
                                </w:rPr>
                                <w:t>at</w:t>
                              </w:r>
                              <w:r>
                                <w:rPr>
                                  <w:rFonts w:ascii="Arial"/>
                                  <w:b/>
                                  <w:color w:val="FFFFFF"/>
                                  <w:spacing w:val="13"/>
                                  <w:sz w:val="22"/>
                                </w:rPr>
                                <w:t> </w:t>
                              </w:r>
                              <w:r>
                                <w:rPr>
                                  <w:rFonts w:ascii="Arial"/>
                                  <w:b/>
                                  <w:color w:val="FFFFFF"/>
                                  <w:sz w:val="22"/>
                                </w:rPr>
                                <w:t>Risk</w:t>
                              </w:r>
                              <w:r>
                                <w:rPr>
                                  <w:rFonts w:ascii="Arial"/>
                                  <w:b/>
                                  <w:color w:val="FFFFFF"/>
                                  <w:spacing w:val="12"/>
                                  <w:sz w:val="22"/>
                                </w:rPr>
                                <w:t> </w:t>
                              </w:r>
                              <w:r>
                                <w:rPr>
                                  <w:rFonts w:ascii="Arial"/>
                                  <w:b/>
                                  <w:color w:val="FFFFFF"/>
                                  <w:sz w:val="22"/>
                                </w:rPr>
                                <w:t>for</w:t>
                              </w:r>
                              <w:r>
                                <w:rPr>
                                  <w:rFonts w:ascii="Arial"/>
                                  <w:b/>
                                  <w:color w:val="FFFFFF"/>
                                  <w:spacing w:val="12"/>
                                  <w:sz w:val="22"/>
                                </w:rPr>
                                <w:t> </w:t>
                              </w:r>
                              <w:r>
                                <w:rPr>
                                  <w:rFonts w:ascii="Arial"/>
                                  <w:b/>
                                  <w:color w:val="FFFFFF"/>
                                  <w:sz w:val="22"/>
                                </w:rPr>
                                <w:t>Fragility</w:t>
                              </w:r>
                              <w:r>
                                <w:rPr>
                                  <w:rFonts w:ascii="Arial"/>
                                  <w:b/>
                                  <w:color w:val="FFFFFF"/>
                                  <w:spacing w:val="12"/>
                                  <w:sz w:val="22"/>
                                </w:rPr>
                                <w:t> </w:t>
                              </w:r>
                              <w:r>
                                <w:rPr>
                                  <w:rFonts w:ascii="Arial"/>
                                  <w:b/>
                                  <w:color w:val="FFFFFF"/>
                                  <w:spacing w:val="-2"/>
                                  <w:sz w:val="22"/>
                                </w:rPr>
                                <w:t>Fracture</w:t>
                              </w:r>
                            </w:p>
                          </w:txbxContent>
                        </wps:txbx>
                        <wps:bodyPr wrap="square" lIns="0" tIns="0" rIns="0" bIns="0" rtlCol="0">
                          <a:noAutofit/>
                        </wps:bodyPr>
                      </wps:wsp>
                    </wpg:wgp>
                  </a:graphicData>
                </a:graphic>
              </wp:anchor>
            </w:drawing>
          </mc:Choice>
          <mc:Fallback>
            <w:pict>
              <v:group style="position:absolute;margin-left:77.25pt;margin-top:19.051128pt;width:457.5pt;height:50.25pt;mso-position-horizontal-relative:page;mso-position-vertical-relative:paragraph;z-index:-15715328;mso-wrap-distance-left:0;mso-wrap-distance-right:0" id="docshapegroup37" coordorigin="1545,381" coordsize="9150,1005">
                <v:shape style="position:absolute;left:1545;top:831;width:9150;height:540" type="#_x0000_t202" id="docshape38" filled="true" fillcolor="#dde6e3" stroked="false">
                  <v:textbox inset="0,0,0,0">
                    <w:txbxContent>
                      <w:p>
                        <w:pPr>
                          <w:spacing w:before="138"/>
                          <w:ind w:left="84" w:right="0" w:firstLine="0"/>
                          <w:jc w:val="left"/>
                          <w:rPr>
                            <w:rFonts w:ascii="Arial" w:hAnsi="Arial"/>
                            <w:b/>
                            <w:color w:val="000000"/>
                            <w:sz w:val="22"/>
                          </w:rPr>
                        </w:pPr>
                        <w:r>
                          <w:rPr>
                            <w:rFonts w:ascii="Arial" w:hAnsi="Arial"/>
                            <w:b/>
                            <w:color w:val="1C5349"/>
                            <w:sz w:val="22"/>
                          </w:rPr>
                          <w:t>Screening</w:t>
                        </w:r>
                        <w:r>
                          <w:rPr>
                            <w:rFonts w:ascii="Arial" w:hAnsi="Arial"/>
                            <w:b/>
                            <w:color w:val="1C5349"/>
                            <w:spacing w:val="12"/>
                            <w:sz w:val="22"/>
                          </w:rPr>
                          <w:t> </w:t>
                        </w:r>
                        <w:r>
                          <w:rPr>
                            <w:rFonts w:ascii="Arial" w:hAnsi="Arial"/>
                            <w:b/>
                            <w:color w:val="1C5349"/>
                            <w:sz w:val="22"/>
                          </w:rPr>
                          <w:t>for</w:t>
                        </w:r>
                        <w:r>
                          <w:rPr>
                            <w:rFonts w:ascii="Arial" w:hAnsi="Arial"/>
                            <w:b/>
                            <w:color w:val="1C5349"/>
                            <w:spacing w:val="12"/>
                            <w:sz w:val="22"/>
                          </w:rPr>
                          <w:t> </w:t>
                        </w:r>
                        <w:r>
                          <w:rPr>
                            <w:rFonts w:ascii="Arial" w:hAnsi="Arial"/>
                            <w:b/>
                            <w:color w:val="1C5349"/>
                            <w:sz w:val="22"/>
                          </w:rPr>
                          <w:t>“At</w:t>
                        </w:r>
                        <w:r>
                          <w:rPr>
                            <w:rFonts w:ascii="Arial" w:hAnsi="Arial"/>
                            <w:b/>
                            <w:color w:val="1C5349"/>
                            <w:spacing w:val="12"/>
                            <w:sz w:val="22"/>
                          </w:rPr>
                          <w:t> </w:t>
                        </w:r>
                        <w:r>
                          <w:rPr>
                            <w:rFonts w:ascii="Arial" w:hAnsi="Arial"/>
                            <w:b/>
                            <w:color w:val="1C5349"/>
                            <w:spacing w:val="-2"/>
                            <w:sz w:val="22"/>
                          </w:rPr>
                          <w:t>Risk”</w:t>
                        </w:r>
                      </w:p>
                    </w:txbxContent>
                  </v:textbox>
                  <v:fill type="solid"/>
                  <w10:wrap type="none"/>
                </v:shape>
                <v:rect style="position:absolute;left:1545;top:1371;width:9150;height:15" id="docshape39" filled="true" fillcolor="#256e60" stroked="false">
                  <v:fill type="solid"/>
                </v:rect>
                <v:shape style="position:absolute;left:1545;top:381;width:9150;height:450" type="#_x0000_t202" id="docshape40" filled="true" fillcolor="#256e60" stroked="false">
                  <v:textbox inset="0,0,0,0">
                    <w:txbxContent>
                      <w:p>
                        <w:pPr>
                          <w:spacing w:before="93"/>
                          <w:ind w:left="84" w:right="0" w:firstLine="0"/>
                          <w:jc w:val="left"/>
                          <w:rPr>
                            <w:rFonts w:ascii="Arial"/>
                            <w:b/>
                            <w:color w:val="000000"/>
                            <w:sz w:val="22"/>
                          </w:rPr>
                        </w:pPr>
                        <w:r>
                          <w:rPr>
                            <w:rFonts w:ascii="Arial"/>
                            <w:b/>
                            <w:color w:val="FFFFFF"/>
                            <w:sz w:val="22"/>
                          </w:rPr>
                          <w:t>TABLE</w:t>
                        </w:r>
                        <w:r>
                          <w:rPr>
                            <w:rFonts w:ascii="Arial"/>
                            <w:b/>
                            <w:color w:val="FFFFFF"/>
                            <w:spacing w:val="12"/>
                            <w:sz w:val="22"/>
                          </w:rPr>
                          <w:t> </w:t>
                        </w:r>
                        <w:r>
                          <w:rPr>
                            <w:rFonts w:ascii="Arial"/>
                            <w:b/>
                            <w:color w:val="FFFFFF"/>
                            <w:sz w:val="22"/>
                          </w:rPr>
                          <w:t>23.2</w:t>
                        </w:r>
                        <w:r>
                          <w:rPr>
                            <w:rFonts w:ascii="Arial"/>
                            <w:b/>
                            <w:color w:val="FFFFFF"/>
                            <w:spacing w:val="12"/>
                            <w:sz w:val="22"/>
                          </w:rPr>
                          <w:t> </w:t>
                        </w:r>
                        <w:r>
                          <w:rPr>
                            <w:rFonts w:ascii="Arial"/>
                            <w:b/>
                            <w:color w:val="FFFFFF"/>
                            <w:sz w:val="22"/>
                          </w:rPr>
                          <w:t>Identifying</w:t>
                        </w:r>
                        <w:r>
                          <w:rPr>
                            <w:rFonts w:ascii="Arial"/>
                            <w:b/>
                            <w:color w:val="FFFFFF"/>
                            <w:spacing w:val="12"/>
                            <w:sz w:val="22"/>
                          </w:rPr>
                          <w:t> </w:t>
                        </w:r>
                        <w:r>
                          <w:rPr>
                            <w:rFonts w:ascii="Arial"/>
                            <w:b/>
                            <w:color w:val="FFFFFF"/>
                            <w:sz w:val="22"/>
                          </w:rPr>
                          <w:t>Populations</w:t>
                        </w:r>
                        <w:r>
                          <w:rPr>
                            <w:rFonts w:ascii="Arial"/>
                            <w:b/>
                            <w:color w:val="FFFFFF"/>
                            <w:spacing w:val="12"/>
                            <w:sz w:val="22"/>
                          </w:rPr>
                          <w:t> </w:t>
                        </w:r>
                        <w:r>
                          <w:rPr>
                            <w:rFonts w:ascii="Arial"/>
                            <w:b/>
                            <w:color w:val="FFFFFF"/>
                            <w:sz w:val="22"/>
                          </w:rPr>
                          <w:t>at</w:t>
                        </w:r>
                        <w:r>
                          <w:rPr>
                            <w:rFonts w:ascii="Arial"/>
                            <w:b/>
                            <w:color w:val="FFFFFF"/>
                            <w:spacing w:val="13"/>
                            <w:sz w:val="22"/>
                          </w:rPr>
                          <w:t> </w:t>
                        </w:r>
                        <w:r>
                          <w:rPr>
                            <w:rFonts w:ascii="Arial"/>
                            <w:b/>
                            <w:color w:val="FFFFFF"/>
                            <w:sz w:val="22"/>
                          </w:rPr>
                          <w:t>Risk</w:t>
                        </w:r>
                        <w:r>
                          <w:rPr>
                            <w:rFonts w:ascii="Arial"/>
                            <w:b/>
                            <w:color w:val="FFFFFF"/>
                            <w:spacing w:val="12"/>
                            <w:sz w:val="22"/>
                          </w:rPr>
                          <w:t> </w:t>
                        </w:r>
                        <w:r>
                          <w:rPr>
                            <w:rFonts w:ascii="Arial"/>
                            <w:b/>
                            <w:color w:val="FFFFFF"/>
                            <w:sz w:val="22"/>
                          </w:rPr>
                          <w:t>for</w:t>
                        </w:r>
                        <w:r>
                          <w:rPr>
                            <w:rFonts w:ascii="Arial"/>
                            <w:b/>
                            <w:color w:val="FFFFFF"/>
                            <w:spacing w:val="12"/>
                            <w:sz w:val="22"/>
                          </w:rPr>
                          <w:t> </w:t>
                        </w:r>
                        <w:r>
                          <w:rPr>
                            <w:rFonts w:ascii="Arial"/>
                            <w:b/>
                            <w:color w:val="FFFFFF"/>
                            <w:sz w:val="22"/>
                          </w:rPr>
                          <w:t>Fragility</w:t>
                        </w:r>
                        <w:r>
                          <w:rPr>
                            <w:rFonts w:ascii="Arial"/>
                            <w:b/>
                            <w:color w:val="FFFFFF"/>
                            <w:spacing w:val="12"/>
                            <w:sz w:val="22"/>
                          </w:rPr>
                          <w:t> </w:t>
                        </w:r>
                        <w:r>
                          <w:rPr>
                            <w:rFonts w:ascii="Arial"/>
                            <w:b/>
                            <w:color w:val="FFFFFF"/>
                            <w:spacing w:val="-2"/>
                            <w:sz w:val="22"/>
                          </w:rPr>
                          <w:t>Fracture</w:t>
                        </w:r>
                      </w:p>
                    </w:txbxContent>
                  </v:textbox>
                  <v:fill type="solid"/>
                  <w10:wrap type="none"/>
                </v:shape>
                <w10:wrap type="topAndBottom"/>
              </v:group>
            </w:pict>
          </mc:Fallback>
        </mc:AlternateContent>
      </w:r>
    </w:p>
    <w:p>
      <w:pPr>
        <w:spacing w:before="138"/>
        <w:ind w:left="189" w:right="0" w:firstLine="0"/>
        <w:jc w:val="left"/>
        <w:rPr>
          <w:rFonts w:ascii="Arial"/>
          <w:b/>
          <w:sz w:val="22"/>
        </w:rPr>
      </w:pPr>
      <w:r>
        <w:rPr>
          <w:rFonts w:ascii="Arial"/>
          <w:b/>
          <w:sz w:val="22"/>
        </w:rPr>
        <w:t>BMD</w:t>
      </w:r>
      <w:r>
        <w:rPr>
          <w:rFonts w:ascii="Arial"/>
          <w:b/>
          <w:spacing w:val="11"/>
          <w:sz w:val="22"/>
        </w:rPr>
        <w:t> </w:t>
      </w:r>
      <w:r>
        <w:rPr>
          <w:rFonts w:ascii="Arial"/>
          <w:b/>
          <w:spacing w:val="-2"/>
          <w:sz w:val="22"/>
        </w:rPr>
        <w:t>Criteria</w:t>
      </w:r>
    </w:p>
    <w:p>
      <w:pPr>
        <w:pStyle w:val="BodyText"/>
        <w:spacing w:before="10"/>
        <w:ind w:left="0"/>
        <w:jc w:val="left"/>
        <w:rPr>
          <w:rFonts w:ascii="Arial"/>
          <w:b/>
          <w:sz w:val="10"/>
        </w:rPr>
      </w:pPr>
      <w:r>
        <w:rPr>
          <w:rFonts w:ascii="Arial"/>
          <w:b/>
          <w:sz w:val="10"/>
        </w:rPr>
        <mc:AlternateContent>
          <mc:Choice Requires="wps">
            <w:drawing>
              <wp:anchor distT="0" distB="0" distL="0" distR="0" allowOverlap="1" layoutInCell="1" locked="0" behindDoc="1" simplePos="0" relativeHeight="487601664">
                <wp:simplePos x="0" y="0"/>
                <wp:positionH relativeFrom="page">
                  <wp:posOffset>981062</wp:posOffset>
                </wp:positionH>
                <wp:positionV relativeFrom="paragraph">
                  <wp:posOffset>94636</wp:posOffset>
                </wp:positionV>
                <wp:extent cx="5810250" cy="9525"/>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5810250" cy="9525"/>
                        </a:xfrm>
                        <a:custGeom>
                          <a:avLst/>
                          <a:gdLst/>
                          <a:ahLst/>
                          <a:cxnLst/>
                          <a:rect l="l" t="t" r="r" b="b"/>
                          <a:pathLst>
                            <a:path w="5810250" h="9525">
                              <a:moveTo>
                                <a:pt x="5810250" y="0"/>
                              </a:moveTo>
                              <a:lnTo>
                                <a:pt x="866775" y="0"/>
                              </a:lnTo>
                              <a:lnTo>
                                <a:pt x="0" y="0"/>
                              </a:lnTo>
                              <a:lnTo>
                                <a:pt x="0" y="9525"/>
                              </a:lnTo>
                              <a:lnTo>
                                <a:pt x="866775" y="9525"/>
                              </a:lnTo>
                              <a:lnTo>
                                <a:pt x="5810250" y="9525"/>
                              </a:lnTo>
                              <a:lnTo>
                                <a:pt x="5810250" y="0"/>
                              </a:lnTo>
                              <a:close/>
                            </a:path>
                          </a:pathLst>
                        </a:custGeom>
                        <a:solidFill>
                          <a:srgbClr val="4E3D86"/>
                        </a:solidFill>
                      </wps:spPr>
                      <wps:bodyPr wrap="square" lIns="0" tIns="0" rIns="0" bIns="0" rtlCol="0">
                        <a:prstTxWarp prst="textNoShape">
                          <a:avLst/>
                        </a:prstTxWarp>
                        <a:noAutofit/>
                      </wps:bodyPr>
                    </wps:wsp>
                  </a:graphicData>
                </a:graphic>
              </wp:anchor>
            </w:drawing>
          </mc:Choice>
          <mc:Fallback>
            <w:pict>
              <v:shape style="position:absolute;margin-left:77.249001pt;margin-top:7.451712pt;width:457.5pt;height:.75pt;mso-position-horizontal-relative:page;mso-position-vertical-relative:paragraph;z-index:-15714816;mso-wrap-distance-left:0;mso-wrap-distance-right:0" id="docshape41" coordorigin="1545,149" coordsize="9150,15" path="m10695,149l2910,149,1545,149,1545,164,2910,164,10695,164,10695,149xe" filled="true" fillcolor="#4e3d86" stroked="false">
                <v:path arrowok="t"/>
                <v:fill type="solid"/>
                <w10:wrap type="topAndBottom"/>
              </v:shape>
            </w:pict>
          </mc:Fallback>
        </mc:AlternateContent>
      </w:r>
    </w:p>
    <w:p>
      <w:pPr>
        <w:tabs>
          <w:tab w:pos="1554" w:val="left" w:leader="none"/>
        </w:tabs>
        <w:spacing w:line="271" w:lineRule="auto" w:before="139"/>
        <w:ind w:left="1779" w:right="300" w:hanging="1590"/>
        <w:jc w:val="left"/>
        <w:rPr>
          <w:sz w:val="22"/>
        </w:rPr>
      </w:pPr>
      <w:r>
        <w:rPr>
          <w:spacing w:val="-2"/>
          <w:sz w:val="22"/>
        </w:rPr>
        <w:t>Normal</w:t>
      </w:r>
      <w:r>
        <w:rPr>
          <w:sz w:val="22"/>
        </w:rPr>
        <w:tab/>
      </w:r>
      <w:r>
        <w:rPr>
          <w:i/>
          <w:sz w:val="22"/>
        </w:rPr>
        <w:t>T</w:t>
      </w:r>
      <w:r>
        <w:rPr>
          <w:sz w:val="22"/>
        </w:rPr>
        <w:t>-score within 1 SD of mean of referent population for postmenopausal women </w:t>
      </w:r>
      <w:r>
        <w:rPr>
          <w:sz w:val="22"/>
        </w:rPr>
        <w:t>and</w:t>
      </w:r>
      <w:r>
        <w:rPr>
          <w:spacing w:val="40"/>
          <w:sz w:val="22"/>
        </w:rPr>
        <w:t> </w:t>
      </w:r>
      <w:r>
        <w:rPr>
          <w:i/>
          <w:sz w:val="22"/>
        </w:rPr>
        <w:t>Z </w:t>
      </w:r>
      <w:r>
        <w:rPr>
          <w:sz w:val="22"/>
        </w:rPr>
        <w:t>score within 2 SD of age and sex matched population for premenopausal</w:t>
      </w:r>
      <w:r>
        <w:rPr>
          <w:spacing w:val="80"/>
          <w:sz w:val="22"/>
        </w:rPr>
        <w:t> </w:t>
      </w:r>
      <w:r>
        <w:rPr>
          <w:spacing w:val="-2"/>
          <w:sz w:val="22"/>
        </w:rPr>
        <w:t>women.</w:t>
      </w:r>
    </w:p>
    <w:p>
      <w:pPr>
        <w:pStyle w:val="BodyText"/>
        <w:spacing w:before="0"/>
        <w:ind w:left="0"/>
        <w:jc w:val="left"/>
        <w:rPr>
          <w:sz w:val="9"/>
        </w:rPr>
      </w:pPr>
      <w:r>
        <w:rPr>
          <w:sz w:val="9"/>
        </w:rPr>
        <mc:AlternateContent>
          <mc:Choice Requires="wps">
            <w:drawing>
              <wp:anchor distT="0" distB="0" distL="0" distR="0" allowOverlap="1" layoutInCell="1" locked="0" behindDoc="1" simplePos="0" relativeHeight="487602176">
                <wp:simplePos x="0" y="0"/>
                <wp:positionH relativeFrom="page">
                  <wp:posOffset>981062</wp:posOffset>
                </wp:positionH>
                <wp:positionV relativeFrom="paragraph">
                  <wp:posOffset>81543</wp:posOffset>
                </wp:positionV>
                <wp:extent cx="5810250" cy="9525"/>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5810250" cy="9525"/>
                        </a:xfrm>
                        <a:custGeom>
                          <a:avLst/>
                          <a:gdLst/>
                          <a:ahLst/>
                          <a:cxnLst/>
                          <a:rect l="l" t="t" r="r" b="b"/>
                          <a:pathLst>
                            <a:path w="5810250" h="9525">
                              <a:moveTo>
                                <a:pt x="5810250" y="0"/>
                              </a:moveTo>
                              <a:lnTo>
                                <a:pt x="866775" y="0"/>
                              </a:lnTo>
                              <a:lnTo>
                                <a:pt x="0" y="0"/>
                              </a:lnTo>
                              <a:lnTo>
                                <a:pt x="0" y="9525"/>
                              </a:lnTo>
                              <a:lnTo>
                                <a:pt x="866775"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shape style="position:absolute;margin-left:77.249001pt;margin-top:6.420784pt;width:457.5pt;height:.75pt;mso-position-horizontal-relative:page;mso-position-vertical-relative:paragraph;z-index:-15714304;mso-wrap-distance-left:0;mso-wrap-distance-right:0" id="docshape42" coordorigin="1545,128" coordsize="9150,15" path="m10695,128l2910,128,1545,128,1545,143,2910,143,10695,143,10695,128xe" filled="true" fillcolor="#1c5349" stroked="false">
                <v:path arrowok="t"/>
                <v:fill type="solid"/>
                <w10:wrap type="topAndBottom"/>
              </v:shape>
            </w:pict>
          </mc:Fallback>
        </mc:AlternateContent>
      </w:r>
    </w:p>
    <w:p>
      <w:pPr>
        <w:pStyle w:val="BodyText"/>
        <w:spacing w:before="1"/>
        <w:ind w:left="0"/>
        <w:jc w:val="left"/>
        <w:rPr>
          <w:sz w:val="6"/>
        </w:rPr>
      </w:pPr>
    </w:p>
    <w:p>
      <w:pPr>
        <w:pStyle w:val="BodyText"/>
        <w:spacing w:after="0"/>
        <w:jc w:val="left"/>
        <w:rPr>
          <w:sz w:val="6"/>
        </w:rPr>
        <w:sectPr>
          <w:pgSz w:w="12240" w:h="15840"/>
          <w:pgMar w:top="1380" w:bottom="280" w:left="1440" w:right="1440"/>
        </w:sectPr>
      </w:pPr>
    </w:p>
    <w:p>
      <w:pPr>
        <w:spacing w:line="271" w:lineRule="auto" w:before="69"/>
        <w:ind w:left="414" w:right="0" w:hanging="225"/>
        <w:jc w:val="left"/>
        <w:rPr>
          <w:sz w:val="22"/>
        </w:rPr>
      </w:pPr>
      <w:r>
        <w:rPr>
          <w:sz w:val="22"/>
        </w:rPr>
        <w:t>Low</w:t>
      </w:r>
      <w:r>
        <w:rPr>
          <w:spacing w:val="-14"/>
          <w:sz w:val="22"/>
        </w:rPr>
        <w:t> </w:t>
      </w:r>
      <w:r>
        <w:rPr>
          <w:sz w:val="22"/>
        </w:rPr>
        <w:t>bone </w:t>
      </w:r>
      <w:r>
        <w:rPr>
          <w:spacing w:val="-4"/>
          <w:sz w:val="22"/>
        </w:rPr>
        <w:t>mass</w:t>
      </w:r>
    </w:p>
    <w:p>
      <w:pPr>
        <w:spacing w:line="271" w:lineRule="auto" w:before="69"/>
        <w:ind w:left="414" w:right="0" w:hanging="225"/>
        <w:jc w:val="left"/>
        <w:rPr>
          <w:sz w:val="22"/>
        </w:rPr>
      </w:pPr>
      <w:r>
        <w:rPr/>
        <w:br w:type="column"/>
      </w:r>
      <w:r>
        <w:rPr>
          <w:i/>
          <w:sz w:val="22"/>
        </w:rPr>
        <w:t>T</w:t>
      </w:r>
      <w:r>
        <w:rPr>
          <w:sz w:val="22"/>
        </w:rPr>
        <w:t>-score between −1.0 and −2.5 SD below mean of referent population </w:t>
      </w:r>
      <w:r>
        <w:rPr>
          <w:sz w:val="22"/>
        </w:rPr>
        <w:t>for postmenopausal women and </w:t>
      </w:r>
      <w:r>
        <w:rPr>
          <w:i/>
          <w:sz w:val="22"/>
        </w:rPr>
        <w:t>Z</w:t>
      </w:r>
      <w:r>
        <w:rPr>
          <w:sz w:val="22"/>
        </w:rPr>
        <w:t>-score ::;−2.0 for premenopausal women</w:t>
      </w:r>
    </w:p>
    <w:p>
      <w:pPr>
        <w:spacing w:after="0" w:line="271" w:lineRule="auto"/>
        <w:jc w:val="left"/>
        <w:rPr>
          <w:sz w:val="22"/>
        </w:rPr>
        <w:sectPr>
          <w:type w:val="continuous"/>
          <w:pgSz w:w="12240" w:h="15840"/>
          <w:pgMar w:top="1820" w:bottom="280" w:left="1440" w:right="1440"/>
          <w:cols w:num="2" w:equalWidth="0">
            <w:col w:w="1136" w:space="229"/>
            <w:col w:w="7995"/>
          </w:cols>
        </w:sectPr>
      </w:pPr>
    </w:p>
    <w:p>
      <w:pPr>
        <w:pStyle w:val="BodyText"/>
        <w:spacing w:before="2"/>
        <w:ind w:left="0"/>
        <w:jc w:val="left"/>
        <w:rPr>
          <w:sz w:val="11"/>
        </w:rPr>
      </w:pPr>
    </w:p>
    <w:p>
      <w:pPr>
        <w:spacing w:line="20" w:lineRule="exact"/>
        <w:ind w:left="105" w:right="0" w:firstLine="0"/>
        <w:rPr>
          <w:sz w:val="2"/>
        </w:rPr>
      </w:pPr>
      <w:r>
        <w:rPr>
          <w:sz w:val="2"/>
        </w:rPr>
        <mc:AlternateContent>
          <mc:Choice Requires="wps">
            <w:drawing>
              <wp:inline distT="0" distB="0" distL="0" distR="0">
                <wp:extent cx="5810250" cy="9525"/>
                <wp:effectExtent l="0" t="0" r="0" b="0"/>
                <wp:docPr id="55" name="Group 55"/>
                <wp:cNvGraphicFramePr>
                  <a:graphicFrameLocks/>
                </wp:cNvGraphicFramePr>
                <a:graphic>
                  <a:graphicData uri="http://schemas.microsoft.com/office/word/2010/wordprocessingGroup">
                    <wpg:wgp>
                      <wpg:cNvPr id="55" name="Group 55"/>
                      <wpg:cNvGrpSpPr/>
                      <wpg:grpSpPr>
                        <a:xfrm>
                          <a:off x="0" y="0"/>
                          <a:ext cx="5810250" cy="9525"/>
                          <a:chExt cx="5810250" cy="9525"/>
                        </a:xfrm>
                      </wpg:grpSpPr>
                      <wps:wsp>
                        <wps:cNvPr id="56" name="Graphic 56"/>
                        <wps:cNvSpPr/>
                        <wps:spPr>
                          <a:xfrm>
                            <a:off x="-12" y="8"/>
                            <a:ext cx="5810250" cy="9525"/>
                          </a:xfrm>
                          <a:custGeom>
                            <a:avLst/>
                            <a:gdLst/>
                            <a:ahLst/>
                            <a:cxnLst/>
                            <a:rect l="l" t="t" r="r" b="b"/>
                            <a:pathLst>
                              <a:path w="5810250" h="9525">
                                <a:moveTo>
                                  <a:pt x="5810250" y="0"/>
                                </a:moveTo>
                                <a:lnTo>
                                  <a:pt x="866775" y="0"/>
                                </a:lnTo>
                                <a:lnTo>
                                  <a:pt x="0" y="0"/>
                                </a:lnTo>
                                <a:lnTo>
                                  <a:pt x="0" y="9525"/>
                                </a:lnTo>
                                <a:lnTo>
                                  <a:pt x="866775"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43" coordorigin="0,0" coordsize="9150,15">
                <v:shape style="position:absolute;left:-1;top:0;width:9150;height:15" id="docshape44" coordorigin="0,0" coordsize="9150,15" path="m9150,0l1365,0,0,0,0,15,1365,15,9150,15,9150,0xe" filled="true" fillcolor="#1c5349" stroked="false">
                  <v:path arrowok="t"/>
                  <v:fill type="solid"/>
                </v:shape>
              </v:group>
            </w:pict>
          </mc:Fallback>
        </mc:AlternateContent>
      </w:r>
      <w:r>
        <w:rPr>
          <w:sz w:val="2"/>
        </w:rPr>
      </w:r>
    </w:p>
    <w:p>
      <w:pPr>
        <w:spacing w:before="134"/>
        <w:ind w:left="189" w:right="0" w:firstLine="0"/>
        <w:jc w:val="left"/>
        <w:rPr>
          <w:sz w:val="22"/>
        </w:rPr>
      </w:pPr>
      <w:r>
        <w:rPr>
          <w:sz w:val="22"/>
        </w:rPr>
        <w:t>Osteoporosis</w:t>
      </w:r>
      <w:r>
        <w:rPr>
          <w:spacing w:val="45"/>
          <w:sz w:val="22"/>
        </w:rPr>
        <w:t>  </w:t>
      </w:r>
      <w:r>
        <w:rPr>
          <w:i/>
          <w:sz w:val="22"/>
        </w:rPr>
        <w:t>T</w:t>
      </w:r>
      <w:r>
        <w:rPr>
          <w:sz w:val="22"/>
        </w:rPr>
        <w:t>-score</w:t>
      </w:r>
      <w:r>
        <w:rPr>
          <w:spacing w:val="5"/>
          <w:sz w:val="22"/>
        </w:rPr>
        <w:t> </w:t>
      </w:r>
      <w:r>
        <w:rPr>
          <w:sz w:val="22"/>
        </w:rPr>
        <w:t>at</w:t>
      </w:r>
      <w:r>
        <w:rPr>
          <w:spacing w:val="4"/>
          <w:sz w:val="22"/>
        </w:rPr>
        <w:t> </w:t>
      </w:r>
      <w:r>
        <w:rPr>
          <w:sz w:val="22"/>
        </w:rPr>
        <w:t>::;−2.5</w:t>
      </w:r>
      <w:r>
        <w:rPr>
          <w:spacing w:val="4"/>
          <w:sz w:val="22"/>
        </w:rPr>
        <w:t> </w:t>
      </w:r>
      <w:r>
        <w:rPr>
          <w:sz w:val="22"/>
        </w:rPr>
        <w:t>or</w:t>
      </w:r>
      <w:r>
        <w:rPr>
          <w:spacing w:val="4"/>
          <w:sz w:val="22"/>
        </w:rPr>
        <w:t> </w:t>
      </w:r>
      <w:r>
        <w:rPr>
          <w:sz w:val="22"/>
        </w:rPr>
        <w:t>worse</w:t>
      </w:r>
      <w:r>
        <w:rPr>
          <w:spacing w:val="5"/>
          <w:sz w:val="22"/>
        </w:rPr>
        <w:t> </w:t>
      </w:r>
      <w:r>
        <w:rPr>
          <w:sz w:val="22"/>
        </w:rPr>
        <w:t>below</w:t>
      </w:r>
      <w:r>
        <w:rPr>
          <w:spacing w:val="4"/>
          <w:sz w:val="22"/>
        </w:rPr>
        <w:t> </w:t>
      </w:r>
      <w:r>
        <w:rPr>
          <w:sz w:val="22"/>
        </w:rPr>
        <w:t>the</w:t>
      </w:r>
      <w:r>
        <w:rPr>
          <w:spacing w:val="4"/>
          <w:sz w:val="22"/>
        </w:rPr>
        <w:t> </w:t>
      </w:r>
      <w:r>
        <w:rPr>
          <w:sz w:val="22"/>
        </w:rPr>
        <w:t>mean</w:t>
      </w:r>
      <w:r>
        <w:rPr>
          <w:spacing w:val="4"/>
          <w:sz w:val="22"/>
        </w:rPr>
        <w:t> </w:t>
      </w:r>
      <w:r>
        <w:rPr>
          <w:sz w:val="22"/>
        </w:rPr>
        <w:t>of</w:t>
      </w:r>
      <w:r>
        <w:rPr>
          <w:spacing w:val="4"/>
          <w:sz w:val="22"/>
        </w:rPr>
        <w:t> </w:t>
      </w:r>
      <w:r>
        <w:rPr>
          <w:sz w:val="22"/>
        </w:rPr>
        <w:t>referent</w:t>
      </w:r>
      <w:r>
        <w:rPr>
          <w:spacing w:val="5"/>
          <w:sz w:val="22"/>
        </w:rPr>
        <w:t> </w:t>
      </w:r>
      <w:r>
        <w:rPr>
          <w:spacing w:val="-2"/>
          <w:sz w:val="22"/>
        </w:rPr>
        <w:t>population</w:t>
      </w:r>
    </w:p>
    <w:p>
      <w:pPr>
        <w:pStyle w:val="BodyText"/>
        <w:spacing w:before="1"/>
        <w:ind w:left="0"/>
        <w:jc w:val="left"/>
        <w:rPr>
          <w:sz w:val="12"/>
        </w:rPr>
      </w:pPr>
      <w:r>
        <w:rPr>
          <w:sz w:val="12"/>
        </w:rPr>
        <mc:AlternateContent>
          <mc:Choice Requires="wps">
            <w:drawing>
              <wp:anchor distT="0" distB="0" distL="0" distR="0" allowOverlap="1" layoutInCell="1" locked="0" behindDoc="1" simplePos="0" relativeHeight="487603200">
                <wp:simplePos x="0" y="0"/>
                <wp:positionH relativeFrom="page">
                  <wp:posOffset>981062</wp:posOffset>
                </wp:positionH>
                <wp:positionV relativeFrom="paragraph">
                  <wp:posOffset>103526</wp:posOffset>
                </wp:positionV>
                <wp:extent cx="5810250" cy="9525"/>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5810250" cy="9525"/>
                        </a:xfrm>
                        <a:custGeom>
                          <a:avLst/>
                          <a:gdLst/>
                          <a:ahLst/>
                          <a:cxnLst/>
                          <a:rect l="l" t="t" r="r" b="b"/>
                          <a:pathLst>
                            <a:path w="5810250" h="9525">
                              <a:moveTo>
                                <a:pt x="5810250" y="0"/>
                              </a:moveTo>
                              <a:lnTo>
                                <a:pt x="866775" y="0"/>
                              </a:lnTo>
                              <a:lnTo>
                                <a:pt x="0" y="0"/>
                              </a:lnTo>
                              <a:lnTo>
                                <a:pt x="0" y="9525"/>
                              </a:lnTo>
                              <a:lnTo>
                                <a:pt x="866775"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shape style="position:absolute;margin-left:77.249001pt;margin-top:8.151729pt;width:457.5pt;height:.75pt;mso-position-horizontal-relative:page;mso-position-vertical-relative:paragraph;z-index:-15713280;mso-wrap-distance-left:0;mso-wrap-distance-right:0" id="docshape45" coordorigin="1545,163" coordsize="9150,15" path="m10695,163l2910,163,1545,163,1545,178,2910,178,10695,178,10695,163xe" filled="true" fillcolor="#1c5349" stroked="false">
                <v:path arrowok="t"/>
                <v:fill type="solid"/>
                <w10:wrap type="topAndBottom"/>
              </v:shape>
            </w:pict>
          </mc:Fallback>
        </mc:AlternateContent>
      </w:r>
    </w:p>
    <w:p>
      <w:pPr>
        <w:spacing w:before="138"/>
        <w:ind w:left="189" w:right="0" w:firstLine="0"/>
        <w:jc w:val="left"/>
        <w:rPr>
          <w:rFonts w:ascii="Arial"/>
          <w:b/>
          <w:sz w:val="22"/>
        </w:rPr>
      </w:pPr>
      <w:r>
        <w:rPr>
          <w:rFonts w:ascii="Arial"/>
          <w:b/>
          <w:sz w:val="22"/>
        </w:rPr>
        <w:t>Clinical</w:t>
      </w:r>
      <w:r>
        <w:rPr>
          <w:rFonts w:ascii="Arial"/>
          <w:b/>
          <w:spacing w:val="16"/>
          <w:sz w:val="22"/>
        </w:rPr>
        <w:t> </w:t>
      </w:r>
      <w:r>
        <w:rPr>
          <w:rFonts w:ascii="Arial"/>
          <w:b/>
          <w:spacing w:val="-2"/>
          <w:sz w:val="22"/>
        </w:rPr>
        <w:t>Criteria</w:t>
      </w:r>
    </w:p>
    <w:p>
      <w:pPr>
        <w:pStyle w:val="BodyText"/>
        <w:spacing w:before="10"/>
        <w:ind w:left="0"/>
        <w:jc w:val="left"/>
        <w:rPr>
          <w:rFonts w:ascii="Arial"/>
          <w:b/>
          <w:sz w:val="10"/>
        </w:rPr>
      </w:pPr>
      <w:r>
        <w:rPr>
          <w:rFonts w:ascii="Arial"/>
          <w:b/>
          <w:sz w:val="10"/>
        </w:rPr>
        <mc:AlternateContent>
          <mc:Choice Requires="wps">
            <w:drawing>
              <wp:anchor distT="0" distB="0" distL="0" distR="0" allowOverlap="1" layoutInCell="1" locked="0" behindDoc="1" simplePos="0" relativeHeight="487603712">
                <wp:simplePos x="0" y="0"/>
                <wp:positionH relativeFrom="page">
                  <wp:posOffset>981062</wp:posOffset>
                </wp:positionH>
                <wp:positionV relativeFrom="paragraph">
                  <wp:posOffset>94636</wp:posOffset>
                </wp:positionV>
                <wp:extent cx="5810250" cy="9525"/>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5810250" cy="9525"/>
                        </a:xfrm>
                        <a:custGeom>
                          <a:avLst/>
                          <a:gdLst/>
                          <a:ahLst/>
                          <a:cxnLst/>
                          <a:rect l="l" t="t" r="r" b="b"/>
                          <a:pathLst>
                            <a:path w="5810250" h="9525">
                              <a:moveTo>
                                <a:pt x="5810250" y="0"/>
                              </a:moveTo>
                              <a:lnTo>
                                <a:pt x="866775" y="0"/>
                              </a:lnTo>
                              <a:lnTo>
                                <a:pt x="0" y="0"/>
                              </a:lnTo>
                              <a:lnTo>
                                <a:pt x="0" y="9525"/>
                              </a:lnTo>
                              <a:lnTo>
                                <a:pt x="866775"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shape style="position:absolute;margin-left:77.249001pt;margin-top:7.451732pt;width:457.5pt;height:.75pt;mso-position-horizontal-relative:page;mso-position-vertical-relative:paragraph;z-index:-15712768;mso-wrap-distance-left:0;mso-wrap-distance-right:0" id="docshape46" coordorigin="1545,149" coordsize="9150,15" path="m10695,149l2910,149,1545,149,1545,164,2910,164,10695,164,10695,149xe" filled="true" fillcolor="#1c5349" stroked="false">
                <v:path arrowok="t"/>
                <v:fill type="solid"/>
                <w10:wrap type="topAndBottom"/>
              </v:shape>
            </w:pict>
          </mc:Fallback>
        </mc:AlternateContent>
      </w:r>
    </w:p>
    <w:p>
      <w:pPr>
        <w:pStyle w:val="BodyText"/>
        <w:spacing w:before="1"/>
        <w:ind w:left="0"/>
        <w:jc w:val="left"/>
        <w:rPr>
          <w:rFonts w:ascii="Arial"/>
          <w:b/>
          <w:sz w:val="6"/>
        </w:rPr>
      </w:pPr>
    </w:p>
    <w:p>
      <w:pPr>
        <w:pStyle w:val="BodyText"/>
        <w:spacing w:after="0"/>
        <w:jc w:val="left"/>
        <w:rPr>
          <w:rFonts w:ascii="Arial"/>
          <w:b/>
          <w:sz w:val="6"/>
        </w:rPr>
        <w:sectPr>
          <w:type w:val="continuous"/>
          <w:pgSz w:w="12240" w:h="15840"/>
          <w:pgMar w:top="1820" w:bottom="280" w:left="1440" w:right="1440"/>
        </w:sectPr>
      </w:pPr>
    </w:p>
    <w:p>
      <w:pPr>
        <w:spacing w:before="69"/>
        <w:ind w:left="189" w:right="0" w:firstLine="0"/>
        <w:jc w:val="left"/>
        <w:rPr>
          <w:sz w:val="22"/>
        </w:rPr>
      </w:pPr>
      <w:r>
        <w:rPr>
          <w:spacing w:val="-2"/>
          <w:sz w:val="22"/>
        </w:rPr>
        <w:t>Incident</w:t>
      </w:r>
    </w:p>
    <w:p>
      <w:pPr>
        <w:spacing w:before="32"/>
        <w:ind w:left="414" w:right="0" w:firstLine="0"/>
        <w:jc w:val="left"/>
        <w:rPr>
          <w:sz w:val="22"/>
        </w:rPr>
      </w:pPr>
      <w:r>
        <w:rPr>
          <w:spacing w:val="-2"/>
          <w:sz w:val="22"/>
        </w:rPr>
        <w:t>fracture</w:t>
      </w:r>
    </w:p>
    <w:p>
      <w:pPr>
        <w:spacing w:before="69"/>
        <w:ind w:left="189" w:right="0" w:firstLine="0"/>
        <w:jc w:val="left"/>
        <w:rPr>
          <w:sz w:val="22"/>
        </w:rPr>
      </w:pPr>
      <w:r>
        <w:rPr/>
        <w:br w:type="column"/>
      </w:r>
      <w:r>
        <w:rPr>
          <w:sz w:val="22"/>
        </w:rPr>
        <w:t>Hip,</w:t>
      </w:r>
      <w:r>
        <w:rPr>
          <w:spacing w:val="11"/>
          <w:sz w:val="22"/>
        </w:rPr>
        <w:t> </w:t>
      </w:r>
      <w:r>
        <w:rPr>
          <w:sz w:val="22"/>
        </w:rPr>
        <w:t>vertebral,</w:t>
      </w:r>
      <w:r>
        <w:rPr>
          <w:spacing w:val="12"/>
          <w:sz w:val="22"/>
        </w:rPr>
        <w:t> </w:t>
      </w:r>
      <w:r>
        <w:rPr>
          <w:sz w:val="22"/>
        </w:rPr>
        <w:t>forearm,</w:t>
      </w:r>
      <w:r>
        <w:rPr>
          <w:spacing w:val="12"/>
          <w:sz w:val="22"/>
        </w:rPr>
        <w:t> </w:t>
      </w:r>
      <w:r>
        <w:rPr>
          <w:sz w:val="22"/>
        </w:rPr>
        <w:t>and</w:t>
      </w:r>
      <w:r>
        <w:rPr>
          <w:spacing w:val="12"/>
          <w:sz w:val="22"/>
        </w:rPr>
        <w:t> </w:t>
      </w:r>
      <w:r>
        <w:rPr>
          <w:sz w:val="22"/>
        </w:rPr>
        <w:t>rib</w:t>
      </w:r>
      <w:r>
        <w:rPr>
          <w:spacing w:val="11"/>
          <w:sz w:val="22"/>
        </w:rPr>
        <w:t> </w:t>
      </w:r>
      <w:r>
        <w:rPr>
          <w:sz w:val="22"/>
        </w:rPr>
        <w:t>fractures</w:t>
      </w:r>
      <w:r>
        <w:rPr>
          <w:spacing w:val="12"/>
          <w:sz w:val="22"/>
        </w:rPr>
        <w:t> </w:t>
      </w:r>
      <w:r>
        <w:rPr>
          <w:sz w:val="22"/>
        </w:rPr>
        <w:t>should</w:t>
      </w:r>
      <w:r>
        <w:rPr>
          <w:spacing w:val="12"/>
          <w:sz w:val="22"/>
        </w:rPr>
        <w:t> </w:t>
      </w:r>
      <w:r>
        <w:rPr>
          <w:sz w:val="22"/>
        </w:rPr>
        <w:t>raise</w:t>
      </w:r>
      <w:r>
        <w:rPr>
          <w:spacing w:val="12"/>
          <w:sz w:val="22"/>
        </w:rPr>
        <w:t> </w:t>
      </w:r>
      <w:r>
        <w:rPr>
          <w:spacing w:val="-2"/>
          <w:sz w:val="22"/>
        </w:rPr>
        <w:t>suspicion.</w:t>
      </w:r>
    </w:p>
    <w:p>
      <w:pPr>
        <w:spacing w:after="0"/>
        <w:jc w:val="left"/>
        <w:rPr>
          <w:sz w:val="22"/>
        </w:rPr>
        <w:sectPr>
          <w:type w:val="continuous"/>
          <w:pgSz w:w="12240" w:h="15840"/>
          <w:pgMar w:top="1820" w:bottom="280" w:left="1440" w:right="1440"/>
          <w:cols w:num="2" w:equalWidth="0">
            <w:col w:w="1155" w:space="210"/>
            <w:col w:w="7995"/>
          </w:cols>
        </w:sectPr>
      </w:pPr>
    </w:p>
    <w:p>
      <w:pPr>
        <w:pStyle w:val="BodyText"/>
        <w:spacing w:before="2"/>
        <w:ind w:left="0"/>
        <w:jc w:val="left"/>
        <w:rPr>
          <w:sz w:val="14"/>
        </w:rPr>
      </w:pPr>
    </w:p>
    <w:p>
      <w:pPr>
        <w:spacing w:line="20" w:lineRule="exact"/>
        <w:ind w:left="105" w:right="0" w:firstLine="0"/>
        <w:rPr>
          <w:sz w:val="2"/>
        </w:rPr>
      </w:pPr>
      <w:r>
        <w:rPr>
          <w:sz w:val="2"/>
        </w:rPr>
        <mc:AlternateContent>
          <mc:Choice Requires="wps">
            <w:drawing>
              <wp:inline distT="0" distB="0" distL="0" distR="0">
                <wp:extent cx="5810250" cy="9525"/>
                <wp:effectExtent l="0" t="0" r="0" b="0"/>
                <wp:docPr id="59" name="Group 59"/>
                <wp:cNvGraphicFramePr>
                  <a:graphicFrameLocks/>
                </wp:cNvGraphicFramePr>
                <a:graphic>
                  <a:graphicData uri="http://schemas.microsoft.com/office/word/2010/wordprocessingGroup">
                    <wpg:wgp>
                      <wpg:cNvPr id="59" name="Group 59"/>
                      <wpg:cNvGrpSpPr/>
                      <wpg:grpSpPr>
                        <a:xfrm>
                          <a:off x="0" y="0"/>
                          <a:ext cx="5810250" cy="9525"/>
                          <a:chExt cx="5810250" cy="9525"/>
                        </a:xfrm>
                      </wpg:grpSpPr>
                      <wps:wsp>
                        <wps:cNvPr id="60" name="Graphic 60"/>
                        <wps:cNvSpPr/>
                        <wps:spPr>
                          <a:xfrm>
                            <a:off x="-12" y="8"/>
                            <a:ext cx="5810250" cy="9525"/>
                          </a:xfrm>
                          <a:custGeom>
                            <a:avLst/>
                            <a:gdLst/>
                            <a:ahLst/>
                            <a:cxnLst/>
                            <a:rect l="l" t="t" r="r" b="b"/>
                            <a:pathLst>
                              <a:path w="5810250" h="9525">
                                <a:moveTo>
                                  <a:pt x="5810250" y="0"/>
                                </a:moveTo>
                                <a:lnTo>
                                  <a:pt x="866775" y="0"/>
                                </a:lnTo>
                                <a:lnTo>
                                  <a:pt x="0" y="0"/>
                                </a:lnTo>
                                <a:lnTo>
                                  <a:pt x="0" y="9525"/>
                                </a:lnTo>
                                <a:lnTo>
                                  <a:pt x="866775"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47" coordorigin="0,0" coordsize="9150,15">
                <v:shape style="position:absolute;left:-1;top:0;width:9150;height:15" id="docshape48" coordorigin="0,0" coordsize="9150,15" path="m9150,0l1365,0,0,0,0,15,1365,15,9150,15,9150,0xe" filled="true" fillcolor="#1c5349" stroked="false">
                  <v:path arrowok="t"/>
                  <v:fill type="solid"/>
                </v:shape>
              </v:group>
            </w:pict>
          </mc:Fallback>
        </mc:AlternateContent>
      </w:r>
      <w:r>
        <w:rPr>
          <w:sz w:val="2"/>
        </w:rPr>
      </w:r>
    </w:p>
    <w:p>
      <w:pPr>
        <w:tabs>
          <w:tab w:pos="1554" w:val="left" w:leader="none"/>
        </w:tabs>
        <w:spacing w:line="271" w:lineRule="auto" w:before="134"/>
        <w:ind w:left="1779" w:right="300" w:hanging="1590"/>
        <w:jc w:val="left"/>
        <w:rPr>
          <w:sz w:val="22"/>
        </w:rPr>
      </w:pPr>
      <w:r>
        <w:rPr>
          <w:sz w:val="22"/>
        </w:rPr>
        <w:t>FRAX score</w:t>
        <w:tab/>
        <w:t>Projected 10-y risk of ≥3% for hip fracture and/or ≥20% for major osteoporosis-related fracture (ie, clinical vertebral, hip, forearm, or proximal humerus </w:t>
      </w:r>
      <w:r>
        <w:rPr>
          <w:sz w:val="22"/>
        </w:rPr>
        <w:t>fracture)</w:t>
      </w:r>
    </w:p>
    <w:p>
      <w:pPr>
        <w:pStyle w:val="BodyText"/>
        <w:spacing w:before="1"/>
        <w:ind w:left="0"/>
        <w:jc w:val="left"/>
        <w:rPr>
          <w:sz w:val="9"/>
        </w:rPr>
      </w:pPr>
      <w:r>
        <w:rPr>
          <w:sz w:val="9"/>
        </w:rPr>
        <mc:AlternateContent>
          <mc:Choice Requires="wps">
            <w:drawing>
              <wp:anchor distT="0" distB="0" distL="0" distR="0" allowOverlap="1" layoutInCell="1" locked="0" behindDoc="1" simplePos="0" relativeHeight="487604736">
                <wp:simplePos x="0" y="0"/>
                <wp:positionH relativeFrom="page">
                  <wp:posOffset>981062</wp:posOffset>
                </wp:positionH>
                <wp:positionV relativeFrom="paragraph">
                  <wp:posOffset>82094</wp:posOffset>
                </wp:positionV>
                <wp:extent cx="5810250" cy="9525"/>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5810250" cy="9525"/>
                        </a:xfrm>
                        <a:custGeom>
                          <a:avLst/>
                          <a:gdLst/>
                          <a:ahLst/>
                          <a:cxnLst/>
                          <a:rect l="l" t="t" r="r" b="b"/>
                          <a:pathLst>
                            <a:path w="5810250" h="9525">
                              <a:moveTo>
                                <a:pt x="5810250" y="0"/>
                              </a:moveTo>
                              <a:lnTo>
                                <a:pt x="866775" y="0"/>
                              </a:lnTo>
                              <a:lnTo>
                                <a:pt x="0" y="0"/>
                              </a:lnTo>
                              <a:lnTo>
                                <a:pt x="0" y="9525"/>
                              </a:lnTo>
                              <a:lnTo>
                                <a:pt x="866775"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shape style="position:absolute;margin-left:77.249001pt;margin-top:6.464095pt;width:457.5pt;height:.75pt;mso-position-horizontal-relative:page;mso-position-vertical-relative:paragraph;z-index:-15711744;mso-wrap-distance-left:0;mso-wrap-distance-right:0" id="docshape49" coordorigin="1545,129" coordsize="9150,15" path="m10695,129l2910,129,1545,129,1545,144,2910,144,10695,144,10695,129xe" filled="true" fillcolor="#1c5349" stroked="false">
                <v:path arrowok="t"/>
                <v:fill type="solid"/>
                <w10:wrap type="topAndBottom"/>
              </v:shape>
            </w:pict>
          </mc:Fallback>
        </mc:AlternateContent>
      </w:r>
    </w:p>
    <w:p>
      <w:pPr>
        <w:spacing w:before="154"/>
        <w:ind w:left="99" w:right="0" w:firstLine="0"/>
        <w:jc w:val="left"/>
        <w:rPr>
          <w:sz w:val="22"/>
        </w:rPr>
      </w:pPr>
      <w:r>
        <w:rPr>
          <w:sz w:val="22"/>
        </w:rPr>
        <w:t>BMD,</w:t>
      </w:r>
      <w:r>
        <w:rPr>
          <w:spacing w:val="12"/>
          <w:sz w:val="22"/>
        </w:rPr>
        <w:t> </w:t>
      </w:r>
      <w:r>
        <w:rPr>
          <w:sz w:val="22"/>
        </w:rPr>
        <w:t>bone</w:t>
      </w:r>
      <w:r>
        <w:rPr>
          <w:spacing w:val="13"/>
          <w:sz w:val="22"/>
        </w:rPr>
        <w:t> </w:t>
      </w:r>
      <w:r>
        <w:rPr>
          <w:sz w:val="22"/>
        </w:rPr>
        <w:t>mineral</w:t>
      </w:r>
      <w:r>
        <w:rPr>
          <w:spacing w:val="13"/>
          <w:sz w:val="22"/>
        </w:rPr>
        <w:t> </w:t>
      </w:r>
      <w:r>
        <w:rPr>
          <w:sz w:val="22"/>
        </w:rPr>
        <w:t>density;</w:t>
      </w:r>
      <w:r>
        <w:rPr>
          <w:spacing w:val="13"/>
          <w:sz w:val="22"/>
        </w:rPr>
        <w:t> </w:t>
      </w:r>
      <w:r>
        <w:rPr>
          <w:sz w:val="22"/>
        </w:rPr>
        <w:t>FRAX,</w:t>
      </w:r>
      <w:r>
        <w:rPr>
          <w:spacing w:val="12"/>
          <w:sz w:val="22"/>
        </w:rPr>
        <w:t> </w:t>
      </w:r>
      <w:r>
        <w:rPr>
          <w:sz w:val="22"/>
        </w:rPr>
        <w:t>fracture</w:t>
      </w:r>
      <w:r>
        <w:rPr>
          <w:spacing w:val="13"/>
          <w:sz w:val="22"/>
        </w:rPr>
        <w:t> </w:t>
      </w:r>
      <w:r>
        <w:rPr>
          <w:sz w:val="22"/>
        </w:rPr>
        <w:t>risk</w:t>
      </w:r>
      <w:r>
        <w:rPr>
          <w:spacing w:val="13"/>
          <w:sz w:val="22"/>
        </w:rPr>
        <w:t> </w:t>
      </w:r>
      <w:r>
        <w:rPr>
          <w:sz w:val="22"/>
        </w:rPr>
        <w:t>assessment</w:t>
      </w:r>
      <w:r>
        <w:rPr>
          <w:spacing w:val="13"/>
          <w:sz w:val="22"/>
        </w:rPr>
        <w:t> </w:t>
      </w:r>
      <w:r>
        <w:rPr>
          <w:sz w:val="22"/>
        </w:rPr>
        <w:t>tool;</w:t>
      </w:r>
      <w:r>
        <w:rPr>
          <w:spacing w:val="12"/>
          <w:sz w:val="22"/>
        </w:rPr>
        <w:t> </w:t>
      </w:r>
      <w:r>
        <w:rPr>
          <w:sz w:val="22"/>
        </w:rPr>
        <w:t>SD,</w:t>
      </w:r>
      <w:r>
        <w:rPr>
          <w:spacing w:val="13"/>
          <w:sz w:val="22"/>
        </w:rPr>
        <w:t> </w:t>
      </w:r>
      <w:r>
        <w:rPr>
          <w:sz w:val="22"/>
        </w:rPr>
        <w:t>standard</w:t>
      </w:r>
      <w:r>
        <w:rPr>
          <w:spacing w:val="13"/>
          <w:sz w:val="22"/>
        </w:rPr>
        <w:t> </w:t>
      </w:r>
      <w:r>
        <w:rPr>
          <w:spacing w:val="-2"/>
          <w:sz w:val="22"/>
        </w:rPr>
        <w:t>deviation.</w:t>
      </w:r>
    </w:p>
    <w:p>
      <w:pPr>
        <w:spacing w:after="0"/>
        <w:jc w:val="left"/>
        <w:rPr>
          <w:sz w:val="22"/>
        </w:rPr>
        <w:sectPr>
          <w:type w:val="continuous"/>
          <w:pgSz w:w="12240" w:h="15840"/>
          <w:pgMar w:top="1820" w:bottom="280" w:left="1440" w:right="1440"/>
        </w:sectPr>
      </w:pPr>
    </w:p>
    <w:p>
      <w:pPr>
        <w:spacing w:line="240" w:lineRule="auto"/>
        <w:ind w:left="105" w:right="0" w:firstLine="0"/>
        <w:rPr>
          <w:sz w:val="20"/>
        </w:rPr>
      </w:pPr>
      <w:r>
        <w:rPr>
          <w:sz w:val="20"/>
        </w:rPr>
        <mc:AlternateContent>
          <mc:Choice Requires="wps">
            <w:drawing>
              <wp:inline distT="0" distB="0" distL="0" distR="0">
                <wp:extent cx="5810250" cy="638175"/>
                <wp:effectExtent l="9525" t="0" r="0" b="9525"/>
                <wp:docPr id="62" name="Group 62"/>
                <wp:cNvGraphicFramePr>
                  <a:graphicFrameLocks/>
                </wp:cNvGraphicFramePr>
                <a:graphic>
                  <a:graphicData uri="http://schemas.microsoft.com/office/word/2010/wordprocessingGroup">
                    <wpg:wgp>
                      <wpg:cNvPr id="62" name="Group 62"/>
                      <wpg:cNvGrpSpPr/>
                      <wpg:grpSpPr>
                        <a:xfrm>
                          <a:off x="0" y="0"/>
                          <a:ext cx="5810250" cy="638175"/>
                          <a:chExt cx="5810250" cy="638175"/>
                        </a:xfrm>
                      </wpg:grpSpPr>
                      <wps:wsp>
                        <wps:cNvPr id="63" name="Graphic 63"/>
                        <wps:cNvSpPr/>
                        <wps:spPr>
                          <a:xfrm>
                            <a:off x="-12" y="285757"/>
                            <a:ext cx="5810250" cy="342900"/>
                          </a:xfrm>
                          <a:custGeom>
                            <a:avLst/>
                            <a:gdLst/>
                            <a:ahLst/>
                            <a:cxnLst/>
                            <a:rect l="l" t="t" r="r" b="b"/>
                            <a:pathLst>
                              <a:path w="5810250" h="342900">
                                <a:moveTo>
                                  <a:pt x="5810250" y="0"/>
                                </a:moveTo>
                                <a:lnTo>
                                  <a:pt x="2343150" y="0"/>
                                </a:lnTo>
                                <a:lnTo>
                                  <a:pt x="0" y="0"/>
                                </a:lnTo>
                                <a:lnTo>
                                  <a:pt x="0" y="342900"/>
                                </a:lnTo>
                                <a:lnTo>
                                  <a:pt x="2343150" y="342900"/>
                                </a:lnTo>
                                <a:lnTo>
                                  <a:pt x="5810250" y="342900"/>
                                </a:lnTo>
                                <a:lnTo>
                                  <a:pt x="5810250" y="0"/>
                                </a:lnTo>
                                <a:close/>
                              </a:path>
                            </a:pathLst>
                          </a:custGeom>
                          <a:solidFill>
                            <a:srgbClr val="DDE6E3"/>
                          </a:solidFill>
                        </wps:spPr>
                        <wps:bodyPr wrap="square" lIns="0" tIns="0" rIns="0" bIns="0" rtlCol="0">
                          <a:prstTxWarp prst="textNoShape">
                            <a:avLst/>
                          </a:prstTxWarp>
                          <a:noAutofit/>
                        </wps:bodyPr>
                      </wps:wsp>
                      <wps:wsp>
                        <wps:cNvPr id="64" name="Graphic 64"/>
                        <wps:cNvSpPr/>
                        <wps:spPr>
                          <a:xfrm>
                            <a:off x="-12" y="628657"/>
                            <a:ext cx="5810250" cy="9525"/>
                          </a:xfrm>
                          <a:custGeom>
                            <a:avLst/>
                            <a:gdLst/>
                            <a:ahLst/>
                            <a:cxnLst/>
                            <a:rect l="l" t="t" r="r" b="b"/>
                            <a:pathLst>
                              <a:path w="5810250" h="9525">
                                <a:moveTo>
                                  <a:pt x="5810250" y="0"/>
                                </a:moveTo>
                                <a:lnTo>
                                  <a:pt x="2343150" y="0"/>
                                </a:lnTo>
                                <a:lnTo>
                                  <a:pt x="0" y="0"/>
                                </a:lnTo>
                                <a:lnTo>
                                  <a:pt x="0" y="9525"/>
                                </a:lnTo>
                                <a:lnTo>
                                  <a:pt x="2343150" y="9525"/>
                                </a:lnTo>
                                <a:lnTo>
                                  <a:pt x="5810250" y="9525"/>
                                </a:lnTo>
                                <a:lnTo>
                                  <a:pt x="5810250" y="0"/>
                                </a:lnTo>
                                <a:close/>
                              </a:path>
                            </a:pathLst>
                          </a:custGeom>
                          <a:solidFill>
                            <a:srgbClr val="256E60"/>
                          </a:solidFill>
                        </wps:spPr>
                        <wps:bodyPr wrap="square" lIns="0" tIns="0" rIns="0" bIns="0" rtlCol="0">
                          <a:prstTxWarp prst="textNoShape">
                            <a:avLst/>
                          </a:prstTxWarp>
                          <a:noAutofit/>
                        </wps:bodyPr>
                      </wps:wsp>
                      <wps:wsp>
                        <wps:cNvPr id="65" name="Textbox 65"/>
                        <wps:cNvSpPr txBox="1"/>
                        <wps:spPr>
                          <a:xfrm>
                            <a:off x="2397025" y="375491"/>
                            <a:ext cx="1696085" cy="160020"/>
                          </a:xfrm>
                          <a:prstGeom prst="rect">
                            <a:avLst/>
                          </a:prstGeom>
                        </wps:spPr>
                        <wps:txbx>
                          <w:txbxContent>
                            <w:p>
                              <w:pPr>
                                <w:spacing w:line="250" w:lineRule="exact" w:before="0"/>
                                <w:ind w:left="0" w:right="0" w:firstLine="0"/>
                                <w:jc w:val="left"/>
                                <w:rPr>
                                  <w:rFonts w:ascii="Arial"/>
                                  <w:b/>
                                  <w:sz w:val="22"/>
                                </w:rPr>
                              </w:pPr>
                              <w:r>
                                <w:rPr>
                                  <w:rFonts w:ascii="Arial"/>
                                  <w:b/>
                                  <w:color w:val="1C5349"/>
                                  <w:sz w:val="22"/>
                                </w:rPr>
                                <w:t>Bone</w:t>
                              </w:r>
                              <w:r>
                                <w:rPr>
                                  <w:rFonts w:ascii="Arial"/>
                                  <w:b/>
                                  <w:color w:val="1C5349"/>
                                  <w:spacing w:val="17"/>
                                  <w:sz w:val="22"/>
                                </w:rPr>
                                <w:t> </w:t>
                              </w:r>
                              <w:r>
                                <w:rPr>
                                  <w:rFonts w:ascii="Arial"/>
                                  <w:b/>
                                  <w:color w:val="1C5349"/>
                                  <w:sz w:val="22"/>
                                </w:rPr>
                                <w:t>Formation</w:t>
                              </w:r>
                              <w:r>
                                <w:rPr>
                                  <w:rFonts w:ascii="Arial"/>
                                  <w:b/>
                                  <w:color w:val="1C5349"/>
                                  <w:spacing w:val="17"/>
                                  <w:sz w:val="22"/>
                                </w:rPr>
                                <w:t> </w:t>
                              </w:r>
                              <w:r>
                                <w:rPr>
                                  <w:rFonts w:ascii="Arial"/>
                                  <w:b/>
                                  <w:color w:val="1C5349"/>
                                  <w:spacing w:val="-2"/>
                                  <w:sz w:val="22"/>
                                </w:rPr>
                                <w:t>Markers</w:t>
                              </w:r>
                            </w:p>
                          </w:txbxContent>
                        </wps:txbx>
                        <wps:bodyPr wrap="square" lIns="0" tIns="0" rIns="0" bIns="0" rtlCol="0">
                          <a:noAutofit/>
                        </wps:bodyPr>
                      </wps:wsp>
                      <wps:wsp>
                        <wps:cNvPr id="66" name="Textbox 66"/>
                        <wps:cNvSpPr txBox="1"/>
                        <wps:spPr>
                          <a:xfrm>
                            <a:off x="53875" y="375491"/>
                            <a:ext cx="1751964" cy="160020"/>
                          </a:xfrm>
                          <a:prstGeom prst="rect">
                            <a:avLst/>
                          </a:prstGeom>
                        </wps:spPr>
                        <wps:txbx>
                          <w:txbxContent>
                            <w:p>
                              <w:pPr>
                                <w:spacing w:line="250" w:lineRule="exact" w:before="0"/>
                                <w:ind w:left="0" w:right="0" w:firstLine="0"/>
                                <w:jc w:val="left"/>
                                <w:rPr>
                                  <w:rFonts w:ascii="Arial"/>
                                  <w:b/>
                                  <w:sz w:val="22"/>
                                </w:rPr>
                              </w:pPr>
                              <w:r>
                                <w:rPr>
                                  <w:rFonts w:ascii="Arial"/>
                                  <w:b/>
                                  <w:color w:val="1C5349"/>
                                  <w:sz w:val="22"/>
                                </w:rPr>
                                <w:t>Bone</w:t>
                              </w:r>
                              <w:r>
                                <w:rPr>
                                  <w:rFonts w:ascii="Arial"/>
                                  <w:b/>
                                  <w:color w:val="1C5349"/>
                                  <w:spacing w:val="18"/>
                                  <w:sz w:val="22"/>
                                </w:rPr>
                                <w:t> </w:t>
                              </w:r>
                              <w:r>
                                <w:rPr>
                                  <w:rFonts w:ascii="Arial"/>
                                  <w:b/>
                                  <w:color w:val="1C5349"/>
                                  <w:sz w:val="22"/>
                                </w:rPr>
                                <w:t>Resorption</w:t>
                              </w:r>
                              <w:r>
                                <w:rPr>
                                  <w:rFonts w:ascii="Arial"/>
                                  <w:b/>
                                  <w:color w:val="1C5349"/>
                                  <w:spacing w:val="18"/>
                                  <w:sz w:val="22"/>
                                </w:rPr>
                                <w:t> </w:t>
                              </w:r>
                              <w:r>
                                <w:rPr>
                                  <w:rFonts w:ascii="Arial"/>
                                  <w:b/>
                                  <w:color w:val="1C5349"/>
                                  <w:spacing w:val="-2"/>
                                  <w:sz w:val="22"/>
                                </w:rPr>
                                <w:t>Markers</w:t>
                              </w:r>
                            </w:p>
                          </w:txbxContent>
                        </wps:txbx>
                        <wps:bodyPr wrap="square" lIns="0" tIns="0" rIns="0" bIns="0" rtlCol="0">
                          <a:noAutofit/>
                        </wps:bodyPr>
                      </wps:wsp>
                      <wps:wsp>
                        <wps:cNvPr id="67" name="Textbox 67"/>
                        <wps:cNvSpPr txBox="1"/>
                        <wps:spPr>
                          <a:xfrm>
                            <a:off x="0" y="0"/>
                            <a:ext cx="5810250" cy="285750"/>
                          </a:xfrm>
                          <a:prstGeom prst="rect">
                            <a:avLst/>
                          </a:prstGeom>
                          <a:solidFill>
                            <a:srgbClr val="256E60"/>
                          </a:solidFill>
                        </wps:spPr>
                        <wps:txbx>
                          <w:txbxContent>
                            <w:p>
                              <w:pPr>
                                <w:spacing w:before="93"/>
                                <w:ind w:left="84" w:right="0" w:firstLine="0"/>
                                <w:jc w:val="left"/>
                                <w:rPr>
                                  <w:rFonts w:ascii="Arial"/>
                                  <w:b/>
                                  <w:color w:val="000000"/>
                                  <w:sz w:val="22"/>
                                </w:rPr>
                              </w:pPr>
                              <w:r>
                                <w:rPr>
                                  <w:rFonts w:ascii="Arial"/>
                                  <w:b/>
                                  <w:color w:val="FFFFFF"/>
                                  <w:sz w:val="22"/>
                                </w:rPr>
                                <w:t>TABLE</w:t>
                              </w:r>
                              <w:r>
                                <w:rPr>
                                  <w:rFonts w:ascii="Arial"/>
                                  <w:b/>
                                  <w:color w:val="FFFFFF"/>
                                  <w:spacing w:val="5"/>
                                  <w:sz w:val="22"/>
                                </w:rPr>
                                <w:t> </w:t>
                              </w:r>
                              <w:r>
                                <w:rPr>
                                  <w:rFonts w:ascii="Arial"/>
                                  <w:b/>
                                  <w:color w:val="FFFFFF"/>
                                  <w:sz w:val="22"/>
                                </w:rPr>
                                <w:t>23.3</w:t>
                              </w:r>
                              <w:r>
                                <w:rPr>
                                  <w:rFonts w:ascii="Arial"/>
                                  <w:b/>
                                  <w:color w:val="FFFFFF"/>
                                  <w:spacing w:val="6"/>
                                  <w:sz w:val="22"/>
                                </w:rPr>
                                <w:t> </w:t>
                              </w:r>
                              <w:r>
                                <w:rPr>
                                  <w:rFonts w:ascii="Arial"/>
                                  <w:b/>
                                  <w:color w:val="FFFFFF"/>
                                  <w:sz w:val="22"/>
                                </w:rPr>
                                <w:t>Bone</w:t>
                              </w:r>
                              <w:r>
                                <w:rPr>
                                  <w:rFonts w:ascii="Arial"/>
                                  <w:b/>
                                  <w:color w:val="FFFFFF"/>
                                  <w:spacing w:val="6"/>
                                  <w:sz w:val="22"/>
                                </w:rPr>
                                <w:t> </w:t>
                              </w:r>
                              <w:r>
                                <w:rPr>
                                  <w:rFonts w:ascii="Arial"/>
                                  <w:b/>
                                  <w:color w:val="FFFFFF"/>
                                  <w:sz w:val="22"/>
                                </w:rPr>
                                <w:t>Turnover</w:t>
                              </w:r>
                              <w:r>
                                <w:rPr>
                                  <w:rFonts w:ascii="Arial"/>
                                  <w:b/>
                                  <w:color w:val="FFFFFF"/>
                                  <w:spacing w:val="6"/>
                                  <w:sz w:val="22"/>
                                </w:rPr>
                                <w:t> </w:t>
                              </w:r>
                              <w:r>
                                <w:rPr>
                                  <w:rFonts w:ascii="Arial"/>
                                  <w:b/>
                                  <w:color w:val="FFFFFF"/>
                                  <w:spacing w:val="-2"/>
                                  <w:sz w:val="22"/>
                                </w:rPr>
                                <w:t>Markers</w:t>
                              </w:r>
                            </w:p>
                          </w:txbxContent>
                        </wps:txbx>
                        <wps:bodyPr wrap="square" lIns="0" tIns="0" rIns="0" bIns="0" rtlCol="0">
                          <a:noAutofit/>
                        </wps:bodyPr>
                      </wps:wsp>
                    </wpg:wgp>
                  </a:graphicData>
                </a:graphic>
              </wp:inline>
            </w:drawing>
          </mc:Choice>
          <mc:Fallback>
            <w:pict>
              <v:group style="width:457.5pt;height:50.25pt;mso-position-horizontal-relative:char;mso-position-vertical-relative:line" id="docshapegroup50" coordorigin="0,0" coordsize="9150,1005">
                <v:shape style="position:absolute;left:-1;top:450;width:9150;height:540" id="docshape51" coordorigin="0,450" coordsize="9150,540" path="m9150,450l3690,450,0,450,0,990,3690,990,9150,990,9150,450xe" filled="true" fillcolor="#dde6e3" stroked="false">
                  <v:path arrowok="t"/>
                  <v:fill type="solid"/>
                </v:shape>
                <v:shape style="position:absolute;left:-1;top:990;width:9150;height:15" id="docshape52" coordorigin="0,990" coordsize="9150,15" path="m9150,990l3690,990,0,990,0,1005,3690,1005,9150,1005,9150,990xe" filled="true" fillcolor="#256e60" stroked="false">
                  <v:path arrowok="t"/>
                  <v:fill type="solid"/>
                </v:shape>
                <v:shape style="position:absolute;left:3774;top:591;width:2671;height:252" type="#_x0000_t202" id="docshape53" filled="false" stroked="false">
                  <v:textbox inset="0,0,0,0">
                    <w:txbxContent>
                      <w:p>
                        <w:pPr>
                          <w:spacing w:line="250" w:lineRule="exact" w:before="0"/>
                          <w:ind w:left="0" w:right="0" w:firstLine="0"/>
                          <w:jc w:val="left"/>
                          <w:rPr>
                            <w:rFonts w:ascii="Arial"/>
                            <w:b/>
                            <w:sz w:val="22"/>
                          </w:rPr>
                        </w:pPr>
                        <w:r>
                          <w:rPr>
                            <w:rFonts w:ascii="Arial"/>
                            <w:b/>
                            <w:color w:val="1C5349"/>
                            <w:sz w:val="22"/>
                          </w:rPr>
                          <w:t>Bone</w:t>
                        </w:r>
                        <w:r>
                          <w:rPr>
                            <w:rFonts w:ascii="Arial"/>
                            <w:b/>
                            <w:color w:val="1C5349"/>
                            <w:spacing w:val="17"/>
                            <w:sz w:val="22"/>
                          </w:rPr>
                          <w:t> </w:t>
                        </w:r>
                        <w:r>
                          <w:rPr>
                            <w:rFonts w:ascii="Arial"/>
                            <w:b/>
                            <w:color w:val="1C5349"/>
                            <w:sz w:val="22"/>
                          </w:rPr>
                          <w:t>Formation</w:t>
                        </w:r>
                        <w:r>
                          <w:rPr>
                            <w:rFonts w:ascii="Arial"/>
                            <w:b/>
                            <w:color w:val="1C5349"/>
                            <w:spacing w:val="17"/>
                            <w:sz w:val="22"/>
                          </w:rPr>
                          <w:t> </w:t>
                        </w:r>
                        <w:r>
                          <w:rPr>
                            <w:rFonts w:ascii="Arial"/>
                            <w:b/>
                            <w:color w:val="1C5349"/>
                            <w:spacing w:val="-2"/>
                            <w:sz w:val="22"/>
                          </w:rPr>
                          <w:t>Markers</w:t>
                        </w:r>
                      </w:p>
                    </w:txbxContent>
                  </v:textbox>
                  <w10:wrap type="none"/>
                </v:shape>
                <v:shape style="position:absolute;left:84;top:591;width:2759;height:252" type="#_x0000_t202" id="docshape54" filled="false" stroked="false">
                  <v:textbox inset="0,0,0,0">
                    <w:txbxContent>
                      <w:p>
                        <w:pPr>
                          <w:spacing w:line="250" w:lineRule="exact" w:before="0"/>
                          <w:ind w:left="0" w:right="0" w:firstLine="0"/>
                          <w:jc w:val="left"/>
                          <w:rPr>
                            <w:rFonts w:ascii="Arial"/>
                            <w:b/>
                            <w:sz w:val="22"/>
                          </w:rPr>
                        </w:pPr>
                        <w:r>
                          <w:rPr>
                            <w:rFonts w:ascii="Arial"/>
                            <w:b/>
                            <w:color w:val="1C5349"/>
                            <w:sz w:val="22"/>
                          </w:rPr>
                          <w:t>Bone</w:t>
                        </w:r>
                        <w:r>
                          <w:rPr>
                            <w:rFonts w:ascii="Arial"/>
                            <w:b/>
                            <w:color w:val="1C5349"/>
                            <w:spacing w:val="18"/>
                            <w:sz w:val="22"/>
                          </w:rPr>
                          <w:t> </w:t>
                        </w:r>
                        <w:r>
                          <w:rPr>
                            <w:rFonts w:ascii="Arial"/>
                            <w:b/>
                            <w:color w:val="1C5349"/>
                            <w:sz w:val="22"/>
                          </w:rPr>
                          <w:t>Resorption</w:t>
                        </w:r>
                        <w:r>
                          <w:rPr>
                            <w:rFonts w:ascii="Arial"/>
                            <w:b/>
                            <w:color w:val="1C5349"/>
                            <w:spacing w:val="18"/>
                            <w:sz w:val="22"/>
                          </w:rPr>
                          <w:t> </w:t>
                        </w:r>
                        <w:r>
                          <w:rPr>
                            <w:rFonts w:ascii="Arial"/>
                            <w:b/>
                            <w:color w:val="1C5349"/>
                            <w:spacing w:val="-2"/>
                            <w:sz w:val="22"/>
                          </w:rPr>
                          <w:t>Markers</w:t>
                        </w:r>
                      </w:p>
                    </w:txbxContent>
                  </v:textbox>
                  <w10:wrap type="none"/>
                </v:shape>
                <v:shape style="position:absolute;left:0;top:0;width:9150;height:450" type="#_x0000_t202" id="docshape55" filled="true" fillcolor="#256e60" stroked="false">
                  <v:textbox inset="0,0,0,0">
                    <w:txbxContent>
                      <w:p>
                        <w:pPr>
                          <w:spacing w:before="93"/>
                          <w:ind w:left="84" w:right="0" w:firstLine="0"/>
                          <w:jc w:val="left"/>
                          <w:rPr>
                            <w:rFonts w:ascii="Arial"/>
                            <w:b/>
                            <w:color w:val="000000"/>
                            <w:sz w:val="22"/>
                          </w:rPr>
                        </w:pPr>
                        <w:r>
                          <w:rPr>
                            <w:rFonts w:ascii="Arial"/>
                            <w:b/>
                            <w:color w:val="FFFFFF"/>
                            <w:sz w:val="22"/>
                          </w:rPr>
                          <w:t>TABLE</w:t>
                        </w:r>
                        <w:r>
                          <w:rPr>
                            <w:rFonts w:ascii="Arial"/>
                            <w:b/>
                            <w:color w:val="FFFFFF"/>
                            <w:spacing w:val="5"/>
                            <w:sz w:val="22"/>
                          </w:rPr>
                          <w:t> </w:t>
                        </w:r>
                        <w:r>
                          <w:rPr>
                            <w:rFonts w:ascii="Arial"/>
                            <w:b/>
                            <w:color w:val="FFFFFF"/>
                            <w:sz w:val="22"/>
                          </w:rPr>
                          <w:t>23.3</w:t>
                        </w:r>
                        <w:r>
                          <w:rPr>
                            <w:rFonts w:ascii="Arial"/>
                            <w:b/>
                            <w:color w:val="FFFFFF"/>
                            <w:spacing w:val="6"/>
                            <w:sz w:val="22"/>
                          </w:rPr>
                          <w:t> </w:t>
                        </w:r>
                        <w:r>
                          <w:rPr>
                            <w:rFonts w:ascii="Arial"/>
                            <w:b/>
                            <w:color w:val="FFFFFF"/>
                            <w:sz w:val="22"/>
                          </w:rPr>
                          <w:t>Bone</w:t>
                        </w:r>
                        <w:r>
                          <w:rPr>
                            <w:rFonts w:ascii="Arial"/>
                            <w:b/>
                            <w:color w:val="FFFFFF"/>
                            <w:spacing w:val="6"/>
                            <w:sz w:val="22"/>
                          </w:rPr>
                          <w:t> </w:t>
                        </w:r>
                        <w:r>
                          <w:rPr>
                            <w:rFonts w:ascii="Arial"/>
                            <w:b/>
                            <w:color w:val="FFFFFF"/>
                            <w:sz w:val="22"/>
                          </w:rPr>
                          <w:t>Turnover</w:t>
                        </w:r>
                        <w:r>
                          <w:rPr>
                            <w:rFonts w:ascii="Arial"/>
                            <w:b/>
                            <w:color w:val="FFFFFF"/>
                            <w:spacing w:val="6"/>
                            <w:sz w:val="22"/>
                          </w:rPr>
                          <w:t> </w:t>
                        </w:r>
                        <w:r>
                          <w:rPr>
                            <w:rFonts w:ascii="Arial"/>
                            <w:b/>
                            <w:color w:val="FFFFFF"/>
                            <w:spacing w:val="-2"/>
                            <w:sz w:val="22"/>
                          </w:rPr>
                          <w:t>Markers</w:t>
                        </w:r>
                      </w:p>
                    </w:txbxContent>
                  </v:textbox>
                  <v:fill type="solid"/>
                  <w10:wrap type="none"/>
                </v:shape>
              </v:group>
            </w:pict>
          </mc:Fallback>
        </mc:AlternateContent>
      </w:r>
      <w:r>
        <w:rPr>
          <w:sz w:val="20"/>
        </w:rPr>
      </w:r>
    </w:p>
    <w:p>
      <w:pPr>
        <w:pStyle w:val="BodyText"/>
        <w:spacing w:before="1"/>
        <w:ind w:left="0"/>
        <w:jc w:val="left"/>
        <w:rPr>
          <w:sz w:val="6"/>
        </w:rPr>
      </w:pPr>
    </w:p>
    <w:p>
      <w:pPr>
        <w:pStyle w:val="BodyText"/>
        <w:spacing w:after="0"/>
        <w:jc w:val="left"/>
        <w:rPr>
          <w:sz w:val="6"/>
        </w:rPr>
        <w:sectPr>
          <w:pgSz w:w="12240" w:h="15840"/>
          <w:pgMar w:top="1440" w:bottom="280" w:left="1440" w:right="1440"/>
        </w:sectPr>
      </w:pPr>
    </w:p>
    <w:p>
      <w:pPr>
        <w:spacing w:before="44"/>
        <w:ind w:left="189" w:right="0" w:firstLine="0"/>
        <w:jc w:val="left"/>
        <w:rPr>
          <w:b/>
          <w:sz w:val="22"/>
        </w:rPr>
      </w:pPr>
      <w:r>
        <w:rPr>
          <w:b/>
          <w:spacing w:val="-2"/>
          <w:sz w:val="22"/>
        </w:rPr>
        <w:t>Urinary</w:t>
      </w:r>
    </w:p>
    <w:p>
      <w:pPr>
        <w:pStyle w:val="ListParagraph"/>
        <w:numPr>
          <w:ilvl w:val="0"/>
          <w:numId w:val="5"/>
        </w:numPr>
        <w:tabs>
          <w:tab w:pos="436" w:val="left" w:leader="none"/>
        </w:tabs>
        <w:spacing w:line="240" w:lineRule="auto" w:before="77" w:after="0"/>
        <w:ind w:left="436" w:right="0" w:hanging="242"/>
        <w:jc w:val="left"/>
        <w:rPr>
          <w:sz w:val="22"/>
        </w:rPr>
      </w:pPr>
      <w:r>
        <w:rPr>
          <w:spacing w:val="-2"/>
          <w:sz w:val="22"/>
        </w:rPr>
        <w:t>Hydroxyproline</w:t>
      </w:r>
    </w:p>
    <w:p>
      <w:pPr>
        <w:pStyle w:val="ListParagraph"/>
        <w:numPr>
          <w:ilvl w:val="0"/>
          <w:numId w:val="5"/>
        </w:numPr>
        <w:tabs>
          <w:tab w:pos="436" w:val="left" w:leader="none"/>
        </w:tabs>
        <w:spacing w:line="240" w:lineRule="auto" w:before="17" w:after="0"/>
        <w:ind w:left="436" w:right="0" w:hanging="242"/>
        <w:jc w:val="left"/>
        <w:rPr>
          <w:sz w:val="22"/>
        </w:rPr>
      </w:pPr>
      <w:r>
        <w:rPr>
          <w:sz w:val="22"/>
        </w:rPr>
        <w:t>Pyridinoline</w:t>
      </w:r>
      <w:r>
        <w:rPr>
          <w:spacing w:val="22"/>
          <w:sz w:val="22"/>
        </w:rPr>
        <w:t> </w:t>
      </w:r>
      <w:r>
        <w:rPr>
          <w:spacing w:val="-4"/>
          <w:sz w:val="22"/>
        </w:rPr>
        <w:t>(PYD)</w:t>
      </w:r>
    </w:p>
    <w:p>
      <w:pPr>
        <w:pStyle w:val="ListParagraph"/>
        <w:numPr>
          <w:ilvl w:val="0"/>
          <w:numId w:val="5"/>
        </w:numPr>
        <w:tabs>
          <w:tab w:pos="436" w:val="left" w:leader="none"/>
        </w:tabs>
        <w:spacing w:line="240" w:lineRule="auto" w:before="17" w:after="0"/>
        <w:ind w:left="436" w:right="0" w:hanging="242"/>
        <w:jc w:val="left"/>
        <w:rPr>
          <w:sz w:val="22"/>
        </w:rPr>
      </w:pPr>
      <w:r>
        <w:rPr>
          <w:sz w:val="22"/>
        </w:rPr>
        <w:t>Deoxypyridinoline</w:t>
      </w:r>
      <w:r>
        <w:rPr>
          <w:spacing w:val="34"/>
          <w:sz w:val="22"/>
        </w:rPr>
        <w:t> </w:t>
      </w:r>
      <w:r>
        <w:rPr>
          <w:spacing w:val="-2"/>
          <w:sz w:val="22"/>
        </w:rPr>
        <w:t>(DPD)</w:t>
      </w:r>
    </w:p>
    <w:p>
      <w:pPr>
        <w:pStyle w:val="ListParagraph"/>
        <w:numPr>
          <w:ilvl w:val="0"/>
          <w:numId w:val="5"/>
        </w:numPr>
        <w:tabs>
          <w:tab w:pos="436" w:val="left" w:leader="none"/>
        </w:tabs>
        <w:spacing w:line="240" w:lineRule="auto" w:before="17" w:after="0"/>
        <w:ind w:left="436" w:right="0" w:hanging="242"/>
        <w:jc w:val="left"/>
        <w:rPr>
          <w:sz w:val="22"/>
        </w:rPr>
      </w:pPr>
      <w:r>
        <w:rPr>
          <w:sz w:val="22"/>
        </w:rPr>
        <w:t>N-telopeptide</w:t>
      </w:r>
      <w:r>
        <w:rPr>
          <w:spacing w:val="25"/>
          <w:sz w:val="22"/>
        </w:rPr>
        <w:t> </w:t>
      </w:r>
      <w:r>
        <w:rPr>
          <w:spacing w:val="-2"/>
          <w:sz w:val="22"/>
        </w:rPr>
        <w:t>(NTX)</w:t>
      </w:r>
    </w:p>
    <w:p>
      <w:pPr>
        <w:pStyle w:val="ListParagraph"/>
        <w:numPr>
          <w:ilvl w:val="0"/>
          <w:numId w:val="5"/>
        </w:numPr>
        <w:tabs>
          <w:tab w:pos="436" w:val="left" w:leader="none"/>
        </w:tabs>
        <w:spacing w:line="240" w:lineRule="auto" w:before="17" w:after="0"/>
        <w:ind w:left="436" w:right="0" w:hanging="242"/>
        <w:jc w:val="left"/>
        <w:rPr>
          <w:sz w:val="22"/>
        </w:rPr>
      </w:pPr>
      <w:r>
        <w:rPr>
          <w:sz w:val="22"/>
        </w:rPr>
        <w:t>C-telopeptide</w:t>
      </w:r>
      <w:r>
        <w:rPr>
          <w:spacing w:val="24"/>
          <w:sz w:val="22"/>
        </w:rPr>
        <w:t> </w:t>
      </w:r>
      <w:r>
        <w:rPr>
          <w:spacing w:val="-2"/>
          <w:sz w:val="22"/>
        </w:rPr>
        <w:t>(CTX)</w:t>
      </w:r>
    </w:p>
    <w:p>
      <w:pPr>
        <w:spacing w:before="44"/>
        <w:ind w:left="189" w:right="0" w:firstLine="0"/>
        <w:jc w:val="left"/>
        <w:rPr>
          <w:b/>
          <w:sz w:val="22"/>
        </w:rPr>
      </w:pPr>
      <w:r>
        <w:rPr/>
        <w:br w:type="column"/>
      </w:r>
      <w:r>
        <w:rPr>
          <w:b/>
          <w:spacing w:val="-2"/>
          <w:sz w:val="22"/>
        </w:rPr>
        <w:t>Serum</w:t>
      </w:r>
    </w:p>
    <w:p>
      <w:pPr>
        <w:pStyle w:val="ListParagraph"/>
        <w:numPr>
          <w:ilvl w:val="0"/>
          <w:numId w:val="5"/>
        </w:numPr>
        <w:tabs>
          <w:tab w:pos="436" w:val="left" w:leader="none"/>
        </w:tabs>
        <w:spacing w:line="240" w:lineRule="auto" w:before="77" w:after="0"/>
        <w:ind w:left="436" w:right="0" w:hanging="242"/>
        <w:jc w:val="left"/>
        <w:rPr>
          <w:sz w:val="22"/>
        </w:rPr>
      </w:pPr>
      <w:r>
        <w:rPr>
          <w:spacing w:val="-5"/>
          <w:sz w:val="22"/>
        </w:rPr>
        <w:t>CTX</w:t>
      </w:r>
    </w:p>
    <w:p>
      <w:pPr>
        <w:pStyle w:val="ListParagraph"/>
        <w:numPr>
          <w:ilvl w:val="0"/>
          <w:numId w:val="5"/>
        </w:numPr>
        <w:tabs>
          <w:tab w:pos="436" w:val="left" w:leader="none"/>
        </w:tabs>
        <w:spacing w:line="240" w:lineRule="auto" w:before="17" w:after="0"/>
        <w:ind w:left="436" w:right="0" w:hanging="242"/>
        <w:jc w:val="left"/>
        <w:rPr>
          <w:sz w:val="22"/>
        </w:rPr>
      </w:pPr>
      <w:r>
        <w:rPr>
          <w:sz w:val="22"/>
        </w:rPr>
        <w:t>Bone</w:t>
      </w:r>
      <w:r>
        <w:rPr>
          <w:spacing w:val="16"/>
          <w:sz w:val="22"/>
        </w:rPr>
        <w:t> </w:t>
      </w:r>
      <w:r>
        <w:rPr>
          <w:sz w:val="22"/>
        </w:rPr>
        <w:t>sialoprotein</w:t>
      </w:r>
      <w:r>
        <w:rPr>
          <w:spacing w:val="16"/>
          <w:sz w:val="22"/>
        </w:rPr>
        <w:t> </w:t>
      </w:r>
      <w:r>
        <w:rPr>
          <w:spacing w:val="-2"/>
          <w:sz w:val="22"/>
        </w:rPr>
        <w:t>(BSP)</w:t>
      </w:r>
    </w:p>
    <w:p>
      <w:pPr>
        <w:pStyle w:val="ListParagraph"/>
        <w:numPr>
          <w:ilvl w:val="0"/>
          <w:numId w:val="5"/>
        </w:numPr>
        <w:tabs>
          <w:tab w:pos="436" w:val="left" w:leader="none"/>
        </w:tabs>
        <w:spacing w:line="240" w:lineRule="auto" w:before="17" w:after="0"/>
        <w:ind w:left="436" w:right="0" w:hanging="242"/>
        <w:jc w:val="left"/>
        <w:rPr>
          <w:sz w:val="22"/>
        </w:rPr>
      </w:pPr>
      <w:r>
        <w:rPr>
          <w:sz w:val="22"/>
        </w:rPr>
        <w:t>Tartrate-resistant</w:t>
      </w:r>
      <w:r>
        <w:rPr>
          <w:spacing w:val="15"/>
          <w:sz w:val="22"/>
        </w:rPr>
        <w:t> </w:t>
      </w:r>
      <w:r>
        <w:rPr>
          <w:sz w:val="22"/>
        </w:rPr>
        <w:t>acid</w:t>
      </w:r>
      <w:r>
        <w:rPr>
          <w:spacing w:val="15"/>
          <w:sz w:val="22"/>
        </w:rPr>
        <w:t> </w:t>
      </w:r>
      <w:r>
        <w:rPr>
          <w:sz w:val="22"/>
        </w:rPr>
        <w:t>phosphatase</w:t>
      </w:r>
      <w:r>
        <w:rPr>
          <w:spacing w:val="15"/>
          <w:sz w:val="22"/>
        </w:rPr>
        <w:t> </w:t>
      </w:r>
      <w:r>
        <w:rPr>
          <w:spacing w:val="-2"/>
          <w:sz w:val="22"/>
        </w:rPr>
        <w:t>(TRAP)</w:t>
      </w:r>
    </w:p>
    <w:p>
      <w:pPr>
        <w:pStyle w:val="ListParagraph"/>
        <w:numPr>
          <w:ilvl w:val="0"/>
          <w:numId w:val="5"/>
        </w:numPr>
        <w:tabs>
          <w:tab w:pos="436" w:val="left" w:leader="none"/>
        </w:tabs>
        <w:spacing w:line="240" w:lineRule="auto" w:before="17" w:after="0"/>
        <w:ind w:left="436" w:right="0" w:hanging="242"/>
        <w:jc w:val="left"/>
        <w:rPr>
          <w:sz w:val="22"/>
        </w:rPr>
      </w:pPr>
      <w:r>
        <w:rPr>
          <w:sz w:val="22"/>
        </w:rPr>
        <w:t>Alkaline</w:t>
      </w:r>
      <w:r>
        <w:rPr>
          <w:spacing w:val="16"/>
          <w:sz w:val="22"/>
        </w:rPr>
        <w:t> </w:t>
      </w:r>
      <w:r>
        <w:rPr>
          <w:spacing w:val="-2"/>
          <w:sz w:val="22"/>
        </w:rPr>
        <w:t>phosphatase</w:t>
      </w:r>
    </w:p>
    <w:p>
      <w:pPr>
        <w:pStyle w:val="ListParagraph"/>
        <w:numPr>
          <w:ilvl w:val="0"/>
          <w:numId w:val="5"/>
        </w:numPr>
        <w:tabs>
          <w:tab w:pos="436" w:val="left" w:leader="none"/>
        </w:tabs>
        <w:spacing w:line="240" w:lineRule="auto" w:before="17" w:after="0"/>
        <w:ind w:left="436" w:right="0" w:hanging="242"/>
        <w:jc w:val="left"/>
        <w:rPr>
          <w:sz w:val="22"/>
        </w:rPr>
      </w:pPr>
      <w:r>
        <w:rPr>
          <w:sz w:val="22"/>
        </w:rPr>
        <w:t>Bone-specific</w:t>
      </w:r>
      <w:r>
        <w:rPr>
          <w:spacing w:val="20"/>
          <w:sz w:val="22"/>
        </w:rPr>
        <w:t> </w:t>
      </w:r>
      <w:r>
        <w:rPr>
          <w:sz w:val="22"/>
        </w:rPr>
        <w:t>alkaline</w:t>
      </w:r>
      <w:r>
        <w:rPr>
          <w:spacing w:val="20"/>
          <w:sz w:val="22"/>
        </w:rPr>
        <w:t> </w:t>
      </w:r>
      <w:r>
        <w:rPr>
          <w:spacing w:val="-2"/>
          <w:sz w:val="22"/>
        </w:rPr>
        <w:t>phosphatase</w:t>
      </w:r>
    </w:p>
    <w:p>
      <w:pPr>
        <w:pStyle w:val="ListParagraph"/>
        <w:numPr>
          <w:ilvl w:val="0"/>
          <w:numId w:val="5"/>
        </w:numPr>
        <w:tabs>
          <w:tab w:pos="436" w:val="left" w:leader="none"/>
        </w:tabs>
        <w:spacing w:line="240" w:lineRule="auto" w:before="17" w:after="0"/>
        <w:ind w:left="436" w:right="0" w:hanging="242"/>
        <w:jc w:val="left"/>
        <w:rPr>
          <w:sz w:val="22"/>
        </w:rPr>
      </w:pPr>
      <w:r>
        <w:rPr>
          <w:spacing w:val="-2"/>
          <w:sz w:val="22"/>
        </w:rPr>
        <w:t>Osteocalcin</w:t>
      </w:r>
    </w:p>
    <w:p>
      <w:pPr>
        <w:pStyle w:val="ListParagraph"/>
        <w:numPr>
          <w:ilvl w:val="0"/>
          <w:numId w:val="5"/>
        </w:numPr>
        <w:tabs>
          <w:tab w:pos="436" w:val="left" w:leader="none"/>
        </w:tabs>
        <w:spacing w:line="240" w:lineRule="auto" w:before="17" w:after="0"/>
        <w:ind w:left="436" w:right="0" w:hanging="242"/>
        <w:jc w:val="left"/>
        <w:rPr>
          <w:sz w:val="22"/>
        </w:rPr>
      </w:pPr>
      <w:r>
        <w:rPr>
          <w:sz w:val="22"/>
        </w:rPr>
        <w:t>Type</w:t>
      </w:r>
      <w:r>
        <w:rPr>
          <w:spacing w:val="-2"/>
          <w:sz w:val="22"/>
        </w:rPr>
        <w:t> </w:t>
      </w:r>
      <w:r>
        <w:rPr>
          <w:sz w:val="22"/>
        </w:rPr>
        <w:t>1</w:t>
      </w:r>
      <w:r>
        <w:rPr>
          <w:spacing w:val="-1"/>
          <w:sz w:val="22"/>
        </w:rPr>
        <w:t> </w:t>
      </w:r>
      <w:r>
        <w:rPr>
          <w:spacing w:val="-2"/>
          <w:sz w:val="22"/>
        </w:rPr>
        <w:t>procollagen</w:t>
      </w:r>
    </w:p>
    <w:p>
      <w:pPr>
        <w:pStyle w:val="ListParagraph"/>
        <w:numPr>
          <w:ilvl w:val="1"/>
          <w:numId w:val="5"/>
        </w:numPr>
        <w:tabs>
          <w:tab w:pos="684" w:val="left" w:leader="none"/>
        </w:tabs>
        <w:spacing w:line="240" w:lineRule="auto" w:before="17" w:after="0"/>
        <w:ind w:left="684" w:right="0" w:hanging="242"/>
        <w:jc w:val="left"/>
        <w:rPr>
          <w:sz w:val="22"/>
        </w:rPr>
      </w:pPr>
      <w:r>
        <w:rPr>
          <w:spacing w:val="-4"/>
          <w:sz w:val="22"/>
        </w:rPr>
        <w:t>C1NP</w:t>
      </w:r>
    </w:p>
    <w:p>
      <w:pPr>
        <w:pStyle w:val="ListParagraph"/>
        <w:numPr>
          <w:ilvl w:val="1"/>
          <w:numId w:val="5"/>
        </w:numPr>
        <w:tabs>
          <w:tab w:pos="684" w:val="left" w:leader="none"/>
        </w:tabs>
        <w:spacing w:line="240" w:lineRule="auto" w:before="18" w:after="0"/>
        <w:ind w:left="684" w:right="0" w:hanging="242"/>
        <w:jc w:val="left"/>
        <w:rPr>
          <w:sz w:val="22"/>
        </w:rPr>
      </w:pPr>
      <w:r>
        <w:rPr>
          <w:spacing w:val="-4"/>
          <w:sz w:val="22"/>
        </w:rPr>
        <w:t>P1NP</w:t>
      </w:r>
    </w:p>
    <w:p>
      <w:pPr>
        <w:pStyle w:val="ListParagraph"/>
        <w:spacing w:after="0" w:line="240" w:lineRule="auto"/>
        <w:jc w:val="left"/>
        <w:rPr>
          <w:sz w:val="22"/>
        </w:rPr>
        <w:sectPr>
          <w:type w:val="continuous"/>
          <w:pgSz w:w="12240" w:h="15840"/>
          <w:pgMar w:top="1820" w:bottom="280" w:left="1440" w:right="1440"/>
          <w:cols w:num="2" w:equalWidth="0">
            <w:col w:w="2834" w:space="856"/>
            <w:col w:w="5670"/>
          </w:cols>
        </w:sectPr>
      </w:pPr>
    </w:p>
    <w:p>
      <w:pPr>
        <w:pStyle w:val="BodyText"/>
        <w:spacing w:before="10"/>
        <w:ind w:left="0"/>
        <w:jc w:val="left"/>
        <w:rPr>
          <w:sz w:val="8"/>
        </w:rPr>
      </w:pPr>
    </w:p>
    <w:p>
      <w:pPr>
        <w:spacing w:line="20" w:lineRule="exact"/>
        <w:ind w:left="105" w:right="0" w:firstLine="0"/>
        <w:rPr>
          <w:sz w:val="2"/>
        </w:rPr>
      </w:pPr>
      <w:r>
        <w:rPr>
          <w:sz w:val="2"/>
        </w:rPr>
        <mc:AlternateContent>
          <mc:Choice Requires="wps">
            <w:drawing>
              <wp:inline distT="0" distB="0" distL="0" distR="0">
                <wp:extent cx="5810250" cy="9525"/>
                <wp:effectExtent l="0" t="0" r="0" b="0"/>
                <wp:docPr id="68" name="Group 68"/>
                <wp:cNvGraphicFramePr>
                  <a:graphicFrameLocks/>
                </wp:cNvGraphicFramePr>
                <a:graphic>
                  <a:graphicData uri="http://schemas.microsoft.com/office/word/2010/wordprocessingGroup">
                    <wpg:wgp>
                      <wpg:cNvPr id="68" name="Group 68"/>
                      <wpg:cNvGrpSpPr/>
                      <wpg:grpSpPr>
                        <a:xfrm>
                          <a:off x="0" y="0"/>
                          <a:ext cx="5810250" cy="9525"/>
                          <a:chExt cx="5810250" cy="9525"/>
                        </a:xfrm>
                      </wpg:grpSpPr>
                      <wps:wsp>
                        <wps:cNvPr id="69" name="Graphic 69"/>
                        <wps:cNvSpPr/>
                        <wps:spPr>
                          <a:xfrm>
                            <a:off x="-12" y="7"/>
                            <a:ext cx="5810250" cy="9525"/>
                          </a:xfrm>
                          <a:custGeom>
                            <a:avLst/>
                            <a:gdLst/>
                            <a:ahLst/>
                            <a:cxnLst/>
                            <a:rect l="l" t="t" r="r" b="b"/>
                            <a:pathLst>
                              <a:path w="5810250" h="9525">
                                <a:moveTo>
                                  <a:pt x="5810250" y="0"/>
                                </a:moveTo>
                                <a:lnTo>
                                  <a:pt x="2343150" y="0"/>
                                </a:lnTo>
                                <a:lnTo>
                                  <a:pt x="0" y="0"/>
                                </a:lnTo>
                                <a:lnTo>
                                  <a:pt x="0" y="9525"/>
                                </a:lnTo>
                                <a:lnTo>
                                  <a:pt x="2343150"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56" coordorigin="0,0" coordsize="9150,15">
                <v:shape style="position:absolute;left:-1;top:0;width:9150;height:15" id="docshape57" coordorigin="0,0" coordsize="9150,15" path="m9150,0l3690,0,0,0,0,15,3690,15,9150,15,9150,0xe" filled="true" fillcolor="#1c5349" stroked="false">
                  <v:path arrowok="t"/>
                  <v:fill type="solid"/>
                </v:shape>
              </v:group>
            </w:pict>
          </mc:Fallback>
        </mc:AlternateContent>
      </w:r>
      <w:r>
        <w:rPr>
          <w:sz w:val="2"/>
        </w:rPr>
      </w:r>
    </w:p>
    <w:p>
      <w:pPr>
        <w:pStyle w:val="BodyText"/>
        <w:spacing w:before="0"/>
        <w:ind w:left="0"/>
        <w:jc w:val="left"/>
        <w:rPr>
          <w:sz w:val="20"/>
        </w:rPr>
      </w:pPr>
    </w:p>
    <w:p>
      <w:pPr>
        <w:pStyle w:val="BodyText"/>
        <w:spacing w:before="111"/>
        <w:ind w:left="0"/>
        <w:jc w:val="left"/>
        <w:rPr>
          <w:sz w:val="20"/>
        </w:rPr>
      </w:pPr>
      <w:r>
        <w:rPr>
          <w:sz w:val="20"/>
        </w:rPr>
        <mc:AlternateContent>
          <mc:Choice Requires="wps">
            <w:drawing>
              <wp:anchor distT="0" distB="0" distL="0" distR="0" allowOverlap="1" layoutInCell="1" locked="0" behindDoc="1" simplePos="0" relativeHeight="487606272">
                <wp:simplePos x="0" y="0"/>
                <wp:positionH relativeFrom="page">
                  <wp:posOffset>981075</wp:posOffset>
                </wp:positionH>
                <wp:positionV relativeFrom="paragraph">
                  <wp:posOffset>231795</wp:posOffset>
                </wp:positionV>
                <wp:extent cx="285750" cy="5715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285750" cy="57150"/>
                        </a:xfrm>
                        <a:custGeom>
                          <a:avLst/>
                          <a:gdLst/>
                          <a:ahLst/>
                          <a:cxnLst/>
                          <a:rect l="l" t="t" r="r" b="b"/>
                          <a:pathLst>
                            <a:path w="285750" h="57150">
                              <a:moveTo>
                                <a:pt x="32364" y="57130"/>
                              </a:moveTo>
                              <a:lnTo>
                                <a:pt x="24785" y="57130"/>
                              </a:lnTo>
                              <a:lnTo>
                                <a:pt x="21140" y="56407"/>
                              </a:lnTo>
                              <a:lnTo>
                                <a:pt x="0" y="32346"/>
                              </a:lnTo>
                              <a:lnTo>
                                <a:pt x="0" y="24764"/>
                              </a:lnTo>
                              <a:lnTo>
                                <a:pt x="24785" y="0"/>
                              </a:lnTo>
                              <a:lnTo>
                                <a:pt x="32364" y="0"/>
                              </a:lnTo>
                              <a:lnTo>
                                <a:pt x="57149" y="24764"/>
                              </a:lnTo>
                              <a:lnTo>
                                <a:pt x="57149" y="32346"/>
                              </a:lnTo>
                              <a:lnTo>
                                <a:pt x="32364" y="57130"/>
                              </a:lnTo>
                              <a:close/>
                            </a:path>
                            <a:path w="285750" h="57150">
                              <a:moveTo>
                                <a:pt x="146569" y="57130"/>
                              </a:moveTo>
                              <a:lnTo>
                                <a:pt x="138990" y="57130"/>
                              </a:lnTo>
                              <a:lnTo>
                                <a:pt x="135345" y="56407"/>
                              </a:lnTo>
                              <a:lnTo>
                                <a:pt x="114204" y="32346"/>
                              </a:lnTo>
                              <a:lnTo>
                                <a:pt x="114204" y="24764"/>
                              </a:lnTo>
                              <a:lnTo>
                                <a:pt x="138990" y="0"/>
                              </a:lnTo>
                              <a:lnTo>
                                <a:pt x="146569" y="0"/>
                              </a:lnTo>
                              <a:lnTo>
                                <a:pt x="171354" y="24764"/>
                              </a:lnTo>
                              <a:lnTo>
                                <a:pt x="171354" y="32346"/>
                              </a:lnTo>
                              <a:lnTo>
                                <a:pt x="146569" y="57130"/>
                              </a:lnTo>
                              <a:close/>
                            </a:path>
                            <a:path w="285750" h="57150">
                              <a:moveTo>
                                <a:pt x="260773" y="57130"/>
                              </a:moveTo>
                              <a:lnTo>
                                <a:pt x="253195" y="57130"/>
                              </a:lnTo>
                              <a:lnTo>
                                <a:pt x="249550" y="56407"/>
                              </a:lnTo>
                              <a:lnTo>
                                <a:pt x="228409" y="32346"/>
                              </a:lnTo>
                              <a:lnTo>
                                <a:pt x="228409" y="24764"/>
                              </a:lnTo>
                              <a:lnTo>
                                <a:pt x="253195" y="0"/>
                              </a:lnTo>
                              <a:lnTo>
                                <a:pt x="260773" y="0"/>
                              </a:lnTo>
                              <a:lnTo>
                                <a:pt x="285559" y="24764"/>
                              </a:lnTo>
                              <a:lnTo>
                                <a:pt x="285559" y="32346"/>
                              </a:lnTo>
                              <a:lnTo>
                                <a:pt x="260773" y="57130"/>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18.251627pt;width:22.5pt;height:4.5pt;mso-position-horizontal-relative:page;mso-position-vertical-relative:paragraph;z-index:-15710208;mso-wrap-distance-left:0;mso-wrap-distance-right:0" id="docshape58" coordorigin="1545,365" coordsize="450,90" path="m1596,455l1584,455,1578,454,1567,449,1562,446,1558,442,1554,438,1551,433,1546,422,1545,416,1545,404,1546,398,1551,387,1554,382,1562,374,1567,371,1578,366,1584,365,1596,365,1602,366,1613,371,1618,374,1626,382,1629,387,1634,398,1635,404,1635,416,1634,422,1629,433,1626,438,1622,442,1618,446,1613,449,1602,454,1596,455xm1776,455l1764,455,1758,454,1747,449,1742,446,1738,442,1734,438,1731,433,1726,422,1725,416,1725,404,1726,398,1731,387,1734,382,1742,374,1747,371,1758,366,1764,365,1776,365,1782,366,1793,371,1797,374,1806,382,1809,387,1814,398,1815,404,1815,416,1814,422,1809,433,1806,438,1802,442,1797,446,1793,449,1782,454,1776,455xm1956,455l1944,455,1938,454,1927,449,1922,446,1918,442,1914,438,1910,433,1906,422,1905,416,1905,404,1906,398,1910,387,1914,382,1922,374,1927,371,1938,366,1944,365,1956,365,1961,366,1972,371,1977,374,1986,382,1989,387,1994,398,1995,404,1995,416,1994,422,1989,433,1986,438,1982,442,1977,446,1972,449,1961,454,1956,455xe" filled="true" fillcolor="#bdb4d4" stroked="false">
                <v:path arrowok="t"/>
                <v:fill type="solid"/>
                <w10:wrap type="topAndBottom"/>
              </v:shape>
            </w:pict>
          </mc:Fallback>
        </mc:AlternateContent>
      </w:r>
    </w:p>
    <w:p>
      <w:pPr>
        <w:spacing w:before="93"/>
        <w:ind w:left="99" w:right="0" w:firstLine="0"/>
        <w:jc w:val="left"/>
        <w:rPr>
          <w:rFonts w:ascii="Arial"/>
          <w:b/>
          <w:sz w:val="30"/>
        </w:rPr>
      </w:pPr>
      <w:r>
        <w:rPr>
          <w:rFonts w:ascii="Arial"/>
          <w:b/>
          <w:color w:val="534089"/>
          <w:sz w:val="30"/>
        </w:rPr>
        <w:t>TREATMENT</w:t>
      </w:r>
      <w:r>
        <w:rPr>
          <w:rFonts w:ascii="Arial"/>
          <w:b/>
          <w:color w:val="534089"/>
          <w:spacing w:val="-5"/>
          <w:sz w:val="30"/>
        </w:rPr>
        <w:t> </w:t>
      </w:r>
      <w:r>
        <w:rPr>
          <w:rFonts w:ascii="Arial"/>
          <w:b/>
          <w:color w:val="534089"/>
          <w:sz w:val="30"/>
        </w:rPr>
        <w:t>OPTIONS</w:t>
      </w:r>
      <w:r>
        <w:rPr>
          <w:rFonts w:ascii="Arial"/>
          <w:b/>
          <w:color w:val="534089"/>
          <w:spacing w:val="-5"/>
          <w:sz w:val="30"/>
        </w:rPr>
        <w:t> </w:t>
      </w:r>
      <w:r>
        <w:rPr>
          <w:rFonts w:ascii="Arial"/>
          <w:b/>
          <w:color w:val="534089"/>
          <w:sz w:val="30"/>
        </w:rPr>
        <w:t>FOR</w:t>
      </w:r>
      <w:r>
        <w:rPr>
          <w:rFonts w:ascii="Arial"/>
          <w:b/>
          <w:color w:val="534089"/>
          <w:spacing w:val="-4"/>
          <w:sz w:val="30"/>
        </w:rPr>
        <w:t> </w:t>
      </w:r>
      <w:r>
        <w:rPr>
          <w:rFonts w:ascii="Arial"/>
          <w:b/>
          <w:color w:val="534089"/>
          <w:sz w:val="30"/>
        </w:rPr>
        <w:t>FRACTURE</w:t>
      </w:r>
      <w:r>
        <w:rPr>
          <w:rFonts w:ascii="Arial"/>
          <w:b/>
          <w:color w:val="534089"/>
          <w:spacing w:val="-5"/>
          <w:sz w:val="30"/>
        </w:rPr>
        <w:t> </w:t>
      </w:r>
      <w:r>
        <w:rPr>
          <w:rFonts w:ascii="Arial"/>
          <w:b/>
          <w:color w:val="534089"/>
          <w:sz w:val="30"/>
        </w:rPr>
        <w:t>RISK</w:t>
      </w:r>
      <w:r>
        <w:rPr>
          <w:rFonts w:ascii="Arial"/>
          <w:b/>
          <w:color w:val="534089"/>
          <w:spacing w:val="-4"/>
          <w:sz w:val="30"/>
        </w:rPr>
        <w:t> </w:t>
      </w:r>
      <w:r>
        <w:rPr>
          <w:rFonts w:ascii="Arial"/>
          <w:b/>
          <w:color w:val="534089"/>
          <w:spacing w:val="-2"/>
          <w:sz w:val="30"/>
        </w:rPr>
        <w:t>REDUCTION</w:t>
      </w:r>
    </w:p>
    <w:p>
      <w:pPr>
        <w:pStyle w:val="BodyText"/>
        <w:spacing w:before="2"/>
        <w:ind w:left="0"/>
        <w:jc w:val="left"/>
        <w:rPr>
          <w:rFonts w:ascii="Arial"/>
          <w:b/>
          <w:sz w:val="4"/>
        </w:rPr>
      </w:pPr>
      <w:r>
        <w:rPr>
          <w:rFonts w:ascii="Arial"/>
          <w:b/>
          <w:sz w:val="4"/>
        </w:rPr>
        <mc:AlternateContent>
          <mc:Choice Requires="wps">
            <w:drawing>
              <wp:anchor distT="0" distB="0" distL="0" distR="0" allowOverlap="1" layoutInCell="1" locked="0" behindDoc="1" simplePos="0" relativeHeight="487606784">
                <wp:simplePos x="0" y="0"/>
                <wp:positionH relativeFrom="page">
                  <wp:posOffset>981075</wp:posOffset>
                </wp:positionH>
                <wp:positionV relativeFrom="paragraph">
                  <wp:posOffset>45749</wp:posOffset>
                </wp:positionV>
                <wp:extent cx="5810250" cy="19050"/>
                <wp:effectExtent l="0" t="0" r="0" b="0"/>
                <wp:wrapTopAndBottom/>
                <wp:docPr id="71" name="Graphic 71"/>
                <wp:cNvGraphicFramePr>
                  <a:graphicFrameLocks/>
                </wp:cNvGraphicFramePr>
                <a:graphic>
                  <a:graphicData uri="http://schemas.microsoft.com/office/word/2010/wordprocessingShape">
                    <wps:wsp>
                      <wps:cNvPr id="71" name="Graphic 71"/>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a:graphicData>
                </a:graphic>
              </wp:anchor>
            </w:drawing>
          </mc:Choice>
          <mc:Fallback>
            <w:pict>
              <v:rect style="position:absolute;margin-left:77.25pt;margin-top:3.60231pt;width:457.499964pt;height:1.5pt;mso-position-horizontal-relative:page;mso-position-vertical-relative:paragraph;z-index:-15709696;mso-wrap-distance-left:0;mso-wrap-distance-right:0" id="docshape59" filled="true" fillcolor="#534089" stroked="false">
                <v:fill type="solid"/>
                <w10:wrap type="topAndBottom"/>
              </v:rect>
            </w:pict>
          </mc:Fallback>
        </mc:AlternateContent>
      </w:r>
    </w:p>
    <w:p>
      <w:pPr>
        <w:spacing w:before="213"/>
        <w:ind w:left="99" w:right="0" w:firstLine="0"/>
        <w:jc w:val="left"/>
        <w:rPr>
          <w:rFonts w:ascii="Arial"/>
          <w:b/>
          <w:sz w:val="30"/>
        </w:rPr>
      </w:pPr>
      <w:r>
        <w:rPr>
          <w:rFonts w:ascii="Arial"/>
          <w:b/>
          <w:color w:val="2674AE"/>
          <w:sz w:val="30"/>
        </w:rPr>
        <w:t>Menopausal Hormone </w:t>
      </w:r>
      <w:r>
        <w:rPr>
          <w:rFonts w:ascii="Arial"/>
          <w:b/>
          <w:color w:val="2674AE"/>
          <w:spacing w:val="-2"/>
          <w:sz w:val="30"/>
        </w:rPr>
        <w:t>Treatment</w:t>
      </w:r>
    </w:p>
    <w:p>
      <w:pPr>
        <w:pStyle w:val="BodyText"/>
        <w:spacing w:line="249" w:lineRule="auto" w:before="167"/>
        <w:ind w:right="97"/>
      </w:pPr>
      <w:r>
        <w:rPr/>
        <w:t>Hormone therapy is an effective bone-protecting strategy that </w:t>
      </w:r>
      <w:r>
        <w:rPr/>
        <w:t>improves BMD and offers fracture risk reduction. Antifracture efficacy of hormone therapy is now documented by randomized, placebo-controlled clinical trials.</w:t>
      </w:r>
      <w:r>
        <w:rPr>
          <w:vertAlign w:val="superscript"/>
        </w:rPr>
        <w:t>106-108</w:t>
      </w:r>
      <w:r>
        <w:rPr>
          <w:vertAlign w:val="baseline"/>
        </w:rPr>
        <w:t> The Women’s Health Initiative (WHI; discussed in detail in chapter 22) reported fracture outcomes based on an average of 5.6 years of follow-up, comparing placebo treatment with daily 0.625 mg conjugated estrogen and 2.5 mg medroxyprogesterone acetate (similar results were also reported in the estrogen-only arm of the clinical trial)</w:t>
      </w:r>
      <w:r>
        <w:rPr>
          <w:vertAlign w:val="superscript"/>
        </w:rPr>
        <w:t>108,109</w:t>
      </w:r>
      <w:r>
        <w:rPr>
          <w:vertAlign w:val="baseline"/>
        </w:rPr>
        <w:t> (</w:t>
      </w:r>
      <w:r>
        <w:rPr>
          <w:b/>
          <w:color w:val="256E60"/>
          <w:vertAlign w:val="baseline"/>
        </w:rPr>
        <w:t>Table 23.4</w:t>
      </w:r>
      <w:r>
        <w:rPr>
          <w:vertAlign w:val="baseline"/>
        </w:rPr>
        <w:t>).</w:t>
      </w:r>
    </w:p>
    <w:p>
      <w:pPr>
        <w:pStyle w:val="BodyText"/>
        <w:spacing w:line="249" w:lineRule="auto" w:before="10"/>
        <w:ind w:right="97" w:firstLine="450"/>
      </w:pPr>
      <w:r>
        <w:rPr/>
        <w:t>Kaplan-Meier estimates of the impact of hormone therapy in WHI indicated that the reduction in fractures continued to increase over time, suggesting that a very powerful effect would be achieved with treatment of a long duration. In addition, spinal fractures included only clinically symptomatic fractures (known to represent about one-third of </w:t>
      </w:r>
      <w:r>
        <w:rPr/>
        <w:t>vertebral fractures); again, the overall effect was probably greater if all vertebral fractures had been included. The beneficial effect was achieved even</w:t>
      </w:r>
      <w:r>
        <w:rPr>
          <w:spacing w:val="40"/>
        </w:rPr>
        <w:t> </w:t>
      </w:r>
      <w:r>
        <w:rPr/>
        <w:t>though the use of a bisphosphonate increased from 1% at baseline to about 6% in the estrogen-progestin group and 10% in the placebo group. The effect would have been even greater if bisphosphonates had not been prescribed</w:t>
      </w:r>
      <w:r>
        <w:rPr>
          <w:spacing w:val="63"/>
        </w:rPr>
        <w:t> </w:t>
      </w:r>
      <w:r>
        <w:rPr/>
        <w:t>by</w:t>
      </w:r>
      <w:r>
        <w:rPr>
          <w:spacing w:val="63"/>
        </w:rPr>
        <w:t> </w:t>
      </w:r>
      <w:r>
        <w:rPr/>
        <w:t>the</w:t>
      </w:r>
      <w:r>
        <w:rPr>
          <w:spacing w:val="63"/>
        </w:rPr>
        <w:t> </w:t>
      </w:r>
      <w:r>
        <w:rPr/>
        <w:t>participants’</w:t>
      </w:r>
      <w:r>
        <w:rPr>
          <w:spacing w:val="63"/>
        </w:rPr>
        <w:t> </w:t>
      </w:r>
      <w:r>
        <w:rPr/>
        <w:t>clinicians.</w:t>
      </w:r>
      <w:r>
        <w:rPr>
          <w:spacing w:val="62"/>
        </w:rPr>
        <w:t> </w:t>
      </w:r>
      <w:r>
        <w:rPr/>
        <w:t>In</w:t>
      </w:r>
      <w:r>
        <w:rPr>
          <w:spacing w:val="67"/>
        </w:rPr>
        <w:t> </w:t>
      </w:r>
      <w:r>
        <w:rPr/>
        <w:t>the</w:t>
      </w:r>
      <w:r>
        <w:rPr>
          <w:spacing w:val="67"/>
        </w:rPr>
        <w:t> </w:t>
      </w:r>
      <w:r>
        <w:rPr/>
        <w:t>WHI,</w:t>
      </w:r>
      <w:r>
        <w:rPr>
          <w:spacing w:val="67"/>
        </w:rPr>
        <w:t> </w:t>
      </w:r>
      <w:r>
        <w:rPr/>
        <w:t>hormone</w:t>
      </w:r>
      <w:r>
        <w:rPr>
          <w:spacing w:val="67"/>
        </w:rPr>
        <w:t> </w:t>
      </w:r>
      <w:r>
        <w:rPr>
          <w:spacing w:val="-2"/>
        </w:rPr>
        <w:t>therapy</w:t>
      </w:r>
    </w:p>
    <w:p>
      <w:pPr>
        <w:pStyle w:val="BodyText"/>
        <w:spacing w:after="0" w:line="249" w:lineRule="auto"/>
        <w:sectPr>
          <w:type w:val="continuous"/>
          <w:pgSz w:w="12240" w:h="15840"/>
          <w:pgMar w:top="1820" w:bottom="280" w:left="1440" w:right="1440"/>
        </w:sectPr>
      </w:pPr>
    </w:p>
    <w:p>
      <w:pPr>
        <w:spacing w:line="249" w:lineRule="auto" w:before="65"/>
        <w:ind w:left="99" w:right="98" w:firstLine="0"/>
        <w:jc w:val="both"/>
        <w:rPr>
          <w:sz w:val="30"/>
        </w:rPr>
      </w:pPr>
      <w:r>
        <w:rPr>
          <w:sz w:val="30"/>
        </w:rPr>
        <w:t>decreased the risk of hip fracture by 60% among women with adequate calcium intake at baseline, but not in those with a lower intake. </w:t>
      </w:r>
      <w:r>
        <w:rPr>
          <w:sz w:val="30"/>
        </w:rPr>
        <w:t>This underscores the importance of emphasizing to patients the consequences of inadequate calcium and vitamin D intake. The impact of hormone therapy was greater in leaner women, as one would expect. </w:t>
      </w:r>
      <w:r>
        <w:rPr>
          <w:b/>
          <w:sz w:val="30"/>
        </w:rPr>
        <w:t>Thus, the results of the WHI provide us with clinical trial evidence for a therapy that protects against fractures in a population not selected for having osteoporosis. </w:t>
      </w:r>
      <w:r>
        <w:rPr>
          <w:sz w:val="30"/>
        </w:rPr>
        <w:t>Hormone therapy use in the United States declined by at least 50% following the initial publications from the WHI, and this decrease was paralleled by a significant increase in the incidence of fractures among postmenopausal women!</w:t>
      </w:r>
      <w:r>
        <w:rPr>
          <w:sz w:val="30"/>
          <w:vertAlign w:val="superscript"/>
        </w:rPr>
        <w:t>110</w:t>
      </w:r>
    </w:p>
    <w:p>
      <w:pPr>
        <w:pStyle w:val="BodyText"/>
        <w:spacing w:before="0"/>
        <w:ind w:left="0"/>
        <w:jc w:val="left"/>
        <w:rPr>
          <w:sz w:val="20"/>
        </w:rPr>
      </w:pPr>
    </w:p>
    <w:p>
      <w:pPr>
        <w:pStyle w:val="BodyText"/>
        <w:spacing w:before="148"/>
        <w:ind w:left="0"/>
        <w:jc w:val="left"/>
        <w:rPr>
          <w:sz w:val="20"/>
        </w:rPr>
      </w:pPr>
    </w:p>
    <w:tbl>
      <w:tblPr>
        <w:tblW w:w="0" w:type="auto"/>
        <w:jc w:val="left"/>
        <w:tblInd w:w="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89"/>
        <w:gridCol w:w="2779"/>
        <w:gridCol w:w="1407"/>
        <w:gridCol w:w="2173"/>
      </w:tblGrid>
      <w:tr>
        <w:trPr>
          <w:trHeight w:val="449" w:hRule="atLeast"/>
        </w:trPr>
        <w:tc>
          <w:tcPr>
            <w:tcW w:w="9148" w:type="dxa"/>
            <w:gridSpan w:val="4"/>
            <w:shd w:val="clear" w:color="auto" w:fill="256E60"/>
          </w:tcPr>
          <w:p>
            <w:pPr>
              <w:pStyle w:val="TableParagraph"/>
              <w:spacing w:before="93"/>
              <w:rPr>
                <w:rFonts w:ascii="Arial" w:hAnsi="Arial"/>
                <w:b/>
                <w:sz w:val="22"/>
              </w:rPr>
            </w:pPr>
            <w:r>
              <w:rPr>
                <w:rFonts w:ascii="Arial" w:hAnsi="Arial"/>
                <w:b/>
                <w:color w:val="FFFFFF"/>
                <w:sz w:val="22"/>
              </w:rPr>
              <w:t>TABLE</w:t>
            </w:r>
            <w:r>
              <w:rPr>
                <w:rFonts w:ascii="Arial" w:hAnsi="Arial"/>
                <w:b/>
                <w:color w:val="FFFFFF"/>
                <w:spacing w:val="13"/>
                <w:sz w:val="22"/>
              </w:rPr>
              <w:t> </w:t>
            </w:r>
            <w:r>
              <w:rPr>
                <w:rFonts w:ascii="Arial" w:hAnsi="Arial"/>
                <w:b/>
                <w:color w:val="FFFFFF"/>
                <w:sz w:val="22"/>
              </w:rPr>
              <w:t>23.4</w:t>
            </w:r>
            <w:r>
              <w:rPr>
                <w:rFonts w:ascii="Arial" w:hAnsi="Arial"/>
                <w:b/>
                <w:color w:val="FFFFFF"/>
                <w:spacing w:val="13"/>
                <w:sz w:val="22"/>
              </w:rPr>
              <w:t> </w:t>
            </w:r>
            <w:r>
              <w:rPr>
                <w:rFonts w:ascii="Arial" w:hAnsi="Arial"/>
                <w:b/>
                <w:color w:val="FFFFFF"/>
                <w:sz w:val="22"/>
              </w:rPr>
              <w:t>WHI—Fracture</w:t>
            </w:r>
            <w:r>
              <w:rPr>
                <w:rFonts w:ascii="Arial" w:hAnsi="Arial"/>
                <w:b/>
                <w:color w:val="FFFFFF"/>
                <w:spacing w:val="13"/>
                <w:sz w:val="22"/>
              </w:rPr>
              <w:t> </w:t>
            </w:r>
            <w:r>
              <w:rPr>
                <w:rFonts w:ascii="Arial" w:hAnsi="Arial"/>
                <w:b/>
                <w:color w:val="FFFFFF"/>
                <w:spacing w:val="-2"/>
                <w:sz w:val="22"/>
              </w:rPr>
              <w:t>Outcomes</w:t>
            </w:r>
          </w:p>
        </w:tc>
      </w:tr>
      <w:tr>
        <w:trPr>
          <w:trHeight w:val="539" w:hRule="atLeast"/>
        </w:trPr>
        <w:tc>
          <w:tcPr>
            <w:tcW w:w="2789" w:type="dxa"/>
            <w:tcBorders>
              <w:bottom w:val="single" w:sz="6" w:space="0" w:color="256E60"/>
            </w:tcBorders>
            <w:shd w:val="clear" w:color="auto" w:fill="DDE6E3"/>
          </w:tcPr>
          <w:p>
            <w:pPr>
              <w:pStyle w:val="TableParagraph"/>
              <w:spacing w:before="0"/>
              <w:ind w:left="0"/>
              <w:rPr>
                <w:sz w:val="28"/>
              </w:rPr>
            </w:pPr>
          </w:p>
        </w:tc>
        <w:tc>
          <w:tcPr>
            <w:tcW w:w="2779" w:type="dxa"/>
            <w:tcBorders>
              <w:bottom w:val="single" w:sz="6" w:space="0" w:color="256E60"/>
            </w:tcBorders>
            <w:shd w:val="clear" w:color="auto" w:fill="DDE6E3"/>
          </w:tcPr>
          <w:p>
            <w:pPr>
              <w:pStyle w:val="TableParagraph"/>
              <w:spacing w:before="138"/>
              <w:ind w:left="355"/>
              <w:rPr>
                <w:rFonts w:ascii="Arial"/>
                <w:b/>
                <w:sz w:val="22"/>
              </w:rPr>
            </w:pPr>
            <w:r>
              <w:rPr>
                <w:rFonts w:ascii="Arial"/>
                <w:b/>
                <w:color w:val="1C5349"/>
                <w:sz w:val="22"/>
              </w:rPr>
              <w:t>Estrogen-</w:t>
            </w:r>
            <w:r>
              <w:rPr>
                <w:rFonts w:ascii="Arial"/>
                <w:b/>
                <w:color w:val="1C5349"/>
                <w:spacing w:val="-2"/>
                <w:sz w:val="22"/>
              </w:rPr>
              <w:t>Progestin</w:t>
            </w:r>
          </w:p>
        </w:tc>
        <w:tc>
          <w:tcPr>
            <w:tcW w:w="1407" w:type="dxa"/>
            <w:tcBorders>
              <w:bottom w:val="single" w:sz="6" w:space="0" w:color="256E60"/>
            </w:tcBorders>
            <w:shd w:val="clear" w:color="auto" w:fill="DDE6E3"/>
          </w:tcPr>
          <w:p>
            <w:pPr>
              <w:pStyle w:val="TableParagraph"/>
              <w:spacing w:before="138"/>
              <w:ind w:left="336"/>
              <w:rPr>
                <w:rFonts w:ascii="Arial"/>
                <w:b/>
                <w:sz w:val="22"/>
              </w:rPr>
            </w:pPr>
            <w:r>
              <w:rPr>
                <w:rFonts w:ascii="Arial"/>
                <w:b/>
                <w:color w:val="1C5349"/>
                <w:spacing w:val="-2"/>
                <w:sz w:val="22"/>
              </w:rPr>
              <w:t>Placebo</w:t>
            </w:r>
          </w:p>
        </w:tc>
        <w:tc>
          <w:tcPr>
            <w:tcW w:w="2173" w:type="dxa"/>
            <w:tcBorders>
              <w:bottom w:val="single" w:sz="6" w:space="0" w:color="256E60"/>
            </w:tcBorders>
            <w:shd w:val="clear" w:color="auto" w:fill="DDE6E3"/>
          </w:tcPr>
          <w:p>
            <w:pPr>
              <w:pStyle w:val="TableParagraph"/>
              <w:spacing w:before="138"/>
              <w:ind w:left="204"/>
              <w:rPr>
                <w:rFonts w:ascii="Arial"/>
                <w:b/>
                <w:sz w:val="22"/>
              </w:rPr>
            </w:pPr>
            <w:r>
              <w:rPr>
                <w:rFonts w:ascii="Arial"/>
                <w:b/>
                <w:color w:val="1C5349"/>
                <w:sz w:val="22"/>
              </w:rPr>
              <w:t>Hazard</w:t>
            </w:r>
            <w:r>
              <w:rPr>
                <w:rFonts w:ascii="Arial"/>
                <w:b/>
                <w:color w:val="1C5349"/>
                <w:spacing w:val="15"/>
                <w:sz w:val="22"/>
              </w:rPr>
              <w:t> </w:t>
            </w:r>
            <w:r>
              <w:rPr>
                <w:rFonts w:ascii="Arial"/>
                <w:b/>
                <w:color w:val="1C5349"/>
                <w:spacing w:val="-4"/>
                <w:sz w:val="22"/>
              </w:rPr>
              <w:t>Ratio</w:t>
            </w:r>
          </w:p>
        </w:tc>
      </w:tr>
      <w:tr>
        <w:trPr>
          <w:trHeight w:val="554" w:hRule="atLeast"/>
        </w:trPr>
        <w:tc>
          <w:tcPr>
            <w:tcW w:w="2789" w:type="dxa"/>
            <w:tcBorders>
              <w:top w:val="single" w:sz="6" w:space="0" w:color="256E60"/>
              <w:bottom w:val="single" w:sz="6" w:space="0" w:color="1C5349"/>
            </w:tcBorders>
          </w:tcPr>
          <w:p>
            <w:pPr>
              <w:pStyle w:val="TableParagraph"/>
              <w:rPr>
                <w:sz w:val="22"/>
              </w:rPr>
            </w:pPr>
            <w:r>
              <w:rPr>
                <w:sz w:val="22"/>
              </w:rPr>
              <w:t>Osteoporotic</w:t>
            </w:r>
            <w:r>
              <w:rPr>
                <w:spacing w:val="23"/>
                <w:sz w:val="22"/>
              </w:rPr>
              <w:t> </w:t>
            </w:r>
            <w:r>
              <w:rPr>
                <w:spacing w:val="-2"/>
                <w:sz w:val="22"/>
              </w:rPr>
              <w:t>fractures</w:t>
            </w:r>
          </w:p>
        </w:tc>
        <w:tc>
          <w:tcPr>
            <w:tcW w:w="2779" w:type="dxa"/>
            <w:tcBorders>
              <w:top w:val="single" w:sz="6" w:space="0" w:color="256E60"/>
              <w:bottom w:val="single" w:sz="6" w:space="0" w:color="1C5349"/>
            </w:tcBorders>
          </w:tcPr>
          <w:p>
            <w:pPr>
              <w:pStyle w:val="TableParagraph"/>
              <w:ind w:left="355"/>
              <w:rPr>
                <w:sz w:val="22"/>
              </w:rPr>
            </w:pPr>
            <w:r>
              <w:rPr>
                <w:sz w:val="22"/>
              </w:rPr>
              <w:t>733</w:t>
            </w:r>
            <w:r>
              <w:rPr>
                <w:spacing w:val="7"/>
                <w:sz w:val="22"/>
              </w:rPr>
              <w:t> </w:t>
            </w:r>
            <w:r>
              <w:rPr>
                <w:spacing w:val="-2"/>
                <w:sz w:val="22"/>
              </w:rPr>
              <w:t>cases</w:t>
            </w:r>
          </w:p>
        </w:tc>
        <w:tc>
          <w:tcPr>
            <w:tcW w:w="1407" w:type="dxa"/>
            <w:tcBorders>
              <w:top w:val="single" w:sz="6" w:space="0" w:color="256E60"/>
              <w:bottom w:val="single" w:sz="6" w:space="0" w:color="1C5349"/>
            </w:tcBorders>
          </w:tcPr>
          <w:p>
            <w:pPr>
              <w:pStyle w:val="TableParagraph"/>
              <w:ind w:left="336"/>
              <w:rPr>
                <w:sz w:val="22"/>
              </w:rPr>
            </w:pPr>
            <w:r>
              <w:rPr>
                <w:sz w:val="22"/>
              </w:rPr>
              <w:t>896</w:t>
            </w:r>
            <w:r>
              <w:rPr>
                <w:spacing w:val="7"/>
                <w:sz w:val="22"/>
              </w:rPr>
              <w:t> </w:t>
            </w:r>
            <w:r>
              <w:rPr>
                <w:spacing w:val="-2"/>
                <w:sz w:val="22"/>
              </w:rPr>
              <w:t>cases</w:t>
            </w:r>
          </w:p>
        </w:tc>
        <w:tc>
          <w:tcPr>
            <w:tcW w:w="2173" w:type="dxa"/>
            <w:tcBorders>
              <w:top w:val="single" w:sz="6" w:space="0" w:color="256E60"/>
              <w:bottom w:val="single" w:sz="6" w:space="0" w:color="1C5349"/>
            </w:tcBorders>
          </w:tcPr>
          <w:p>
            <w:pPr>
              <w:pStyle w:val="TableParagraph"/>
              <w:ind w:left="204"/>
              <w:rPr>
                <w:sz w:val="22"/>
              </w:rPr>
            </w:pPr>
            <w:r>
              <w:rPr>
                <w:w w:val="105"/>
                <w:sz w:val="22"/>
              </w:rPr>
              <w:t>0.76</w:t>
            </w:r>
            <w:r>
              <w:rPr>
                <w:spacing w:val="-8"/>
                <w:w w:val="105"/>
                <w:sz w:val="22"/>
              </w:rPr>
              <w:t> </w:t>
            </w:r>
            <w:r>
              <w:rPr>
                <w:w w:val="105"/>
                <w:sz w:val="22"/>
              </w:rPr>
              <w:t>(0.69-</w:t>
            </w:r>
            <w:r>
              <w:rPr>
                <w:spacing w:val="-4"/>
                <w:w w:val="105"/>
                <w:sz w:val="22"/>
              </w:rPr>
              <w:t>0.83)</w:t>
            </w:r>
          </w:p>
        </w:tc>
      </w:tr>
      <w:tr>
        <w:trPr>
          <w:trHeight w:val="554" w:hRule="atLeast"/>
        </w:trPr>
        <w:tc>
          <w:tcPr>
            <w:tcW w:w="2789" w:type="dxa"/>
            <w:tcBorders>
              <w:top w:val="single" w:sz="6" w:space="0" w:color="1C5349"/>
              <w:bottom w:val="single" w:sz="6" w:space="0" w:color="1C5349"/>
            </w:tcBorders>
          </w:tcPr>
          <w:p>
            <w:pPr>
              <w:pStyle w:val="TableParagraph"/>
              <w:rPr>
                <w:sz w:val="22"/>
              </w:rPr>
            </w:pPr>
            <w:r>
              <w:rPr>
                <w:sz w:val="22"/>
              </w:rPr>
              <w:t>Spinal</w:t>
            </w:r>
            <w:r>
              <w:rPr>
                <w:spacing w:val="12"/>
                <w:sz w:val="22"/>
              </w:rPr>
              <w:t> </w:t>
            </w:r>
            <w:r>
              <w:rPr>
                <w:spacing w:val="-2"/>
                <w:sz w:val="22"/>
              </w:rPr>
              <w:t>fractures</w:t>
            </w:r>
          </w:p>
        </w:tc>
        <w:tc>
          <w:tcPr>
            <w:tcW w:w="2779" w:type="dxa"/>
            <w:tcBorders>
              <w:top w:val="single" w:sz="6" w:space="0" w:color="1C5349"/>
              <w:bottom w:val="single" w:sz="6" w:space="0" w:color="1C5349"/>
            </w:tcBorders>
          </w:tcPr>
          <w:p>
            <w:pPr>
              <w:pStyle w:val="TableParagraph"/>
              <w:ind w:left="355"/>
              <w:rPr>
                <w:sz w:val="22"/>
              </w:rPr>
            </w:pPr>
            <w:r>
              <w:rPr>
                <w:spacing w:val="-5"/>
                <w:sz w:val="22"/>
              </w:rPr>
              <w:t>41</w:t>
            </w:r>
          </w:p>
        </w:tc>
        <w:tc>
          <w:tcPr>
            <w:tcW w:w="1407" w:type="dxa"/>
            <w:tcBorders>
              <w:top w:val="single" w:sz="6" w:space="0" w:color="1C5349"/>
              <w:bottom w:val="single" w:sz="6" w:space="0" w:color="1C5349"/>
            </w:tcBorders>
          </w:tcPr>
          <w:p>
            <w:pPr>
              <w:pStyle w:val="TableParagraph"/>
              <w:ind w:left="336"/>
              <w:rPr>
                <w:sz w:val="22"/>
              </w:rPr>
            </w:pPr>
            <w:r>
              <w:rPr>
                <w:spacing w:val="-5"/>
                <w:sz w:val="22"/>
              </w:rPr>
              <w:t>60</w:t>
            </w:r>
          </w:p>
        </w:tc>
        <w:tc>
          <w:tcPr>
            <w:tcW w:w="2173" w:type="dxa"/>
            <w:tcBorders>
              <w:top w:val="single" w:sz="6" w:space="0" w:color="1C5349"/>
              <w:bottom w:val="single" w:sz="6" w:space="0" w:color="1C5349"/>
            </w:tcBorders>
          </w:tcPr>
          <w:p>
            <w:pPr>
              <w:pStyle w:val="TableParagraph"/>
              <w:ind w:left="204"/>
              <w:rPr>
                <w:sz w:val="22"/>
              </w:rPr>
            </w:pPr>
            <w:r>
              <w:rPr>
                <w:w w:val="105"/>
                <w:sz w:val="22"/>
              </w:rPr>
              <w:t>0.65</w:t>
            </w:r>
            <w:r>
              <w:rPr>
                <w:spacing w:val="-8"/>
                <w:w w:val="105"/>
                <w:sz w:val="22"/>
              </w:rPr>
              <w:t> </w:t>
            </w:r>
            <w:r>
              <w:rPr>
                <w:w w:val="105"/>
                <w:sz w:val="22"/>
              </w:rPr>
              <w:t>(0.46-</w:t>
            </w:r>
            <w:r>
              <w:rPr>
                <w:spacing w:val="-4"/>
                <w:w w:val="105"/>
                <w:sz w:val="22"/>
              </w:rPr>
              <w:t>0.92)</w:t>
            </w:r>
          </w:p>
        </w:tc>
      </w:tr>
      <w:tr>
        <w:trPr>
          <w:trHeight w:val="554" w:hRule="atLeast"/>
        </w:trPr>
        <w:tc>
          <w:tcPr>
            <w:tcW w:w="2789" w:type="dxa"/>
            <w:tcBorders>
              <w:top w:val="single" w:sz="6" w:space="0" w:color="1C5349"/>
              <w:bottom w:val="single" w:sz="6" w:space="0" w:color="1C5349"/>
            </w:tcBorders>
          </w:tcPr>
          <w:p>
            <w:pPr>
              <w:pStyle w:val="TableParagraph"/>
              <w:rPr>
                <w:sz w:val="22"/>
              </w:rPr>
            </w:pPr>
            <w:r>
              <w:rPr>
                <w:sz w:val="22"/>
              </w:rPr>
              <w:t>Hip</w:t>
            </w:r>
            <w:r>
              <w:rPr>
                <w:spacing w:val="7"/>
                <w:sz w:val="22"/>
              </w:rPr>
              <w:t> </w:t>
            </w:r>
            <w:r>
              <w:rPr>
                <w:spacing w:val="-2"/>
                <w:sz w:val="22"/>
              </w:rPr>
              <w:t>fractures</w:t>
            </w:r>
          </w:p>
        </w:tc>
        <w:tc>
          <w:tcPr>
            <w:tcW w:w="2779" w:type="dxa"/>
            <w:tcBorders>
              <w:top w:val="single" w:sz="6" w:space="0" w:color="1C5349"/>
              <w:bottom w:val="single" w:sz="6" w:space="0" w:color="1C5349"/>
            </w:tcBorders>
          </w:tcPr>
          <w:p>
            <w:pPr>
              <w:pStyle w:val="TableParagraph"/>
              <w:ind w:left="355"/>
              <w:rPr>
                <w:sz w:val="22"/>
              </w:rPr>
            </w:pPr>
            <w:r>
              <w:rPr>
                <w:spacing w:val="-5"/>
                <w:sz w:val="22"/>
              </w:rPr>
              <w:t>52</w:t>
            </w:r>
          </w:p>
        </w:tc>
        <w:tc>
          <w:tcPr>
            <w:tcW w:w="1407" w:type="dxa"/>
            <w:tcBorders>
              <w:top w:val="single" w:sz="6" w:space="0" w:color="1C5349"/>
              <w:bottom w:val="single" w:sz="6" w:space="0" w:color="1C5349"/>
            </w:tcBorders>
          </w:tcPr>
          <w:p>
            <w:pPr>
              <w:pStyle w:val="TableParagraph"/>
              <w:ind w:left="336"/>
              <w:rPr>
                <w:sz w:val="22"/>
              </w:rPr>
            </w:pPr>
            <w:r>
              <w:rPr>
                <w:spacing w:val="-5"/>
                <w:sz w:val="22"/>
              </w:rPr>
              <w:t>73</w:t>
            </w:r>
          </w:p>
        </w:tc>
        <w:tc>
          <w:tcPr>
            <w:tcW w:w="2173" w:type="dxa"/>
            <w:tcBorders>
              <w:top w:val="single" w:sz="6" w:space="0" w:color="1C5349"/>
              <w:bottom w:val="single" w:sz="6" w:space="0" w:color="1C5349"/>
            </w:tcBorders>
          </w:tcPr>
          <w:p>
            <w:pPr>
              <w:pStyle w:val="TableParagraph"/>
              <w:ind w:left="204"/>
              <w:rPr>
                <w:sz w:val="22"/>
              </w:rPr>
            </w:pPr>
            <w:r>
              <w:rPr>
                <w:w w:val="105"/>
                <w:sz w:val="22"/>
              </w:rPr>
              <w:t>0.67</w:t>
            </w:r>
            <w:r>
              <w:rPr>
                <w:spacing w:val="-8"/>
                <w:w w:val="105"/>
                <w:sz w:val="22"/>
              </w:rPr>
              <w:t> </w:t>
            </w:r>
            <w:r>
              <w:rPr>
                <w:w w:val="105"/>
                <w:sz w:val="22"/>
              </w:rPr>
              <w:t>(0.47-</w:t>
            </w:r>
            <w:r>
              <w:rPr>
                <w:spacing w:val="-4"/>
                <w:w w:val="105"/>
                <w:sz w:val="22"/>
              </w:rPr>
              <w:t>0.96)</w:t>
            </w:r>
          </w:p>
        </w:tc>
      </w:tr>
      <w:tr>
        <w:trPr>
          <w:trHeight w:val="554" w:hRule="atLeast"/>
        </w:trPr>
        <w:tc>
          <w:tcPr>
            <w:tcW w:w="2789" w:type="dxa"/>
            <w:tcBorders>
              <w:top w:val="single" w:sz="6" w:space="0" w:color="1C5349"/>
              <w:bottom w:val="single" w:sz="6" w:space="0" w:color="1C5349"/>
            </w:tcBorders>
          </w:tcPr>
          <w:p>
            <w:pPr>
              <w:pStyle w:val="TableParagraph"/>
              <w:rPr>
                <w:sz w:val="22"/>
              </w:rPr>
            </w:pPr>
            <w:r>
              <w:rPr>
                <w:sz w:val="22"/>
              </w:rPr>
              <w:t>Lower</w:t>
            </w:r>
            <w:r>
              <w:rPr>
                <w:spacing w:val="15"/>
                <w:sz w:val="22"/>
              </w:rPr>
              <w:t> </w:t>
            </w:r>
            <w:r>
              <w:rPr>
                <w:sz w:val="22"/>
              </w:rPr>
              <w:t>arm/wrist</w:t>
            </w:r>
            <w:r>
              <w:rPr>
                <w:spacing w:val="15"/>
                <w:sz w:val="22"/>
              </w:rPr>
              <w:t> </w:t>
            </w:r>
            <w:r>
              <w:rPr>
                <w:spacing w:val="-2"/>
                <w:sz w:val="22"/>
              </w:rPr>
              <w:t>fractures</w:t>
            </w:r>
          </w:p>
        </w:tc>
        <w:tc>
          <w:tcPr>
            <w:tcW w:w="2779" w:type="dxa"/>
            <w:tcBorders>
              <w:top w:val="single" w:sz="6" w:space="0" w:color="1C5349"/>
              <w:bottom w:val="single" w:sz="6" w:space="0" w:color="1C5349"/>
            </w:tcBorders>
          </w:tcPr>
          <w:p>
            <w:pPr>
              <w:pStyle w:val="TableParagraph"/>
              <w:ind w:left="355"/>
              <w:rPr>
                <w:sz w:val="22"/>
              </w:rPr>
            </w:pPr>
            <w:r>
              <w:rPr>
                <w:spacing w:val="-5"/>
                <w:sz w:val="22"/>
              </w:rPr>
              <w:t>189</w:t>
            </w:r>
          </w:p>
        </w:tc>
        <w:tc>
          <w:tcPr>
            <w:tcW w:w="1407" w:type="dxa"/>
            <w:tcBorders>
              <w:top w:val="single" w:sz="6" w:space="0" w:color="1C5349"/>
              <w:bottom w:val="single" w:sz="6" w:space="0" w:color="1C5349"/>
            </w:tcBorders>
          </w:tcPr>
          <w:p>
            <w:pPr>
              <w:pStyle w:val="TableParagraph"/>
              <w:ind w:left="336"/>
              <w:rPr>
                <w:sz w:val="22"/>
              </w:rPr>
            </w:pPr>
            <w:r>
              <w:rPr>
                <w:spacing w:val="-5"/>
                <w:sz w:val="22"/>
              </w:rPr>
              <w:t>245</w:t>
            </w:r>
          </w:p>
        </w:tc>
        <w:tc>
          <w:tcPr>
            <w:tcW w:w="2173" w:type="dxa"/>
            <w:tcBorders>
              <w:top w:val="single" w:sz="6" w:space="0" w:color="1C5349"/>
              <w:bottom w:val="single" w:sz="6" w:space="0" w:color="1C5349"/>
            </w:tcBorders>
          </w:tcPr>
          <w:p>
            <w:pPr>
              <w:pStyle w:val="TableParagraph"/>
              <w:ind w:left="204"/>
              <w:rPr>
                <w:sz w:val="22"/>
              </w:rPr>
            </w:pPr>
            <w:r>
              <w:rPr>
                <w:w w:val="105"/>
                <w:sz w:val="22"/>
              </w:rPr>
              <w:t>0.71</w:t>
            </w:r>
            <w:r>
              <w:rPr>
                <w:spacing w:val="-8"/>
                <w:w w:val="105"/>
                <w:sz w:val="22"/>
              </w:rPr>
              <w:t> </w:t>
            </w:r>
            <w:r>
              <w:rPr>
                <w:w w:val="105"/>
                <w:sz w:val="22"/>
              </w:rPr>
              <w:t>(0.59-</w:t>
            </w:r>
            <w:r>
              <w:rPr>
                <w:spacing w:val="-4"/>
                <w:w w:val="105"/>
                <w:sz w:val="22"/>
              </w:rPr>
              <w:t>0.85)</w:t>
            </w:r>
          </w:p>
        </w:tc>
      </w:tr>
    </w:tbl>
    <w:p>
      <w:pPr>
        <w:spacing w:before="160"/>
        <w:ind w:left="99" w:right="0" w:firstLine="0"/>
        <w:jc w:val="left"/>
        <w:rPr>
          <w:sz w:val="22"/>
        </w:rPr>
      </w:pPr>
      <w:r>
        <w:rPr>
          <w:sz w:val="22"/>
        </w:rPr>
        <w:t>WHI,</w:t>
      </w:r>
      <w:r>
        <w:rPr>
          <w:spacing w:val="8"/>
          <w:sz w:val="22"/>
        </w:rPr>
        <w:t> </w:t>
      </w:r>
      <w:r>
        <w:rPr>
          <w:sz w:val="22"/>
        </w:rPr>
        <w:t>Women’s</w:t>
      </w:r>
      <w:r>
        <w:rPr>
          <w:spacing w:val="9"/>
          <w:sz w:val="22"/>
        </w:rPr>
        <w:t> </w:t>
      </w:r>
      <w:r>
        <w:rPr>
          <w:sz w:val="22"/>
        </w:rPr>
        <w:t>Health</w:t>
      </w:r>
      <w:r>
        <w:rPr>
          <w:spacing w:val="8"/>
          <w:sz w:val="22"/>
        </w:rPr>
        <w:t> </w:t>
      </w:r>
      <w:r>
        <w:rPr>
          <w:sz w:val="22"/>
        </w:rPr>
        <w:t>Initiative</w:t>
      </w:r>
      <w:r>
        <w:rPr>
          <w:spacing w:val="9"/>
          <w:sz w:val="22"/>
        </w:rPr>
        <w:t> </w:t>
      </w:r>
      <w:r>
        <w:rPr>
          <w:sz w:val="22"/>
        </w:rPr>
        <w:t>hormone</w:t>
      </w:r>
      <w:r>
        <w:rPr>
          <w:spacing w:val="9"/>
          <w:sz w:val="22"/>
        </w:rPr>
        <w:t> </w:t>
      </w:r>
      <w:r>
        <w:rPr>
          <w:spacing w:val="-2"/>
          <w:sz w:val="22"/>
        </w:rPr>
        <w:t>trials.</w:t>
      </w:r>
    </w:p>
    <w:p>
      <w:pPr>
        <w:pStyle w:val="BodyText"/>
        <w:spacing w:before="214"/>
        <w:ind w:left="0"/>
        <w:jc w:val="left"/>
        <w:rPr>
          <w:sz w:val="22"/>
        </w:rPr>
      </w:pPr>
    </w:p>
    <w:p>
      <w:pPr>
        <w:pStyle w:val="BodyText"/>
        <w:spacing w:line="249" w:lineRule="auto" w:before="1"/>
        <w:ind w:right="99" w:firstLine="450"/>
        <w:rPr>
          <w:b/>
        </w:rPr>
      </w:pPr>
      <w:r>
        <w:rPr/>
        <w:t>Estrogen therapy stabilizes the bone turnover in favor of net bone gain through suppression of bone resorption. Besides inhibiting </w:t>
      </w:r>
      <w:r>
        <w:rPr/>
        <w:t>osteoclastic resorption activity, estrogen increases intestinal calcium absorption, increases 1,25-dihydroxyvitamin D (the active form of vitamin D),</w:t>
      </w:r>
      <w:r>
        <w:rPr>
          <w:spacing w:val="40"/>
        </w:rPr>
        <w:t> </w:t>
      </w:r>
      <w:r>
        <w:rPr/>
        <w:t>increases renal conservation of calcium, and supports the survival of osteoblasts. With estrogen therapy, one can expect a 50% to 60% decrease in fractures of the arm and hip,</w:t>
      </w:r>
      <w:r>
        <w:rPr>
          <w:vertAlign w:val="superscript"/>
        </w:rPr>
        <w:t>111-114</w:t>
      </w:r>
      <w:r>
        <w:rPr>
          <w:vertAlign w:val="baseline"/>
        </w:rPr>
        <w:t> and when estrogen is supplemented with calcium, an 80% reduction in vertebral compression fractures can be observed.</w:t>
      </w:r>
      <w:r>
        <w:rPr>
          <w:vertAlign w:val="superscript"/>
        </w:rPr>
        <w:t>115</w:t>
      </w:r>
      <w:r>
        <w:rPr>
          <w:vertAlign w:val="baseline"/>
        </w:rPr>
        <w:t> This reduction is seen primarily in patients who have taken estrogen</w:t>
      </w:r>
      <w:r>
        <w:rPr>
          <w:spacing w:val="34"/>
          <w:vertAlign w:val="baseline"/>
        </w:rPr>
        <w:t> </w:t>
      </w:r>
      <w:r>
        <w:rPr>
          <w:vertAlign w:val="baseline"/>
        </w:rPr>
        <w:t>for</w:t>
      </w:r>
      <w:r>
        <w:rPr>
          <w:spacing w:val="34"/>
          <w:vertAlign w:val="baseline"/>
        </w:rPr>
        <w:t> </w:t>
      </w:r>
      <w:r>
        <w:rPr>
          <w:vertAlign w:val="baseline"/>
        </w:rPr>
        <w:t>more</w:t>
      </w:r>
      <w:r>
        <w:rPr>
          <w:spacing w:val="35"/>
          <w:vertAlign w:val="baseline"/>
        </w:rPr>
        <w:t> </w:t>
      </w:r>
      <w:r>
        <w:rPr>
          <w:vertAlign w:val="baseline"/>
        </w:rPr>
        <w:t>than</w:t>
      </w:r>
      <w:r>
        <w:rPr>
          <w:spacing w:val="34"/>
          <w:vertAlign w:val="baseline"/>
        </w:rPr>
        <w:t> </w:t>
      </w:r>
      <w:r>
        <w:rPr>
          <w:vertAlign w:val="baseline"/>
        </w:rPr>
        <w:t>5</w:t>
      </w:r>
      <w:r>
        <w:rPr>
          <w:spacing w:val="35"/>
          <w:vertAlign w:val="baseline"/>
        </w:rPr>
        <w:t> </w:t>
      </w:r>
      <w:r>
        <w:rPr>
          <w:vertAlign w:val="baseline"/>
        </w:rPr>
        <w:t>years.</w:t>
      </w:r>
      <w:r>
        <w:rPr>
          <w:vertAlign w:val="superscript"/>
        </w:rPr>
        <w:t>116,117</w:t>
      </w:r>
      <w:r>
        <w:rPr>
          <w:spacing w:val="22"/>
          <w:vertAlign w:val="baseline"/>
        </w:rPr>
        <w:t> </w:t>
      </w:r>
      <w:r>
        <w:rPr>
          <w:b/>
          <w:vertAlign w:val="baseline"/>
        </w:rPr>
        <w:t>Protection</w:t>
      </w:r>
      <w:r>
        <w:rPr>
          <w:b/>
          <w:spacing w:val="37"/>
          <w:vertAlign w:val="baseline"/>
        </w:rPr>
        <w:t> </w:t>
      </w:r>
      <w:r>
        <w:rPr>
          <w:b/>
          <w:vertAlign w:val="baseline"/>
        </w:rPr>
        <w:t>against</w:t>
      </w:r>
      <w:r>
        <w:rPr>
          <w:b/>
          <w:spacing w:val="37"/>
          <w:vertAlign w:val="baseline"/>
        </w:rPr>
        <w:t> </w:t>
      </w:r>
      <w:r>
        <w:rPr>
          <w:b/>
          <w:vertAlign w:val="baseline"/>
        </w:rPr>
        <w:t>fractures</w:t>
      </w:r>
      <w:r>
        <w:rPr>
          <w:b/>
          <w:spacing w:val="37"/>
          <w:vertAlign w:val="baseline"/>
        </w:rPr>
        <w:t> </w:t>
      </w:r>
      <w:r>
        <w:rPr>
          <w:b/>
          <w:spacing w:val="-2"/>
          <w:vertAlign w:val="baseline"/>
        </w:rPr>
        <w:t>wanes</w:t>
      </w:r>
    </w:p>
    <w:p>
      <w:pPr>
        <w:pStyle w:val="BodyText"/>
        <w:spacing w:after="0" w:line="249" w:lineRule="auto"/>
        <w:rPr>
          <w:b/>
        </w:rPr>
        <w:sectPr>
          <w:pgSz w:w="12240" w:h="15840"/>
          <w:pgMar w:top="1380" w:bottom="280" w:left="1440" w:right="1440"/>
        </w:sectPr>
      </w:pPr>
    </w:p>
    <w:p>
      <w:pPr>
        <w:spacing w:line="249" w:lineRule="auto" w:before="65"/>
        <w:ind w:left="99" w:right="109" w:firstLine="0"/>
        <w:jc w:val="both"/>
        <w:rPr>
          <w:b/>
          <w:sz w:val="30"/>
        </w:rPr>
      </w:pPr>
      <w:r>
        <w:rPr>
          <w:b/>
          <w:sz w:val="30"/>
        </w:rPr>
        <w:t>with advancing age, and long-term estrogen use is necessary </w:t>
      </w:r>
      <w:r>
        <w:rPr>
          <w:b/>
          <w:sz w:val="30"/>
        </w:rPr>
        <w:t>to maximally reduce the risk of fracture after age 75.</w:t>
      </w:r>
    </w:p>
    <w:p>
      <w:pPr>
        <w:pStyle w:val="BodyText"/>
        <w:spacing w:line="249" w:lineRule="auto" w:before="2"/>
        <w:ind w:right="97" w:firstLine="450"/>
      </w:pPr>
      <w:r>
        <w:rPr/>
        <w:t>Because most osteoporotic fractures occur late in life, women </w:t>
      </w:r>
      <w:r>
        <w:rPr/>
        <w:t>and clinicians must understand that the short-term use of estrogen immediately after menopause cannot be expected to offer sustained protection against fractures in the seventh and eighth decades of life. Some long-term protection is achieved with 7 to 10 years of estrogen therapy after menopause, but the impact is minimal after age 75.</w:t>
      </w:r>
      <w:r>
        <w:rPr>
          <w:vertAlign w:val="superscript"/>
        </w:rPr>
        <w:t>118</w:t>
      </w:r>
      <w:r>
        <w:rPr>
          <w:vertAlign w:val="baseline"/>
        </w:rPr>
        <w:t> In a prospective cohort study of women 65 years of age and older, in those who had stopped using estrogen, and in those who were over 75 and had stopped estrogen after more than 10 years of use, there was no substantial effect on the risk for</w:t>
      </w:r>
      <w:r>
        <w:rPr>
          <w:spacing w:val="-6"/>
          <w:vertAlign w:val="baseline"/>
        </w:rPr>
        <w:t> </w:t>
      </w:r>
      <w:r>
        <w:rPr>
          <w:vertAlign w:val="baseline"/>
        </w:rPr>
        <w:t>fractures.</w:t>
      </w:r>
      <w:r>
        <w:rPr>
          <w:vertAlign w:val="superscript"/>
        </w:rPr>
        <w:t>119</w:t>
      </w:r>
      <w:r>
        <w:rPr>
          <w:vertAlign w:val="baseline"/>
        </w:rPr>
        <w:t> Any substantial fracture risk reduction effect from hormone therapy requires treatment initiation within 5 years of onset of menopause and for current use to extend into the older adult years. </w:t>
      </w:r>
      <w:r>
        <w:rPr>
          <w:b/>
          <w:vertAlign w:val="baseline"/>
        </w:rPr>
        <w:t>The protective effect of estrogen rapidly dissipates after treatment is stopped because estrogen withdrawal is followed by rapid bone loss. </w:t>
      </w:r>
      <w:r>
        <w:rPr>
          <w:vertAlign w:val="baseline"/>
        </w:rPr>
        <w:t>In the 3- to 5-year period following loss of estrogen, whether after menopause or after cessation of estrogen therapy, there is an accelerated loss of bone.</w:t>
      </w:r>
      <w:r>
        <w:rPr>
          <w:vertAlign w:val="superscript"/>
        </w:rPr>
        <w:t>120-124</w:t>
      </w:r>
      <w:r>
        <w:rPr>
          <w:vertAlign w:val="baseline"/>
        </w:rPr>
        <w:t> The Postmenopausal Estrogen/Progestin Interventions (PEPI) trial, however, found that this rate of bone loss was comparable to that in women not on hormone therapy,</w:t>
      </w:r>
      <w:r>
        <w:rPr>
          <w:vertAlign w:val="superscript"/>
        </w:rPr>
        <w:t>125</w:t>
      </w:r>
      <w:r>
        <w:rPr>
          <w:vertAlign w:val="baseline"/>
        </w:rPr>
        <w:t> but in a Swedish case-control study, most of the beneficial effect of hormone therapy was lost 5 years after discontinuing treatment.</w:t>
      </w:r>
      <w:r>
        <w:rPr>
          <w:vertAlign w:val="superscript"/>
        </w:rPr>
        <w:t>111</w:t>
      </w:r>
      <w:r>
        <w:rPr>
          <w:vertAlign w:val="baseline"/>
        </w:rPr>
        <w:t> An American randomized trial concluded that older adult women who stopped taking hormones lost most of the bone density gained while</w:t>
      </w:r>
      <w:r>
        <w:rPr>
          <w:spacing w:val="-3"/>
          <w:vertAlign w:val="baseline"/>
        </w:rPr>
        <w:t> </w:t>
      </w:r>
      <w:r>
        <w:rPr>
          <w:vertAlign w:val="baseline"/>
        </w:rPr>
        <w:t>on</w:t>
      </w:r>
      <w:r>
        <w:rPr>
          <w:spacing w:val="-3"/>
          <w:vertAlign w:val="baseline"/>
        </w:rPr>
        <w:t> </w:t>
      </w:r>
      <w:r>
        <w:rPr>
          <w:vertAlign w:val="baseline"/>
        </w:rPr>
        <w:t>hormone</w:t>
      </w:r>
      <w:r>
        <w:rPr>
          <w:spacing w:val="-3"/>
          <w:vertAlign w:val="baseline"/>
        </w:rPr>
        <w:t> </w:t>
      </w:r>
      <w:r>
        <w:rPr>
          <w:vertAlign w:val="baseline"/>
        </w:rPr>
        <w:t>therapy.</w:t>
      </w:r>
      <w:r>
        <w:rPr>
          <w:vertAlign w:val="superscript"/>
        </w:rPr>
        <w:t>126</w:t>
      </w:r>
      <w:r>
        <w:rPr>
          <w:spacing w:val="-5"/>
          <w:vertAlign w:val="baseline"/>
        </w:rPr>
        <w:t> </w:t>
      </w:r>
      <w:r>
        <w:rPr>
          <w:vertAlign w:val="baseline"/>
        </w:rPr>
        <w:t>Two</w:t>
      </w:r>
      <w:r>
        <w:rPr>
          <w:spacing w:val="-5"/>
          <w:vertAlign w:val="baseline"/>
        </w:rPr>
        <w:t> </w:t>
      </w:r>
      <w:r>
        <w:rPr>
          <w:vertAlign w:val="baseline"/>
        </w:rPr>
        <w:t>reports</w:t>
      </w:r>
      <w:r>
        <w:rPr>
          <w:spacing w:val="-5"/>
          <w:vertAlign w:val="baseline"/>
        </w:rPr>
        <w:t> </w:t>
      </w:r>
      <w:r>
        <w:rPr>
          <w:vertAlign w:val="baseline"/>
        </w:rPr>
        <w:t>documented</w:t>
      </w:r>
      <w:r>
        <w:rPr>
          <w:spacing w:val="-5"/>
          <w:vertAlign w:val="baseline"/>
        </w:rPr>
        <w:t> </w:t>
      </w:r>
      <w:r>
        <w:rPr>
          <w:vertAlign w:val="baseline"/>
        </w:rPr>
        <w:t>that</w:t>
      </w:r>
      <w:r>
        <w:rPr>
          <w:spacing w:val="-5"/>
          <w:vertAlign w:val="baseline"/>
        </w:rPr>
        <w:t> </w:t>
      </w:r>
      <w:r>
        <w:rPr>
          <w:vertAlign w:val="baseline"/>
        </w:rPr>
        <w:t>less</w:t>
      </w:r>
      <w:r>
        <w:rPr>
          <w:spacing w:val="-5"/>
          <w:vertAlign w:val="baseline"/>
        </w:rPr>
        <w:t> </w:t>
      </w:r>
      <w:r>
        <w:rPr>
          <w:vertAlign w:val="baseline"/>
        </w:rPr>
        <w:t>than</w:t>
      </w:r>
      <w:r>
        <w:rPr>
          <w:spacing w:val="-5"/>
          <w:vertAlign w:val="baseline"/>
        </w:rPr>
        <w:t> </w:t>
      </w:r>
      <w:r>
        <w:rPr>
          <w:vertAlign w:val="baseline"/>
        </w:rPr>
        <w:t>4</w:t>
      </w:r>
      <w:r>
        <w:rPr>
          <w:spacing w:val="-5"/>
          <w:vertAlign w:val="baseline"/>
        </w:rPr>
        <w:t> </w:t>
      </w:r>
      <w:r>
        <w:rPr>
          <w:vertAlign w:val="baseline"/>
        </w:rPr>
        <w:t>years of exposure to estrogen is followed by a period of time, perhaps 10 years, when</w:t>
      </w:r>
      <w:r>
        <w:rPr>
          <w:spacing w:val="-1"/>
          <w:vertAlign w:val="baseline"/>
        </w:rPr>
        <w:t> </w:t>
      </w:r>
      <w:r>
        <w:rPr>
          <w:vertAlign w:val="baseline"/>
        </w:rPr>
        <w:t>bone</w:t>
      </w:r>
      <w:r>
        <w:rPr>
          <w:spacing w:val="-1"/>
          <w:vertAlign w:val="baseline"/>
        </w:rPr>
        <w:t> </w:t>
      </w:r>
      <w:r>
        <w:rPr>
          <w:vertAlign w:val="baseline"/>
        </w:rPr>
        <w:t>density</w:t>
      </w:r>
      <w:r>
        <w:rPr>
          <w:spacing w:val="-1"/>
          <w:vertAlign w:val="baseline"/>
        </w:rPr>
        <w:t> </w:t>
      </w:r>
      <w:r>
        <w:rPr>
          <w:vertAlign w:val="baseline"/>
        </w:rPr>
        <w:t>is</w:t>
      </w:r>
      <w:r>
        <w:rPr>
          <w:spacing w:val="-1"/>
          <w:vertAlign w:val="baseline"/>
        </w:rPr>
        <w:t> </w:t>
      </w:r>
      <w:r>
        <w:rPr>
          <w:vertAlign w:val="baseline"/>
        </w:rPr>
        <w:t>better</w:t>
      </w:r>
      <w:r>
        <w:rPr>
          <w:spacing w:val="-1"/>
          <w:vertAlign w:val="baseline"/>
        </w:rPr>
        <w:t> </w:t>
      </w:r>
      <w:r>
        <w:rPr>
          <w:vertAlign w:val="baseline"/>
        </w:rPr>
        <w:t>and</w:t>
      </w:r>
      <w:r>
        <w:rPr>
          <w:spacing w:val="-1"/>
          <w:vertAlign w:val="baseline"/>
        </w:rPr>
        <w:t> </w:t>
      </w:r>
      <w:r>
        <w:rPr>
          <w:vertAlign w:val="baseline"/>
        </w:rPr>
        <w:t>fractures</w:t>
      </w:r>
      <w:r>
        <w:rPr>
          <w:spacing w:val="-1"/>
          <w:vertAlign w:val="baseline"/>
        </w:rPr>
        <w:t> </w:t>
      </w:r>
      <w:r>
        <w:rPr>
          <w:vertAlign w:val="baseline"/>
        </w:rPr>
        <w:t>are</w:t>
      </w:r>
      <w:r>
        <w:rPr>
          <w:spacing w:val="-1"/>
          <w:vertAlign w:val="baseline"/>
        </w:rPr>
        <w:t> </w:t>
      </w:r>
      <w:r>
        <w:rPr>
          <w:vertAlign w:val="baseline"/>
        </w:rPr>
        <w:t>less</w:t>
      </w:r>
      <w:r>
        <w:rPr>
          <w:spacing w:val="-1"/>
          <w:vertAlign w:val="baseline"/>
        </w:rPr>
        <w:t> </w:t>
      </w:r>
      <w:r>
        <w:rPr>
          <w:vertAlign w:val="baseline"/>
        </w:rPr>
        <w:t>prevalent</w:t>
      </w:r>
      <w:r>
        <w:rPr>
          <w:spacing w:val="-1"/>
          <w:vertAlign w:val="baseline"/>
        </w:rPr>
        <w:t> </w:t>
      </w:r>
      <w:r>
        <w:rPr>
          <w:vertAlign w:val="baseline"/>
        </w:rPr>
        <w:t>than</w:t>
      </w:r>
      <w:r>
        <w:rPr>
          <w:spacing w:val="-1"/>
          <w:vertAlign w:val="baseline"/>
        </w:rPr>
        <w:t> </w:t>
      </w:r>
      <w:r>
        <w:rPr>
          <w:vertAlign w:val="baseline"/>
        </w:rPr>
        <w:t>nonusers</w:t>
      </w:r>
      <w:r>
        <w:rPr>
          <w:spacing w:val="-1"/>
          <w:vertAlign w:val="baseline"/>
        </w:rPr>
        <w:t> </w:t>
      </w:r>
      <w:r>
        <w:rPr>
          <w:vertAlign w:val="baseline"/>
        </w:rPr>
        <w:t>of hormone therapy.</w:t>
      </w:r>
      <w:r>
        <w:rPr>
          <w:vertAlign w:val="superscript"/>
        </w:rPr>
        <w:t>127,128</w:t>
      </w:r>
      <w:r>
        <w:rPr>
          <w:vertAlign w:val="baseline"/>
        </w:rPr>
        <w:t> This protection is not as great as that obtained with long-term hormone use, and beneficial effects should not be expected after age 70, when fractures are most prevalent.</w:t>
      </w:r>
    </w:p>
    <w:p>
      <w:pPr>
        <w:pStyle w:val="BodyText"/>
        <w:spacing w:line="249" w:lineRule="auto" w:before="35"/>
        <w:ind w:right="103" w:firstLine="450"/>
      </w:pPr>
      <w:r>
        <w:rPr/>
        <w:t>Maximal protection against osteoporotic fractures, therefore, </w:t>
      </w:r>
      <w:r>
        <w:rPr/>
        <w:t>requires lifelong therapy; even some long-term protection requires 10 or more years of treatment, and some protection against fractures is lost within 5 years of discontinuation.</w:t>
      </w:r>
      <w:r>
        <w:rPr>
          <w:vertAlign w:val="superscript"/>
        </w:rPr>
        <w:t>129,130</w:t>
      </w:r>
      <w:r>
        <w:rPr>
          <w:vertAlign w:val="baseline"/>
        </w:rPr>
        <w:t> Standard doses of systemic estrogens that are commonly utilized for symptom control offer skeletal benefit, regardless of route</w:t>
      </w:r>
      <w:r>
        <w:rPr>
          <w:spacing w:val="-4"/>
          <w:vertAlign w:val="baseline"/>
        </w:rPr>
        <w:t> </w:t>
      </w:r>
      <w:r>
        <w:rPr>
          <w:vertAlign w:val="baseline"/>
        </w:rPr>
        <w:t>of</w:t>
      </w:r>
      <w:r>
        <w:rPr>
          <w:spacing w:val="-3"/>
          <w:vertAlign w:val="baseline"/>
        </w:rPr>
        <w:t> </w:t>
      </w:r>
      <w:r>
        <w:rPr>
          <w:vertAlign w:val="baseline"/>
        </w:rPr>
        <w:t>administration.</w:t>
      </w:r>
      <w:r>
        <w:rPr>
          <w:vertAlign w:val="superscript"/>
        </w:rPr>
        <w:t>111</w:t>
      </w:r>
      <w:r>
        <w:rPr>
          <w:spacing w:val="-2"/>
          <w:vertAlign w:val="baseline"/>
        </w:rPr>
        <w:t> </w:t>
      </w:r>
      <w:r>
        <w:rPr>
          <w:vertAlign w:val="baseline"/>
        </w:rPr>
        <w:t>A</w:t>
      </w:r>
      <w:r>
        <w:rPr>
          <w:spacing w:val="-2"/>
          <w:vertAlign w:val="baseline"/>
        </w:rPr>
        <w:t> </w:t>
      </w:r>
      <w:r>
        <w:rPr>
          <w:vertAlign w:val="baseline"/>
        </w:rPr>
        <w:t>study</w:t>
      </w:r>
      <w:r>
        <w:rPr>
          <w:spacing w:val="-2"/>
          <w:vertAlign w:val="baseline"/>
        </w:rPr>
        <w:t> </w:t>
      </w:r>
      <w:r>
        <w:rPr>
          <w:vertAlign w:val="baseline"/>
        </w:rPr>
        <w:t>of</w:t>
      </w:r>
      <w:r>
        <w:rPr>
          <w:spacing w:val="-3"/>
          <w:vertAlign w:val="baseline"/>
        </w:rPr>
        <w:t> </w:t>
      </w:r>
      <w:r>
        <w:rPr>
          <w:vertAlign w:val="baseline"/>
        </w:rPr>
        <w:t>women</w:t>
      </w:r>
      <w:r>
        <w:rPr>
          <w:spacing w:val="-2"/>
          <w:vertAlign w:val="baseline"/>
        </w:rPr>
        <w:t> </w:t>
      </w:r>
      <w:r>
        <w:rPr>
          <w:vertAlign w:val="baseline"/>
        </w:rPr>
        <w:t>randomized</w:t>
      </w:r>
      <w:r>
        <w:rPr>
          <w:spacing w:val="-2"/>
          <w:vertAlign w:val="baseline"/>
        </w:rPr>
        <w:t> </w:t>
      </w:r>
      <w:r>
        <w:rPr>
          <w:vertAlign w:val="baseline"/>
        </w:rPr>
        <w:t>to</w:t>
      </w:r>
      <w:r>
        <w:rPr>
          <w:spacing w:val="-2"/>
          <w:vertAlign w:val="baseline"/>
        </w:rPr>
        <w:t> </w:t>
      </w:r>
      <w:r>
        <w:rPr>
          <w:vertAlign w:val="baseline"/>
        </w:rPr>
        <w:t>treatment</w:t>
      </w:r>
      <w:r>
        <w:rPr>
          <w:spacing w:val="-3"/>
          <w:vertAlign w:val="baseline"/>
        </w:rPr>
        <w:t> </w:t>
      </w:r>
      <w:r>
        <w:rPr>
          <w:spacing w:val="-2"/>
          <w:vertAlign w:val="baseline"/>
        </w:rPr>
        <w:t>either</w:t>
      </w:r>
    </w:p>
    <w:p>
      <w:pPr>
        <w:pStyle w:val="BodyText"/>
        <w:spacing w:after="0" w:line="249" w:lineRule="auto"/>
        <w:sectPr>
          <w:pgSz w:w="12240" w:h="15840"/>
          <w:pgMar w:top="1380" w:bottom="280" w:left="1440" w:right="1440"/>
        </w:sectPr>
      </w:pPr>
    </w:p>
    <w:p>
      <w:pPr>
        <w:pStyle w:val="BodyText"/>
        <w:spacing w:line="249" w:lineRule="auto"/>
        <w:ind w:right="100"/>
      </w:pPr>
      <w:r>
        <w:rPr/>
        <w:t>with continuous transdermal delivery of estradiol 50 mg daily or </w:t>
      </w:r>
      <w:r>
        <w:rPr/>
        <w:t>oral estrogen demonstrated that both equally prevented postmenopausal bone </w:t>
      </w:r>
      <w:r>
        <w:rPr>
          <w:spacing w:val="-2"/>
        </w:rPr>
        <w:t>loss.</w:t>
      </w:r>
      <w:r>
        <w:rPr>
          <w:spacing w:val="-2"/>
          <w:vertAlign w:val="superscript"/>
        </w:rPr>
        <w:t>131</w:t>
      </w:r>
    </w:p>
    <w:p>
      <w:pPr>
        <w:pStyle w:val="BodyText"/>
        <w:spacing w:line="249" w:lineRule="auto" w:before="3"/>
        <w:ind w:right="102" w:firstLine="450"/>
      </w:pPr>
      <w:r>
        <w:rPr/>
        <w:t>In the PEPI trial, at the end of 3 years, the women receiving hormone treatment had experienced about a 5% gain in BMD in the spine and 2% in the hip compared with approximately a 2% loss in the placebo group.</w:t>
      </w:r>
      <w:r>
        <w:rPr>
          <w:vertAlign w:val="superscript"/>
        </w:rPr>
        <w:t>132</w:t>
      </w:r>
      <w:r>
        <w:rPr>
          <w:vertAlign w:val="baseline"/>
        </w:rPr>
        <w:t> How long does this gain in bone density continue in hormone-</w:t>
      </w:r>
      <w:r>
        <w:rPr>
          <w:vertAlign w:val="baseline"/>
        </w:rPr>
        <w:t>using women? In a 10-year follow-up study of women receiving estrogen-progestin therapy, the spinal bone density steadily increased, reaching a level 13% over baseline after 10 years of treatment.</w:t>
      </w:r>
      <w:r>
        <w:rPr>
          <w:vertAlign w:val="superscript"/>
        </w:rPr>
        <w:t>133</w:t>
      </w:r>
      <w:r>
        <w:rPr>
          <w:vertAlign w:val="baseline"/>
        </w:rPr>
        <w:t> In another cohort study,</w:t>
      </w:r>
      <w:r>
        <w:rPr>
          <w:spacing w:val="-1"/>
          <w:vertAlign w:val="baseline"/>
        </w:rPr>
        <w:t> </w:t>
      </w:r>
      <w:r>
        <w:rPr>
          <w:vertAlign w:val="baseline"/>
        </w:rPr>
        <w:t>hormone</w:t>
      </w:r>
      <w:r>
        <w:rPr>
          <w:spacing w:val="-1"/>
          <w:vertAlign w:val="baseline"/>
        </w:rPr>
        <w:t> </w:t>
      </w:r>
      <w:r>
        <w:rPr>
          <w:vertAlign w:val="baseline"/>
        </w:rPr>
        <w:t>users</w:t>
      </w:r>
      <w:r>
        <w:rPr>
          <w:spacing w:val="-1"/>
          <w:vertAlign w:val="baseline"/>
        </w:rPr>
        <w:t> </w:t>
      </w:r>
      <w:r>
        <w:rPr>
          <w:vertAlign w:val="baseline"/>
        </w:rPr>
        <w:t>did</w:t>
      </w:r>
      <w:r>
        <w:rPr>
          <w:spacing w:val="-1"/>
          <w:vertAlign w:val="baseline"/>
        </w:rPr>
        <w:t> </w:t>
      </w:r>
      <w:r>
        <w:rPr>
          <w:vertAlign w:val="baseline"/>
        </w:rPr>
        <w:t>experience</w:t>
      </w:r>
      <w:r>
        <w:rPr>
          <w:spacing w:val="-1"/>
          <w:vertAlign w:val="baseline"/>
        </w:rPr>
        <w:t> </w:t>
      </w:r>
      <w:r>
        <w:rPr>
          <w:vertAlign w:val="baseline"/>
        </w:rPr>
        <w:t>a</w:t>
      </w:r>
      <w:r>
        <w:rPr>
          <w:spacing w:val="-1"/>
          <w:vertAlign w:val="baseline"/>
        </w:rPr>
        <w:t> </w:t>
      </w:r>
      <w:r>
        <w:rPr>
          <w:vertAlign w:val="baseline"/>
        </w:rPr>
        <w:t>loss</w:t>
      </w:r>
      <w:r>
        <w:rPr>
          <w:spacing w:val="-1"/>
          <w:vertAlign w:val="baseline"/>
        </w:rPr>
        <w:t> </w:t>
      </w:r>
      <w:r>
        <w:rPr>
          <w:vertAlign w:val="baseline"/>
        </w:rPr>
        <w:t>of</w:t>
      </w:r>
      <w:r>
        <w:rPr>
          <w:spacing w:val="-1"/>
          <w:vertAlign w:val="baseline"/>
        </w:rPr>
        <w:t> </w:t>
      </w:r>
      <w:r>
        <w:rPr>
          <w:vertAlign w:val="baseline"/>
        </w:rPr>
        <w:t>bone</w:t>
      </w:r>
      <w:r>
        <w:rPr>
          <w:spacing w:val="-1"/>
          <w:vertAlign w:val="baseline"/>
        </w:rPr>
        <w:t> </w:t>
      </w:r>
      <w:r>
        <w:rPr>
          <w:vertAlign w:val="baseline"/>
        </w:rPr>
        <w:t>at</w:t>
      </w:r>
      <w:r>
        <w:rPr>
          <w:spacing w:val="-1"/>
          <w:vertAlign w:val="baseline"/>
        </w:rPr>
        <w:t> </w:t>
      </w:r>
      <w:r>
        <w:rPr>
          <w:vertAlign w:val="baseline"/>
        </w:rPr>
        <w:t>the</w:t>
      </w:r>
      <w:r>
        <w:rPr>
          <w:spacing w:val="-1"/>
          <w:vertAlign w:val="baseline"/>
        </w:rPr>
        <w:t> </w:t>
      </w:r>
      <w:r>
        <w:rPr>
          <w:vertAlign w:val="baseline"/>
        </w:rPr>
        <w:t>hip</w:t>
      </w:r>
      <w:r>
        <w:rPr>
          <w:spacing w:val="-1"/>
          <w:vertAlign w:val="baseline"/>
        </w:rPr>
        <w:t> </w:t>
      </w:r>
      <w:r>
        <w:rPr>
          <w:vertAlign w:val="baseline"/>
        </w:rPr>
        <w:t>over</w:t>
      </w:r>
      <w:r>
        <w:rPr>
          <w:spacing w:val="-1"/>
          <w:vertAlign w:val="baseline"/>
        </w:rPr>
        <w:t> </w:t>
      </w:r>
      <w:r>
        <w:rPr>
          <w:vertAlign w:val="baseline"/>
        </w:rPr>
        <w:t>a</w:t>
      </w:r>
      <w:r>
        <w:rPr>
          <w:spacing w:val="-1"/>
          <w:vertAlign w:val="baseline"/>
        </w:rPr>
        <w:t> </w:t>
      </w:r>
      <w:r>
        <w:rPr>
          <w:vertAlign w:val="baseline"/>
        </w:rPr>
        <w:t>10-year period of time; however, the incidence of hip, wrist, and vertebral fractures was significantly reduced in the hormone users.</w:t>
      </w:r>
      <w:r>
        <w:rPr>
          <w:vertAlign w:val="superscript"/>
        </w:rPr>
        <w:t>134</w:t>
      </w:r>
    </w:p>
    <w:p>
      <w:pPr>
        <w:pStyle w:val="BodyText"/>
        <w:spacing w:line="249" w:lineRule="auto" w:before="13"/>
        <w:ind w:right="97" w:firstLine="450"/>
      </w:pPr>
      <w:r>
        <w:rPr/>
        <w:t>The idea of postponing treatment to prevent osteoporosis until later in life has some merit. Changes in bone density in the early </w:t>
      </w:r>
      <w:r>
        <w:rPr/>
        <w:t>postmenopausal years have no major effect on fractures later in life, except in individuals who already have low bone density. This amounts to only 5% of women in their early postmenopausal years, and most of this 5% will have risk factors such as smoking, history of fracture at a younger age, lean body mass, or excessive alcohol consumption. The positive impact of hormone therapy on bone has been demonstrated in women over age 65 and even over age</w:t>
      </w:r>
      <w:r>
        <w:rPr>
          <w:spacing w:val="40"/>
        </w:rPr>
        <w:t> </w:t>
      </w:r>
      <w:r>
        <w:rPr/>
        <w:t>75.</w:t>
      </w:r>
      <w:r>
        <w:rPr>
          <w:vertAlign w:val="superscript"/>
        </w:rPr>
        <w:t>116-119,135-137</w:t>
      </w:r>
      <w:r>
        <w:rPr>
          <w:spacing w:val="-4"/>
          <w:vertAlign w:val="baseline"/>
        </w:rPr>
        <w:t> </w:t>
      </w:r>
      <w:r>
        <w:rPr>
          <w:vertAlign w:val="baseline"/>
        </w:rPr>
        <w:t>This</w:t>
      </w:r>
      <w:r>
        <w:rPr>
          <w:spacing w:val="-4"/>
          <w:vertAlign w:val="baseline"/>
        </w:rPr>
        <w:t> </w:t>
      </w:r>
      <w:r>
        <w:rPr>
          <w:vertAlign w:val="baseline"/>
        </w:rPr>
        <w:t>may</w:t>
      </w:r>
      <w:r>
        <w:rPr>
          <w:spacing w:val="-4"/>
          <w:vertAlign w:val="baseline"/>
        </w:rPr>
        <w:t> </w:t>
      </w:r>
      <w:r>
        <w:rPr>
          <w:vertAlign w:val="baseline"/>
        </w:rPr>
        <w:t>be</w:t>
      </w:r>
      <w:r>
        <w:rPr>
          <w:spacing w:val="-4"/>
          <w:vertAlign w:val="baseline"/>
        </w:rPr>
        <w:t> </w:t>
      </w:r>
      <w:r>
        <w:rPr>
          <w:vertAlign w:val="baseline"/>
        </w:rPr>
        <w:t>an</w:t>
      </w:r>
      <w:r>
        <w:rPr>
          <w:spacing w:val="-4"/>
          <w:vertAlign w:val="baseline"/>
        </w:rPr>
        <w:t> </w:t>
      </w:r>
      <w:r>
        <w:rPr>
          <w:vertAlign w:val="baseline"/>
        </w:rPr>
        <w:t>argument</w:t>
      </w:r>
      <w:r>
        <w:rPr>
          <w:spacing w:val="-4"/>
          <w:vertAlign w:val="baseline"/>
        </w:rPr>
        <w:t> </w:t>
      </w:r>
      <w:r>
        <w:rPr>
          <w:vertAlign w:val="baseline"/>
        </w:rPr>
        <w:t>in</w:t>
      </w:r>
      <w:r>
        <w:rPr>
          <w:spacing w:val="-4"/>
          <w:vertAlign w:val="baseline"/>
        </w:rPr>
        <w:t> </w:t>
      </w:r>
      <w:r>
        <w:rPr>
          <w:vertAlign w:val="baseline"/>
        </w:rPr>
        <w:t>favor</w:t>
      </w:r>
      <w:r>
        <w:rPr>
          <w:spacing w:val="-4"/>
          <w:vertAlign w:val="baseline"/>
        </w:rPr>
        <w:t> </w:t>
      </w:r>
      <w:r>
        <w:rPr>
          <w:vertAlign w:val="baseline"/>
        </w:rPr>
        <w:t>of</w:t>
      </w:r>
      <w:r>
        <w:rPr>
          <w:spacing w:val="-4"/>
          <w:vertAlign w:val="baseline"/>
        </w:rPr>
        <w:t> </w:t>
      </w:r>
      <w:r>
        <w:rPr>
          <w:vertAlign w:val="baseline"/>
        </w:rPr>
        <w:t>treating</w:t>
      </w:r>
      <w:r>
        <w:rPr>
          <w:spacing w:val="-4"/>
          <w:vertAlign w:val="baseline"/>
        </w:rPr>
        <w:t> </w:t>
      </w:r>
      <w:r>
        <w:rPr>
          <w:vertAlign w:val="baseline"/>
        </w:rPr>
        <w:t>very</w:t>
      </w:r>
      <w:r>
        <w:rPr>
          <w:spacing w:val="-4"/>
          <w:vertAlign w:val="baseline"/>
        </w:rPr>
        <w:t> </w:t>
      </w:r>
      <w:r>
        <w:rPr>
          <w:vertAlign w:val="baseline"/>
        </w:rPr>
        <w:t>old</w:t>
      </w:r>
      <w:r>
        <w:rPr>
          <w:spacing w:val="-4"/>
          <w:vertAlign w:val="baseline"/>
        </w:rPr>
        <w:t> </w:t>
      </w:r>
      <w:r>
        <w:rPr>
          <w:vertAlign w:val="baseline"/>
        </w:rPr>
        <w:t>women with estrogen for skeletal benefit, as estrogen use between the ages of 65 and 74 has been documented to protect against fractures.</w:t>
      </w:r>
      <w:r>
        <w:rPr>
          <w:vertAlign w:val="superscript"/>
        </w:rPr>
        <w:t>112</w:t>
      </w:r>
      <w:r>
        <w:rPr>
          <w:vertAlign w:val="baseline"/>
        </w:rPr>
        <w:t> However, starting hormone treatment later in life and solely for the benefit of bones is a controversial issue, especially in light of the WHI hormone trials. A large cohort study could detect no significant impact on nonspinal fractures.</w:t>
      </w:r>
      <w:r>
        <w:rPr>
          <w:vertAlign w:val="superscript"/>
        </w:rPr>
        <w:t>119</w:t>
      </w:r>
      <w:r>
        <w:rPr>
          <w:vertAlign w:val="baseline"/>
        </w:rPr>
        <w:t> In a later analysis of this same cohort, some reduction in fracture risk was observed in women starting hormone therapy after age 60, but a statistically significant reduction was present only in those who started treatment before age 60 and remained on it.</w:t>
      </w:r>
      <w:r>
        <w:rPr>
          <w:vertAlign w:val="superscript"/>
        </w:rPr>
        <w:t>138</w:t>
      </w:r>
    </w:p>
    <w:p>
      <w:pPr>
        <w:pStyle w:val="BodyText"/>
        <w:spacing w:line="249" w:lineRule="auto" w:before="22"/>
        <w:ind w:right="98" w:firstLine="450"/>
      </w:pPr>
      <w:r>
        <w:rPr/>
        <w:t>Older studies suggested that a dose of 0.625 mg of conjugated </w:t>
      </w:r>
      <w:r>
        <w:rPr/>
        <w:t>estrogens is necessary to preserve bone density and that an estradiol blood level of 40 to 60 pg/mL is required to protect against bone loss.</w:t>
      </w:r>
      <w:r>
        <w:rPr>
          <w:vertAlign w:val="superscript"/>
        </w:rPr>
        <w:t>139-141</w:t>
      </w:r>
      <w:r>
        <w:rPr>
          <w:vertAlign w:val="baseline"/>
        </w:rPr>
        <w:t> We now know that any amount of estrogen can have an impact, although it is likely that some</w:t>
      </w:r>
      <w:r>
        <w:rPr>
          <w:spacing w:val="10"/>
          <w:vertAlign w:val="baseline"/>
        </w:rPr>
        <w:t> </w:t>
      </w:r>
      <w:r>
        <w:rPr>
          <w:vertAlign w:val="baseline"/>
        </w:rPr>
        <w:t>degree</w:t>
      </w:r>
      <w:r>
        <w:rPr>
          <w:spacing w:val="10"/>
          <w:vertAlign w:val="baseline"/>
        </w:rPr>
        <w:t> </w:t>
      </w:r>
      <w:r>
        <w:rPr>
          <w:vertAlign w:val="baseline"/>
        </w:rPr>
        <w:t>of</w:t>
      </w:r>
      <w:r>
        <w:rPr>
          <w:spacing w:val="10"/>
          <w:vertAlign w:val="baseline"/>
        </w:rPr>
        <w:t> </w:t>
      </w:r>
      <w:r>
        <w:rPr>
          <w:vertAlign w:val="baseline"/>
        </w:rPr>
        <w:t>protection</w:t>
      </w:r>
      <w:r>
        <w:rPr>
          <w:spacing w:val="10"/>
          <w:vertAlign w:val="baseline"/>
        </w:rPr>
        <w:t> </w:t>
      </w:r>
      <w:r>
        <w:rPr>
          <w:vertAlign w:val="baseline"/>
        </w:rPr>
        <w:t>is</w:t>
      </w:r>
      <w:r>
        <w:rPr>
          <w:spacing w:val="10"/>
          <w:vertAlign w:val="baseline"/>
        </w:rPr>
        <w:t> </w:t>
      </w:r>
      <w:r>
        <w:rPr>
          <w:vertAlign w:val="baseline"/>
        </w:rPr>
        <w:t>lost</w:t>
      </w:r>
      <w:r>
        <w:rPr>
          <w:spacing w:val="10"/>
          <w:vertAlign w:val="baseline"/>
        </w:rPr>
        <w:t> </w:t>
      </w:r>
      <w:r>
        <w:rPr>
          <w:vertAlign w:val="baseline"/>
        </w:rPr>
        <w:t>when</w:t>
      </w:r>
      <w:r>
        <w:rPr>
          <w:spacing w:val="10"/>
          <w:vertAlign w:val="baseline"/>
        </w:rPr>
        <w:t> </w:t>
      </w:r>
      <w:r>
        <w:rPr>
          <w:vertAlign w:val="baseline"/>
        </w:rPr>
        <w:t>doses</w:t>
      </w:r>
      <w:r>
        <w:rPr>
          <w:spacing w:val="10"/>
          <w:vertAlign w:val="baseline"/>
        </w:rPr>
        <w:t> </w:t>
      </w:r>
      <w:r>
        <w:rPr>
          <w:vertAlign w:val="baseline"/>
        </w:rPr>
        <w:t>are</w:t>
      </w:r>
      <w:r>
        <w:rPr>
          <w:spacing w:val="10"/>
          <w:vertAlign w:val="baseline"/>
        </w:rPr>
        <w:t> </w:t>
      </w:r>
      <w:r>
        <w:rPr>
          <w:vertAlign w:val="baseline"/>
        </w:rPr>
        <w:t>less</w:t>
      </w:r>
      <w:r>
        <w:rPr>
          <w:spacing w:val="10"/>
          <w:vertAlign w:val="baseline"/>
        </w:rPr>
        <w:t> </w:t>
      </w:r>
      <w:r>
        <w:rPr>
          <w:vertAlign w:val="baseline"/>
        </w:rPr>
        <w:t>than</w:t>
      </w:r>
      <w:r>
        <w:rPr>
          <w:spacing w:val="10"/>
          <w:vertAlign w:val="baseline"/>
        </w:rPr>
        <w:t> </w:t>
      </w:r>
      <w:r>
        <w:rPr>
          <w:vertAlign w:val="baseline"/>
        </w:rPr>
        <w:t>the</w:t>
      </w:r>
      <w:r>
        <w:rPr>
          <w:spacing w:val="10"/>
          <w:vertAlign w:val="baseline"/>
        </w:rPr>
        <w:t> </w:t>
      </w:r>
      <w:r>
        <w:rPr>
          <w:vertAlign w:val="baseline"/>
        </w:rPr>
        <w:t>equivalent</w:t>
      </w:r>
      <w:r>
        <w:rPr>
          <w:spacing w:val="10"/>
          <w:vertAlign w:val="baseline"/>
        </w:rPr>
        <w:t> </w:t>
      </w:r>
      <w:r>
        <w:rPr>
          <w:spacing w:val="-5"/>
          <w:vertAlign w:val="baseline"/>
        </w:rPr>
        <w:t>of</w:t>
      </w:r>
    </w:p>
    <w:p>
      <w:pPr>
        <w:pStyle w:val="BodyText"/>
        <w:spacing w:after="0" w:line="249" w:lineRule="auto"/>
        <w:sectPr>
          <w:pgSz w:w="12240" w:h="15840"/>
          <w:pgMar w:top="1380" w:bottom="280" w:left="1440" w:right="1440"/>
        </w:sectPr>
      </w:pPr>
    </w:p>
    <w:p>
      <w:pPr>
        <w:spacing w:line="249" w:lineRule="auto" w:before="65"/>
        <w:ind w:left="99" w:right="99" w:firstLine="0"/>
        <w:jc w:val="both"/>
        <w:rPr>
          <w:sz w:val="30"/>
        </w:rPr>
      </w:pPr>
      <w:r>
        <w:rPr>
          <w:sz w:val="30"/>
        </w:rPr>
        <w:t>0.625 mg conjugated estrogens or 1.0 mg estradiol.</w:t>
      </w:r>
      <w:r>
        <w:rPr>
          <w:sz w:val="30"/>
          <w:vertAlign w:val="superscript"/>
        </w:rPr>
        <w:t>1</w:t>
      </w:r>
      <w:r>
        <w:rPr>
          <w:sz w:val="30"/>
          <w:vertAlign w:val="superscript"/>
        </w:rPr>
        <w:t>4</w:t>
      </w:r>
      <w:r>
        <w:rPr>
          <w:sz w:val="30"/>
          <w:vertAlign w:val="superscript"/>
        </w:rPr>
        <w:t>2</w:t>
      </w:r>
      <w:r>
        <w:rPr>
          <w:sz w:val="30"/>
          <w:vertAlign w:val="superscript"/>
        </w:rPr>
        <w:t>,</w:t>
      </w:r>
      <w:r>
        <w:rPr>
          <w:sz w:val="30"/>
          <w:vertAlign w:val="superscript"/>
        </w:rPr>
        <w:t>1</w:t>
      </w:r>
      <w:r>
        <w:rPr>
          <w:sz w:val="30"/>
          <w:vertAlign w:val="superscript"/>
        </w:rPr>
        <w:t>4</w:t>
      </w:r>
      <w:r>
        <w:rPr>
          <w:sz w:val="30"/>
          <w:vertAlign w:val="superscript"/>
        </w:rPr>
        <w:t>3</w:t>
      </w:r>
      <w:r>
        <w:rPr>
          <w:sz w:val="30"/>
          <w:vertAlign w:val="baseline"/>
        </w:rPr>
        <w:t> Estradiol levels </w:t>
      </w:r>
      <w:r>
        <w:rPr>
          <w:sz w:val="30"/>
          <w:vertAlign w:val="baseline"/>
        </w:rPr>
        <w:t>as low as 10 pg/mL have a beneficial impact on bone density compared with values below 5 pg/mL. </w:t>
      </w:r>
      <w:r>
        <w:rPr>
          <w:b/>
          <w:sz w:val="30"/>
          <w:vertAlign w:val="baseline"/>
        </w:rPr>
        <w:t>Thus, any increment in estrogen, even within the usual postmenopausal range, will exert protective effects. </w:t>
      </w:r>
      <w:r>
        <w:rPr>
          <w:sz w:val="30"/>
          <w:vertAlign w:val="baseline"/>
        </w:rPr>
        <w:t>This explains how a positive effect on bone was observed even with the utilization of the vaginal ring that delivers a very small amount of estradiol with minimal systemic absorption.</w:t>
      </w:r>
      <w:r>
        <w:rPr>
          <w:sz w:val="30"/>
          <w:vertAlign w:val="superscript"/>
        </w:rPr>
        <w:t>1</w:t>
      </w:r>
      <w:r>
        <w:rPr>
          <w:sz w:val="30"/>
          <w:vertAlign w:val="superscript"/>
        </w:rPr>
        <w:t>4</w:t>
      </w:r>
      <w:r>
        <w:rPr>
          <w:sz w:val="30"/>
          <w:vertAlign w:val="superscript"/>
        </w:rPr>
        <w:t>4</w:t>
      </w:r>
    </w:p>
    <w:p>
      <w:pPr>
        <w:pStyle w:val="BodyText"/>
        <w:spacing w:line="249" w:lineRule="auto" w:before="8"/>
        <w:ind w:right="106" w:firstLine="450"/>
      </w:pPr>
      <w:r>
        <w:rPr/>
        <w:t>A lower dose of 0.3 mg daily of conjugated estrogens or 0.5 </w:t>
      </w:r>
      <w:r>
        <w:rPr/>
        <w:t>mg estradiol prevented loss of vertebral trabecular bone when combined with calcium supplementation (to achieve a total intake of 1,500 mg daily).</w:t>
      </w:r>
      <w:r>
        <w:rPr>
          <w:vertAlign w:val="superscript"/>
        </w:rPr>
        <w:t>145-147</w:t>
      </w:r>
      <w:r>
        <w:rPr>
          <w:vertAlign w:val="baseline"/>
        </w:rPr>
        <w:t> In</w:t>
      </w:r>
      <w:r>
        <w:rPr>
          <w:spacing w:val="31"/>
          <w:vertAlign w:val="baseline"/>
        </w:rPr>
        <w:t> </w:t>
      </w:r>
      <w:r>
        <w:rPr>
          <w:vertAlign w:val="baseline"/>
        </w:rPr>
        <w:t>a</w:t>
      </w:r>
      <w:r>
        <w:rPr>
          <w:spacing w:val="31"/>
          <w:vertAlign w:val="baseline"/>
        </w:rPr>
        <w:t> </w:t>
      </w:r>
      <w:r>
        <w:rPr>
          <w:vertAlign w:val="baseline"/>
        </w:rPr>
        <w:t>small</w:t>
      </w:r>
      <w:r>
        <w:rPr>
          <w:spacing w:val="31"/>
          <w:vertAlign w:val="baseline"/>
        </w:rPr>
        <w:t> </w:t>
      </w:r>
      <w:r>
        <w:rPr>
          <w:vertAlign w:val="baseline"/>
        </w:rPr>
        <w:t>study</w:t>
      </w:r>
      <w:r>
        <w:rPr>
          <w:spacing w:val="31"/>
          <w:vertAlign w:val="baseline"/>
        </w:rPr>
        <w:t> </w:t>
      </w:r>
      <w:r>
        <w:rPr>
          <w:vertAlign w:val="baseline"/>
        </w:rPr>
        <w:t>without</w:t>
      </w:r>
      <w:r>
        <w:rPr>
          <w:spacing w:val="31"/>
          <w:vertAlign w:val="baseline"/>
        </w:rPr>
        <w:t> </w:t>
      </w:r>
      <w:r>
        <w:rPr>
          <w:vertAlign w:val="baseline"/>
        </w:rPr>
        <w:t>calcium</w:t>
      </w:r>
      <w:r>
        <w:rPr>
          <w:spacing w:val="31"/>
          <w:vertAlign w:val="baseline"/>
        </w:rPr>
        <w:t> </w:t>
      </w:r>
      <w:r>
        <w:rPr>
          <w:vertAlign w:val="baseline"/>
        </w:rPr>
        <w:t>supplementation,</w:t>
      </w:r>
      <w:r>
        <w:rPr>
          <w:spacing w:val="31"/>
          <w:vertAlign w:val="baseline"/>
        </w:rPr>
        <w:t> </w:t>
      </w:r>
      <w:r>
        <w:rPr>
          <w:vertAlign w:val="baseline"/>
        </w:rPr>
        <w:t>daily</w:t>
      </w:r>
      <w:r>
        <w:rPr>
          <w:spacing w:val="31"/>
          <w:vertAlign w:val="baseline"/>
        </w:rPr>
        <w:t> </w:t>
      </w:r>
      <w:r>
        <w:rPr>
          <w:vertAlign w:val="baseline"/>
        </w:rPr>
        <w:t>administration</w:t>
      </w:r>
      <w:r>
        <w:rPr>
          <w:spacing w:val="31"/>
          <w:vertAlign w:val="baseline"/>
        </w:rPr>
        <w:t> </w:t>
      </w:r>
      <w:r>
        <w:rPr>
          <w:spacing w:val="-5"/>
          <w:vertAlign w:val="baseline"/>
        </w:rPr>
        <w:t>of</w:t>
      </w:r>
    </w:p>
    <w:p>
      <w:pPr>
        <w:pStyle w:val="BodyText"/>
        <w:spacing w:line="249" w:lineRule="auto" w:before="5"/>
        <w:ind w:right="98"/>
      </w:pPr>
      <w:r>
        <w:rPr/>
        <w:t>0.3 mg conjugated estrogens and 2.5 mg medroxyprogesterone acetate produced a slight increase in lumbar bone density with a lesser effect on the hip.</w:t>
      </w:r>
      <w:r>
        <w:rPr>
          <w:vertAlign w:val="superscript"/>
        </w:rPr>
        <w:t>148</w:t>
      </w:r>
      <w:r>
        <w:rPr>
          <w:vertAlign w:val="baseline"/>
        </w:rPr>
        <w:t> Even a dose of estradiol as low as 0.25 mg/d produced an increase in bone density.</w:t>
      </w:r>
      <w:r>
        <w:rPr>
          <w:vertAlign w:val="superscript"/>
        </w:rPr>
        <w:t>149</w:t>
      </w:r>
    </w:p>
    <w:p>
      <w:pPr>
        <w:pStyle w:val="BodyText"/>
        <w:spacing w:line="249" w:lineRule="auto" w:before="5"/>
        <w:ind w:right="101" w:firstLine="450"/>
      </w:pPr>
      <w:r>
        <w:rPr/>
        <w:t>The Women’s Health, Osteoporosis, Progestin, Estrogen (HOPE) </w:t>
      </w:r>
      <w:r>
        <w:rPr/>
        <w:t>trial involved 800 postmenopausal women in a dose-response evaluation of conjugated</w:t>
      </w:r>
      <w:r>
        <w:rPr>
          <w:spacing w:val="48"/>
        </w:rPr>
        <w:t> </w:t>
      </w:r>
      <w:r>
        <w:rPr/>
        <w:t>estrogens</w:t>
      </w:r>
      <w:r>
        <w:rPr>
          <w:spacing w:val="48"/>
        </w:rPr>
        <w:t> </w:t>
      </w:r>
      <w:r>
        <w:rPr/>
        <w:t>and</w:t>
      </w:r>
      <w:r>
        <w:rPr>
          <w:spacing w:val="48"/>
        </w:rPr>
        <w:t> </w:t>
      </w:r>
      <w:r>
        <w:rPr/>
        <w:t>medroxyprogesterone</w:t>
      </w:r>
      <w:r>
        <w:rPr>
          <w:spacing w:val="48"/>
        </w:rPr>
        <w:t> </w:t>
      </w:r>
      <w:r>
        <w:rPr/>
        <w:t>acetate.</w:t>
      </w:r>
      <w:r>
        <w:rPr>
          <w:spacing w:val="47"/>
        </w:rPr>
        <w:t> </w:t>
      </w:r>
      <w:r>
        <w:rPr/>
        <w:t>The</w:t>
      </w:r>
      <w:r>
        <w:rPr>
          <w:spacing w:val="52"/>
        </w:rPr>
        <w:t> </w:t>
      </w:r>
      <w:r>
        <w:rPr/>
        <w:t>lowest</w:t>
      </w:r>
      <w:r>
        <w:rPr>
          <w:spacing w:val="52"/>
        </w:rPr>
        <w:t> </w:t>
      </w:r>
      <w:r>
        <w:rPr>
          <w:spacing w:val="-2"/>
        </w:rPr>
        <w:t>dose,</w:t>
      </w:r>
    </w:p>
    <w:p>
      <w:pPr>
        <w:pStyle w:val="BodyText"/>
        <w:spacing w:line="249" w:lineRule="auto" w:before="4"/>
        <w:ind w:right="98"/>
      </w:pPr>
      <w:r>
        <w:rPr/>
        <w:t>0.3 mg conjugated estrogens, either unopposed or combined with 1.5 </w:t>
      </w:r>
      <w:r>
        <w:rPr/>
        <w:t>mg medroxyprogesterone acetate, produced a gain in bone density.</w:t>
      </w:r>
      <w:r>
        <w:rPr>
          <w:vertAlign w:val="superscript"/>
        </w:rPr>
        <w:t>150</w:t>
      </w:r>
      <w:r>
        <w:rPr>
          <w:vertAlign w:val="baseline"/>
        </w:rPr>
        <w:t> A major concern with lower doses is the possibility that there will be a significant percentage of nonresponders (discussed later). Nevertheless, a lower dose</w:t>
      </w:r>
      <w:r>
        <w:rPr>
          <w:spacing w:val="40"/>
          <w:vertAlign w:val="baseline"/>
        </w:rPr>
        <w:t> </w:t>
      </w:r>
      <w:r>
        <w:rPr>
          <w:vertAlign w:val="baseline"/>
        </w:rPr>
        <w:t>of estrogen may be more acceptable (fewer side effects) in older adult </w:t>
      </w:r>
      <w:r>
        <w:rPr>
          <w:spacing w:val="-2"/>
          <w:vertAlign w:val="baseline"/>
        </w:rPr>
        <w:t>women.</w:t>
      </w:r>
    </w:p>
    <w:p>
      <w:pPr>
        <w:pStyle w:val="BodyText"/>
        <w:spacing w:line="249" w:lineRule="auto" w:before="7"/>
        <w:ind w:right="98" w:firstLine="450"/>
      </w:pPr>
      <w:r>
        <w:rPr/>
        <w:t>Certain progestational agents have been reported to act independently,</w:t>
      </w:r>
      <w:r>
        <w:rPr>
          <w:spacing w:val="40"/>
        </w:rPr>
        <w:t> </w:t>
      </w:r>
      <w:r>
        <w:rPr/>
        <w:t>in</w:t>
      </w:r>
      <w:r>
        <w:rPr>
          <w:spacing w:val="-5"/>
        </w:rPr>
        <w:t> </w:t>
      </w:r>
      <w:r>
        <w:rPr/>
        <w:t>a</w:t>
      </w:r>
      <w:r>
        <w:rPr>
          <w:spacing w:val="-5"/>
        </w:rPr>
        <w:t> </w:t>
      </w:r>
      <w:r>
        <w:rPr/>
        <w:t>manner</w:t>
      </w:r>
      <w:r>
        <w:rPr>
          <w:spacing w:val="-5"/>
        </w:rPr>
        <w:t> </w:t>
      </w:r>
      <w:r>
        <w:rPr/>
        <w:t>similar</w:t>
      </w:r>
      <w:r>
        <w:rPr>
          <w:spacing w:val="-5"/>
        </w:rPr>
        <w:t> </w:t>
      </w:r>
      <w:r>
        <w:rPr/>
        <w:t>to</w:t>
      </w:r>
      <w:r>
        <w:rPr>
          <w:spacing w:val="-5"/>
        </w:rPr>
        <w:t> </w:t>
      </w:r>
      <w:r>
        <w:rPr/>
        <w:t>estrogen,</w:t>
      </w:r>
      <w:r>
        <w:rPr>
          <w:spacing w:val="-5"/>
        </w:rPr>
        <w:t> </w:t>
      </w:r>
      <w:r>
        <w:rPr/>
        <w:t>to</w:t>
      </w:r>
      <w:r>
        <w:rPr>
          <w:spacing w:val="-5"/>
        </w:rPr>
        <w:t> </w:t>
      </w:r>
      <w:r>
        <w:rPr/>
        <w:t>reduce</w:t>
      </w:r>
      <w:r>
        <w:rPr>
          <w:spacing w:val="-5"/>
        </w:rPr>
        <w:t> </w:t>
      </w:r>
      <w:r>
        <w:rPr/>
        <w:t>bone</w:t>
      </w:r>
      <w:r>
        <w:rPr>
          <w:spacing w:val="-5"/>
        </w:rPr>
        <w:t> </w:t>
      </w:r>
      <w:r>
        <w:rPr/>
        <w:t>resorption.</w:t>
      </w:r>
      <w:r>
        <w:rPr>
          <w:vertAlign w:val="superscript"/>
        </w:rPr>
        <w:t>151</w:t>
      </w:r>
      <w:r>
        <w:rPr>
          <w:spacing w:val="-6"/>
          <w:vertAlign w:val="baseline"/>
        </w:rPr>
        <w:t> </w:t>
      </w:r>
      <w:r>
        <w:rPr>
          <w:vertAlign w:val="baseline"/>
        </w:rPr>
        <w:t>When</w:t>
      </w:r>
      <w:r>
        <w:rPr>
          <w:spacing w:val="-5"/>
          <w:vertAlign w:val="baseline"/>
        </w:rPr>
        <w:t> </w:t>
      </w:r>
      <w:r>
        <w:rPr>
          <w:vertAlign w:val="baseline"/>
        </w:rPr>
        <w:t>added</w:t>
      </w:r>
      <w:r>
        <w:rPr>
          <w:spacing w:val="-5"/>
          <w:vertAlign w:val="baseline"/>
        </w:rPr>
        <w:t> </w:t>
      </w:r>
      <w:r>
        <w:rPr>
          <w:vertAlign w:val="baseline"/>
        </w:rPr>
        <w:t>to estrogen, progestins can lead to an apparent synergistic increase in bone formation associated with a positive balance of calcium.</w:t>
      </w:r>
      <w:r>
        <w:rPr>
          <w:vertAlign w:val="superscript"/>
        </w:rPr>
        <w:t>152-155</w:t>
      </w:r>
      <w:r>
        <w:rPr>
          <w:vertAlign w:val="baseline"/>
        </w:rPr>
        <w:t> On the other hand, other studies have failed to find a greater impact on bone, comparing estrogen alone to estrogen plus a progestin.</w:t>
      </w:r>
      <w:r>
        <w:rPr>
          <w:vertAlign w:val="superscript"/>
        </w:rPr>
        <w:t>119</w:t>
      </w:r>
      <w:r>
        <w:rPr>
          <w:vertAlign w:val="baseline"/>
        </w:rPr>
        <w:t> These different results are explained by the fact that the synergistic result of combining estrogen with</w:t>
      </w:r>
      <w:r>
        <w:rPr>
          <w:spacing w:val="40"/>
          <w:vertAlign w:val="baseline"/>
        </w:rPr>
        <w:t> </w:t>
      </w:r>
      <w:r>
        <w:rPr>
          <w:vertAlign w:val="baseline"/>
        </w:rPr>
        <w:t>a progestin is determined by the type of progestin, being limited to</w:t>
      </w:r>
      <w:r>
        <w:rPr>
          <w:spacing w:val="40"/>
          <w:vertAlign w:val="baseline"/>
        </w:rPr>
        <w:t> </w:t>
      </w:r>
      <w:r>
        <w:rPr>
          <w:vertAlign w:val="baseline"/>
        </w:rPr>
        <w:t>members of the 19-nortestosterone (norethindrone) family.</w:t>
      </w:r>
      <w:r>
        <w:rPr>
          <w:vertAlign w:val="superscript"/>
        </w:rPr>
        <w:t>156</w:t>
      </w:r>
      <w:r>
        <w:rPr>
          <w:vertAlign w:val="baseline"/>
        </w:rPr>
        <w:t> This could reflect an increase in free estrogen levels because of a reduction in sex hormone-binding</w:t>
      </w:r>
      <w:r>
        <w:rPr>
          <w:spacing w:val="30"/>
          <w:vertAlign w:val="baseline"/>
        </w:rPr>
        <w:t>  </w:t>
      </w:r>
      <w:r>
        <w:rPr>
          <w:vertAlign w:val="baseline"/>
        </w:rPr>
        <w:t>globulin</w:t>
      </w:r>
      <w:r>
        <w:rPr>
          <w:spacing w:val="30"/>
          <w:vertAlign w:val="baseline"/>
        </w:rPr>
        <w:t>  </w:t>
      </w:r>
      <w:r>
        <w:rPr>
          <w:vertAlign w:val="baseline"/>
        </w:rPr>
        <w:t>(SHBG).</w:t>
      </w:r>
      <w:r>
        <w:rPr>
          <w:spacing w:val="31"/>
          <w:vertAlign w:val="baseline"/>
        </w:rPr>
        <w:t>  </w:t>
      </w:r>
      <w:r>
        <w:rPr>
          <w:vertAlign w:val="baseline"/>
        </w:rPr>
        <w:t>Careful</w:t>
      </w:r>
      <w:r>
        <w:rPr>
          <w:spacing w:val="31"/>
          <w:vertAlign w:val="baseline"/>
        </w:rPr>
        <w:t>  </w:t>
      </w:r>
      <w:r>
        <w:rPr>
          <w:vertAlign w:val="baseline"/>
        </w:rPr>
        <w:t>studies</w:t>
      </w:r>
      <w:r>
        <w:rPr>
          <w:spacing w:val="31"/>
          <w:vertAlign w:val="baseline"/>
        </w:rPr>
        <w:t>  </w:t>
      </w:r>
      <w:r>
        <w:rPr>
          <w:vertAlign w:val="baseline"/>
        </w:rPr>
        <w:t>indicate</w:t>
      </w:r>
      <w:r>
        <w:rPr>
          <w:spacing w:val="31"/>
          <w:vertAlign w:val="baseline"/>
        </w:rPr>
        <w:t>  </w:t>
      </w:r>
      <w:r>
        <w:rPr>
          <w:vertAlign w:val="baseline"/>
        </w:rPr>
        <w:t>that</w:t>
      </w:r>
      <w:r>
        <w:rPr>
          <w:spacing w:val="31"/>
          <w:vertAlign w:val="baseline"/>
        </w:rPr>
        <w:t>  </w:t>
      </w:r>
      <w:r>
        <w:rPr>
          <w:spacing w:val="-5"/>
          <w:vertAlign w:val="baseline"/>
        </w:rPr>
        <w:t>the</w:t>
      </w:r>
    </w:p>
    <w:p>
      <w:pPr>
        <w:pStyle w:val="BodyText"/>
        <w:spacing w:after="0" w:line="249" w:lineRule="auto"/>
        <w:sectPr>
          <w:pgSz w:w="12240" w:h="15840"/>
          <w:pgMar w:top="1380" w:bottom="280" w:left="1440" w:right="1440"/>
        </w:sectPr>
      </w:pPr>
    </w:p>
    <w:p>
      <w:pPr>
        <w:pStyle w:val="BodyText"/>
        <w:spacing w:line="249" w:lineRule="auto"/>
        <w:ind w:right="106"/>
      </w:pPr>
      <w:r>
        <w:rPr/>
        <w:t>addition of medroxyprogesterone provides an extra effect on bone </w:t>
      </w:r>
      <w:r>
        <w:rPr/>
        <w:t>density only in women with established, significant osteoporosis.</w:t>
      </w:r>
      <w:r>
        <w:rPr>
          <w:vertAlign w:val="superscript"/>
        </w:rPr>
        <w:t>155,157,158</w:t>
      </w:r>
    </w:p>
    <w:p>
      <w:pPr>
        <w:pStyle w:val="BodyText"/>
        <w:spacing w:line="249" w:lineRule="auto" w:before="2"/>
        <w:ind w:right="98" w:firstLine="450"/>
      </w:pPr>
      <w:r>
        <w:rPr/>
        <w:t>In the PEPI trial, at the end of 3 years, there was little </w:t>
      </w:r>
      <w:r>
        <w:rPr/>
        <w:t>difference comparing treatment with estrogen only to the groups receiving either sequential or continuous combinations of estrogen and medroxyprogesterone</w:t>
      </w:r>
      <w:r>
        <w:rPr>
          <w:spacing w:val="-11"/>
        </w:rPr>
        <w:t> </w:t>
      </w:r>
      <w:r>
        <w:rPr/>
        <w:t>acetate</w:t>
      </w:r>
      <w:r>
        <w:rPr>
          <w:spacing w:val="-11"/>
        </w:rPr>
        <w:t> </w:t>
      </w:r>
      <w:r>
        <w:rPr/>
        <w:t>or</w:t>
      </w:r>
      <w:r>
        <w:rPr>
          <w:spacing w:val="-11"/>
        </w:rPr>
        <w:t> </w:t>
      </w:r>
      <w:r>
        <w:rPr/>
        <w:t>micronized</w:t>
      </w:r>
      <w:r>
        <w:rPr>
          <w:spacing w:val="-11"/>
        </w:rPr>
        <w:t> </w:t>
      </w:r>
      <w:r>
        <w:rPr/>
        <w:t>progesterone.</w:t>
      </w:r>
      <w:r>
        <w:rPr>
          <w:vertAlign w:val="superscript"/>
        </w:rPr>
        <w:t>132</w:t>
      </w:r>
      <w:r>
        <w:rPr>
          <w:spacing w:val="-12"/>
          <w:vertAlign w:val="baseline"/>
        </w:rPr>
        <w:t> </w:t>
      </w:r>
      <w:r>
        <w:rPr>
          <w:vertAlign w:val="baseline"/>
        </w:rPr>
        <w:t>Thus,</w:t>
      </w:r>
      <w:r>
        <w:rPr>
          <w:spacing w:val="-11"/>
          <w:vertAlign w:val="baseline"/>
        </w:rPr>
        <w:t> </w:t>
      </w:r>
      <w:r>
        <w:rPr>
          <w:vertAlign w:val="baseline"/>
        </w:rPr>
        <w:t>the</w:t>
      </w:r>
      <w:r>
        <w:rPr>
          <w:spacing w:val="-11"/>
          <w:vertAlign w:val="baseline"/>
        </w:rPr>
        <w:t> </w:t>
      </w:r>
      <w:r>
        <w:rPr>
          <w:vertAlign w:val="baseline"/>
        </w:rPr>
        <w:t>daily, continuous combination of estrogen-progestin is equally efficacious in maintaining bone density as the sequential regimens, although at least one study has indicated a slightly greater response in the lumbar spine with continuous treatment.</w:t>
      </w:r>
      <w:r>
        <w:rPr>
          <w:vertAlign w:val="superscript"/>
        </w:rPr>
        <w:t>156,159-161</w:t>
      </w:r>
    </w:p>
    <w:p>
      <w:pPr>
        <w:pStyle w:val="BodyText"/>
        <w:spacing w:line="249" w:lineRule="auto" w:before="10"/>
        <w:ind w:right="102" w:firstLine="450"/>
      </w:pPr>
      <w:r>
        <w:rPr/>
        <w:t>The addition of testosterone to an estrogen therapy program has been reported to provide no additional beneficial impact on bone or on relief</w:t>
      </w:r>
      <w:r>
        <w:rPr>
          <w:spacing w:val="40"/>
        </w:rPr>
        <w:t> </w:t>
      </w:r>
      <w:r>
        <w:rPr/>
        <w:t>from hot flushes.</w:t>
      </w:r>
      <w:r>
        <w:rPr>
          <w:vertAlign w:val="superscript"/>
        </w:rPr>
        <w:t>162,163</w:t>
      </w:r>
      <w:r>
        <w:rPr>
          <w:vertAlign w:val="baseline"/>
        </w:rPr>
        <w:t> Others have demonstrated a greater increase in </w:t>
      </w:r>
      <w:r>
        <w:rPr>
          <w:vertAlign w:val="baseline"/>
        </w:rPr>
        <w:t>bone density with an estrogen-androgen combination compared with estrogen alone, although the blood estrogen levels achieved were higher than those associated with standard postmenopausal hormone therapy.</w:t>
      </w:r>
      <w:r>
        <w:rPr>
          <w:vertAlign w:val="superscript"/>
        </w:rPr>
        <w:t>164</w:t>
      </w:r>
      <w:r>
        <w:rPr>
          <w:vertAlign w:val="baseline"/>
        </w:rPr>
        <w:t> In another study, only a very high pharmacologic dose of methyltestosterone enhanced the bone density achieved with estrogen alone.</w:t>
      </w:r>
      <w:r>
        <w:rPr>
          <w:vertAlign w:val="superscript"/>
        </w:rPr>
        <w:t>165</w:t>
      </w:r>
    </w:p>
    <w:p>
      <w:pPr>
        <w:spacing w:line="249" w:lineRule="auto" w:before="10"/>
        <w:ind w:left="99" w:right="99" w:firstLine="450"/>
        <w:jc w:val="both"/>
        <w:rPr>
          <w:b/>
          <w:sz w:val="30"/>
        </w:rPr>
      </w:pPr>
      <w:r>
        <w:rPr>
          <w:b/>
          <w:sz w:val="30"/>
        </w:rPr>
        <w:t>We support the consideration of early initiation of </w:t>
      </w:r>
      <w:r>
        <w:rPr>
          <w:b/>
          <w:sz w:val="30"/>
        </w:rPr>
        <w:t>menopausal hormone therapy in early menopausal women with evidence of low bone mass as a fracture risk reduction strategy, but caution that consideration for prolonged use of hormone regimens in postmenopausal women must be individualized. If long-term use of menopausal hormone therapy is chosen as the preferred approach to fracture risk reduction, prescribers are cautioned on the importance of periodic reassessments and timely adoption of risk reduction strategies (such as switching from oral to transdermal route and reduction in</w:t>
      </w:r>
      <w:r>
        <w:rPr>
          <w:b/>
          <w:spacing w:val="40"/>
          <w:sz w:val="30"/>
        </w:rPr>
        <w:t> </w:t>
      </w:r>
      <w:r>
        <w:rPr>
          <w:b/>
          <w:sz w:val="30"/>
        </w:rPr>
        <w:t>dose of estrogen) to ensure that patients electing to be treated with hormones achieve protection against osteoporotic fractures while mitigating</w:t>
      </w:r>
      <w:r>
        <w:rPr>
          <w:b/>
          <w:spacing w:val="-11"/>
          <w:sz w:val="30"/>
        </w:rPr>
        <w:t> </w:t>
      </w:r>
      <w:r>
        <w:rPr>
          <w:b/>
          <w:sz w:val="30"/>
        </w:rPr>
        <w:t>estrogen-related</w:t>
      </w:r>
      <w:r>
        <w:rPr>
          <w:b/>
          <w:spacing w:val="-11"/>
          <w:sz w:val="30"/>
        </w:rPr>
        <w:t> </w:t>
      </w:r>
      <w:r>
        <w:rPr>
          <w:b/>
          <w:sz w:val="30"/>
        </w:rPr>
        <w:t>risks.</w:t>
      </w:r>
      <w:r>
        <w:rPr>
          <w:b/>
          <w:spacing w:val="-11"/>
          <w:sz w:val="30"/>
        </w:rPr>
        <w:t> </w:t>
      </w:r>
      <w:r>
        <w:rPr>
          <w:b/>
          <w:sz w:val="30"/>
        </w:rPr>
        <w:t>Testosterone</w:t>
      </w:r>
      <w:r>
        <w:rPr>
          <w:b/>
          <w:spacing w:val="-8"/>
          <w:sz w:val="30"/>
        </w:rPr>
        <w:t> </w:t>
      </w:r>
      <w:r>
        <w:rPr>
          <w:b/>
          <w:sz w:val="30"/>
        </w:rPr>
        <w:t>should</w:t>
      </w:r>
      <w:r>
        <w:rPr>
          <w:b/>
          <w:spacing w:val="-8"/>
          <w:sz w:val="30"/>
        </w:rPr>
        <w:t> </w:t>
      </w:r>
      <w:r>
        <w:rPr>
          <w:b/>
          <w:sz w:val="30"/>
        </w:rPr>
        <w:t>not</w:t>
      </w:r>
      <w:r>
        <w:rPr>
          <w:b/>
          <w:spacing w:val="-8"/>
          <w:sz w:val="30"/>
        </w:rPr>
        <w:t> </w:t>
      </w:r>
      <w:r>
        <w:rPr>
          <w:b/>
          <w:sz w:val="30"/>
        </w:rPr>
        <w:t>be</w:t>
      </w:r>
      <w:r>
        <w:rPr>
          <w:b/>
          <w:spacing w:val="-8"/>
          <w:sz w:val="30"/>
        </w:rPr>
        <w:t> </w:t>
      </w:r>
      <w:r>
        <w:rPr>
          <w:b/>
          <w:sz w:val="30"/>
        </w:rPr>
        <w:t>prescribed with</w:t>
      </w:r>
      <w:r>
        <w:rPr>
          <w:b/>
          <w:spacing w:val="-2"/>
          <w:sz w:val="30"/>
        </w:rPr>
        <w:t> </w:t>
      </w:r>
      <w:r>
        <w:rPr>
          <w:b/>
          <w:sz w:val="30"/>
        </w:rPr>
        <w:t>the</w:t>
      </w:r>
      <w:r>
        <w:rPr>
          <w:b/>
          <w:spacing w:val="-2"/>
          <w:sz w:val="30"/>
        </w:rPr>
        <w:t> </w:t>
      </w:r>
      <w:r>
        <w:rPr>
          <w:b/>
          <w:sz w:val="30"/>
        </w:rPr>
        <w:t>expectation</w:t>
      </w:r>
      <w:r>
        <w:rPr>
          <w:b/>
          <w:spacing w:val="-2"/>
          <w:sz w:val="30"/>
        </w:rPr>
        <w:t> </w:t>
      </w:r>
      <w:r>
        <w:rPr>
          <w:b/>
          <w:sz w:val="30"/>
        </w:rPr>
        <w:t>that</w:t>
      </w:r>
      <w:r>
        <w:rPr>
          <w:b/>
          <w:spacing w:val="-2"/>
          <w:sz w:val="30"/>
        </w:rPr>
        <w:t> </w:t>
      </w:r>
      <w:r>
        <w:rPr>
          <w:b/>
          <w:sz w:val="30"/>
        </w:rPr>
        <w:t>androgen</w:t>
      </w:r>
      <w:r>
        <w:rPr>
          <w:b/>
          <w:spacing w:val="-2"/>
          <w:sz w:val="30"/>
        </w:rPr>
        <w:t> </w:t>
      </w:r>
      <w:r>
        <w:rPr>
          <w:b/>
          <w:sz w:val="30"/>
        </w:rPr>
        <w:t>treatment</w:t>
      </w:r>
      <w:r>
        <w:rPr>
          <w:b/>
          <w:spacing w:val="-2"/>
          <w:sz w:val="30"/>
        </w:rPr>
        <w:t> </w:t>
      </w:r>
      <w:r>
        <w:rPr>
          <w:b/>
          <w:sz w:val="30"/>
        </w:rPr>
        <w:t>will</w:t>
      </w:r>
      <w:r>
        <w:rPr>
          <w:b/>
          <w:spacing w:val="-2"/>
          <w:sz w:val="30"/>
        </w:rPr>
        <w:t> </w:t>
      </w:r>
      <w:r>
        <w:rPr>
          <w:b/>
          <w:sz w:val="30"/>
        </w:rPr>
        <w:t>improve</w:t>
      </w:r>
      <w:r>
        <w:rPr>
          <w:b/>
          <w:spacing w:val="-2"/>
          <w:sz w:val="30"/>
        </w:rPr>
        <w:t> </w:t>
      </w:r>
      <w:r>
        <w:rPr>
          <w:b/>
          <w:sz w:val="30"/>
        </w:rPr>
        <w:t>bone</w:t>
      </w:r>
      <w:r>
        <w:rPr>
          <w:b/>
          <w:spacing w:val="-2"/>
          <w:sz w:val="30"/>
        </w:rPr>
        <w:t> </w:t>
      </w:r>
      <w:r>
        <w:rPr>
          <w:b/>
          <w:sz w:val="30"/>
        </w:rPr>
        <w:t>health.</w:t>
      </w:r>
    </w:p>
    <w:p>
      <w:pPr>
        <w:spacing w:before="314"/>
        <w:ind w:left="99" w:right="0" w:firstLine="0"/>
        <w:jc w:val="both"/>
        <w:rPr>
          <w:rFonts w:ascii="Arial"/>
          <w:b/>
          <w:i/>
          <w:sz w:val="22"/>
        </w:rPr>
      </w:pPr>
      <w:r>
        <w:rPr>
          <w:rFonts w:ascii="Arial"/>
          <w:b/>
          <w:i/>
          <w:color w:val="A0234E"/>
          <w:sz w:val="22"/>
        </w:rPr>
        <w:t>Follow-Up</w:t>
      </w:r>
      <w:r>
        <w:rPr>
          <w:rFonts w:ascii="Arial"/>
          <w:b/>
          <w:i/>
          <w:color w:val="A0234E"/>
          <w:spacing w:val="21"/>
          <w:sz w:val="22"/>
        </w:rPr>
        <w:t> </w:t>
      </w:r>
      <w:r>
        <w:rPr>
          <w:rFonts w:ascii="Arial"/>
          <w:b/>
          <w:i/>
          <w:color w:val="A0234E"/>
          <w:sz w:val="22"/>
        </w:rPr>
        <w:t>Assessment</w:t>
      </w:r>
      <w:r>
        <w:rPr>
          <w:rFonts w:ascii="Arial"/>
          <w:b/>
          <w:i/>
          <w:color w:val="A0234E"/>
          <w:spacing w:val="22"/>
          <w:sz w:val="22"/>
        </w:rPr>
        <w:t> </w:t>
      </w:r>
      <w:r>
        <w:rPr>
          <w:rFonts w:ascii="Arial"/>
          <w:b/>
          <w:i/>
          <w:color w:val="A0234E"/>
          <w:sz w:val="22"/>
        </w:rPr>
        <w:t>of</w:t>
      </w:r>
      <w:r>
        <w:rPr>
          <w:rFonts w:ascii="Arial"/>
          <w:b/>
          <w:i/>
          <w:color w:val="A0234E"/>
          <w:spacing w:val="22"/>
          <w:sz w:val="22"/>
        </w:rPr>
        <w:t> </w:t>
      </w:r>
      <w:r>
        <w:rPr>
          <w:rFonts w:ascii="Arial"/>
          <w:b/>
          <w:i/>
          <w:color w:val="A0234E"/>
          <w:sz w:val="22"/>
        </w:rPr>
        <w:t>Hormone-Treated</w:t>
      </w:r>
      <w:r>
        <w:rPr>
          <w:rFonts w:ascii="Arial"/>
          <w:b/>
          <w:i/>
          <w:color w:val="A0234E"/>
          <w:spacing w:val="22"/>
          <w:sz w:val="22"/>
        </w:rPr>
        <w:t> </w:t>
      </w:r>
      <w:r>
        <w:rPr>
          <w:rFonts w:ascii="Arial"/>
          <w:b/>
          <w:i/>
          <w:color w:val="A0234E"/>
          <w:spacing w:val="-2"/>
          <w:sz w:val="22"/>
        </w:rPr>
        <w:t>Women</w:t>
      </w:r>
    </w:p>
    <w:p>
      <w:pPr>
        <w:pStyle w:val="BodyText"/>
        <w:spacing w:line="249" w:lineRule="auto" w:before="124"/>
        <w:ind w:right="101"/>
      </w:pPr>
      <w:r>
        <w:rPr/>
        <w:t>Either a stable bone density or an increase indicates successful </w:t>
      </w:r>
      <w:r>
        <w:rPr/>
        <w:t>treatment; however, not all women will maintain or gain bone density on postmenopausal</w:t>
      </w:r>
      <w:r>
        <w:rPr>
          <w:spacing w:val="10"/>
        </w:rPr>
        <w:t> </w:t>
      </w:r>
      <w:r>
        <w:rPr/>
        <w:t>hormone</w:t>
      </w:r>
      <w:r>
        <w:rPr>
          <w:spacing w:val="10"/>
        </w:rPr>
        <w:t> </w:t>
      </w:r>
      <w:r>
        <w:rPr/>
        <w:t>therapy;</w:t>
      </w:r>
      <w:r>
        <w:rPr>
          <w:spacing w:val="10"/>
        </w:rPr>
        <w:t> </w:t>
      </w:r>
      <w:r>
        <w:rPr/>
        <w:t>in</w:t>
      </w:r>
      <w:r>
        <w:rPr>
          <w:spacing w:val="10"/>
        </w:rPr>
        <w:t> </w:t>
      </w:r>
      <w:r>
        <w:rPr/>
        <w:t>one</w:t>
      </w:r>
      <w:r>
        <w:rPr>
          <w:spacing w:val="10"/>
        </w:rPr>
        <w:t> </w:t>
      </w:r>
      <w:r>
        <w:rPr/>
        <w:t>study,</w:t>
      </w:r>
      <w:r>
        <w:rPr>
          <w:spacing w:val="10"/>
        </w:rPr>
        <w:t> </w:t>
      </w:r>
      <w:r>
        <w:rPr/>
        <w:t>12%</w:t>
      </w:r>
      <w:r>
        <w:rPr>
          <w:spacing w:val="10"/>
        </w:rPr>
        <w:t> </w:t>
      </w:r>
      <w:r>
        <w:rPr/>
        <w:t>of</w:t>
      </w:r>
      <w:r>
        <w:rPr>
          <w:spacing w:val="10"/>
        </w:rPr>
        <w:t> </w:t>
      </w:r>
      <w:r>
        <w:rPr/>
        <w:t>treated</w:t>
      </w:r>
      <w:r>
        <w:rPr>
          <w:spacing w:val="10"/>
        </w:rPr>
        <w:t> </w:t>
      </w:r>
      <w:r>
        <w:rPr/>
        <w:t>women</w:t>
      </w:r>
      <w:r>
        <w:rPr>
          <w:spacing w:val="10"/>
        </w:rPr>
        <w:t> </w:t>
      </w:r>
      <w:r>
        <w:rPr>
          <w:spacing w:val="-4"/>
        </w:rPr>
        <w:t>lost</w:t>
      </w:r>
    </w:p>
    <w:p>
      <w:pPr>
        <w:pStyle w:val="BodyText"/>
        <w:spacing w:after="0" w:line="249" w:lineRule="auto"/>
        <w:sectPr>
          <w:pgSz w:w="12240" w:h="15840"/>
          <w:pgMar w:top="1380" w:bottom="280" w:left="1440" w:right="1440"/>
        </w:sectPr>
      </w:pPr>
    </w:p>
    <w:p>
      <w:pPr>
        <w:spacing w:line="249" w:lineRule="auto" w:before="65"/>
        <w:ind w:left="99" w:right="98" w:firstLine="0"/>
        <w:jc w:val="both"/>
        <w:rPr>
          <w:sz w:val="30"/>
        </w:rPr>
      </w:pPr>
      <w:r>
        <w:rPr>
          <w:sz w:val="30"/>
        </w:rPr>
        <w:t>bone despite apparently good compliance.</w:t>
      </w:r>
      <w:r>
        <w:rPr>
          <w:sz w:val="30"/>
          <w:vertAlign w:val="superscript"/>
        </w:rPr>
        <w:t>166</w:t>
      </w:r>
      <w:r>
        <w:rPr>
          <w:sz w:val="30"/>
          <w:vertAlign w:val="baseline"/>
        </w:rPr>
        <w:t> In the PEPI 3-year clinical trial, where compliance rates were probably maximal, 4% of treated women lost bone in the spine and 6% in the hip.</w:t>
      </w:r>
      <w:r>
        <w:rPr>
          <w:sz w:val="30"/>
          <w:vertAlign w:val="superscript"/>
        </w:rPr>
        <w:t>132</w:t>
      </w:r>
      <w:r>
        <w:rPr>
          <w:spacing w:val="-5"/>
          <w:sz w:val="30"/>
          <w:vertAlign w:val="baseline"/>
        </w:rPr>
        <w:t> </w:t>
      </w:r>
      <w:r>
        <w:rPr>
          <w:b/>
          <w:sz w:val="30"/>
          <w:vertAlign w:val="baseline"/>
        </w:rPr>
        <w:t>It is worthwhile to repeat bone density assessment following initiation of hormone therapy for skeletal benefit to assess response in treated women when they are in their late 60s</w:t>
      </w:r>
      <w:r>
        <w:rPr>
          <w:sz w:val="30"/>
          <w:vertAlign w:val="baseline"/>
        </w:rPr>
        <w:t>.</w:t>
      </w:r>
      <w:r>
        <w:rPr>
          <w:spacing w:val="-1"/>
          <w:sz w:val="30"/>
          <w:vertAlign w:val="baseline"/>
        </w:rPr>
        <w:t> </w:t>
      </w:r>
      <w:r>
        <w:rPr>
          <w:sz w:val="30"/>
          <w:vertAlign w:val="baseline"/>
        </w:rPr>
        <w:t>This</w:t>
      </w:r>
      <w:r>
        <w:rPr>
          <w:spacing w:val="-1"/>
          <w:sz w:val="30"/>
          <w:vertAlign w:val="baseline"/>
        </w:rPr>
        <w:t> </w:t>
      </w:r>
      <w:r>
        <w:rPr>
          <w:sz w:val="30"/>
          <w:vertAlign w:val="baseline"/>
        </w:rPr>
        <w:t>problem</w:t>
      </w:r>
      <w:r>
        <w:rPr>
          <w:spacing w:val="-1"/>
          <w:sz w:val="30"/>
          <w:vertAlign w:val="baseline"/>
        </w:rPr>
        <w:t> </w:t>
      </w:r>
      <w:r>
        <w:rPr>
          <w:sz w:val="30"/>
          <w:vertAlign w:val="baseline"/>
        </w:rPr>
        <w:t>of</w:t>
      </w:r>
      <w:r>
        <w:rPr>
          <w:spacing w:val="-1"/>
          <w:sz w:val="30"/>
          <w:vertAlign w:val="baseline"/>
        </w:rPr>
        <w:t> </w:t>
      </w:r>
      <w:r>
        <w:rPr>
          <w:sz w:val="30"/>
          <w:vertAlign w:val="baseline"/>
        </w:rPr>
        <w:t>poor</w:t>
      </w:r>
      <w:r>
        <w:rPr>
          <w:spacing w:val="-1"/>
          <w:sz w:val="30"/>
          <w:vertAlign w:val="baseline"/>
        </w:rPr>
        <w:t> </w:t>
      </w:r>
      <w:r>
        <w:rPr>
          <w:sz w:val="30"/>
          <w:vertAlign w:val="baseline"/>
        </w:rPr>
        <w:t>response</w:t>
      </w:r>
      <w:r>
        <w:rPr>
          <w:spacing w:val="-1"/>
          <w:sz w:val="30"/>
          <w:vertAlign w:val="baseline"/>
        </w:rPr>
        <w:t> </w:t>
      </w:r>
      <w:r>
        <w:rPr>
          <w:sz w:val="30"/>
          <w:vertAlign w:val="baseline"/>
        </w:rPr>
        <w:t>is</w:t>
      </w:r>
      <w:r>
        <w:rPr>
          <w:spacing w:val="-1"/>
          <w:sz w:val="30"/>
          <w:vertAlign w:val="baseline"/>
        </w:rPr>
        <w:t> </w:t>
      </w:r>
      <w:r>
        <w:rPr>
          <w:sz w:val="30"/>
          <w:vertAlign w:val="baseline"/>
        </w:rPr>
        <w:t>discussed</w:t>
      </w:r>
      <w:r>
        <w:rPr>
          <w:spacing w:val="-1"/>
          <w:sz w:val="30"/>
          <w:vertAlign w:val="baseline"/>
        </w:rPr>
        <w:t> </w:t>
      </w:r>
      <w:r>
        <w:rPr>
          <w:sz w:val="30"/>
          <w:vertAlign w:val="baseline"/>
        </w:rPr>
        <w:t>near</w:t>
      </w:r>
      <w:r>
        <w:rPr>
          <w:spacing w:val="-1"/>
          <w:sz w:val="30"/>
          <w:vertAlign w:val="baseline"/>
        </w:rPr>
        <w:t> </w:t>
      </w:r>
      <w:r>
        <w:rPr>
          <w:sz w:val="30"/>
          <w:vertAlign w:val="baseline"/>
        </w:rPr>
        <w:t>the</w:t>
      </w:r>
      <w:r>
        <w:rPr>
          <w:spacing w:val="-1"/>
          <w:sz w:val="30"/>
          <w:vertAlign w:val="baseline"/>
        </w:rPr>
        <w:t> </w:t>
      </w:r>
      <w:r>
        <w:rPr>
          <w:sz w:val="30"/>
          <w:vertAlign w:val="baseline"/>
        </w:rPr>
        <w:t>end</w:t>
      </w:r>
      <w:r>
        <w:rPr>
          <w:spacing w:val="-1"/>
          <w:sz w:val="30"/>
          <w:vertAlign w:val="baseline"/>
        </w:rPr>
        <w:t> </w:t>
      </w:r>
      <w:r>
        <w:rPr>
          <w:sz w:val="30"/>
          <w:vertAlign w:val="baseline"/>
        </w:rPr>
        <w:t>of</w:t>
      </w:r>
      <w:r>
        <w:rPr>
          <w:spacing w:val="-1"/>
          <w:sz w:val="30"/>
          <w:vertAlign w:val="baseline"/>
        </w:rPr>
        <w:t> </w:t>
      </w:r>
      <w:r>
        <w:rPr>
          <w:sz w:val="30"/>
          <w:vertAlign w:val="baseline"/>
        </w:rPr>
        <w:t>this</w:t>
      </w:r>
      <w:r>
        <w:rPr>
          <w:spacing w:val="-1"/>
          <w:sz w:val="30"/>
          <w:vertAlign w:val="baseline"/>
        </w:rPr>
        <w:t> </w:t>
      </w:r>
      <w:r>
        <w:rPr>
          <w:sz w:val="30"/>
          <w:vertAlign w:val="baseline"/>
        </w:rPr>
        <w:t>section.</w:t>
      </w:r>
    </w:p>
    <w:p>
      <w:pPr>
        <w:pStyle w:val="BodyText"/>
        <w:spacing w:before="51"/>
        <w:ind w:left="0"/>
        <w:jc w:val="left"/>
      </w:pPr>
    </w:p>
    <w:p>
      <w:pPr>
        <w:spacing w:before="0"/>
        <w:ind w:left="99" w:right="0" w:firstLine="0"/>
        <w:jc w:val="both"/>
        <w:rPr>
          <w:rFonts w:ascii="Arial"/>
          <w:b/>
          <w:sz w:val="30"/>
        </w:rPr>
      </w:pPr>
      <w:r>
        <w:rPr>
          <w:rFonts w:ascii="Arial"/>
          <w:b/>
          <w:color w:val="2674AE"/>
          <w:sz w:val="30"/>
        </w:rPr>
        <w:t>Selective Estrogen Receptor </w:t>
      </w:r>
      <w:r>
        <w:rPr>
          <w:rFonts w:ascii="Arial"/>
          <w:b/>
          <w:color w:val="2674AE"/>
          <w:spacing w:val="-2"/>
          <w:sz w:val="30"/>
        </w:rPr>
        <w:t>Modulators</w:t>
      </w:r>
    </w:p>
    <w:p>
      <w:pPr>
        <w:spacing w:before="165"/>
        <w:ind w:left="99" w:right="0" w:firstLine="0"/>
        <w:jc w:val="left"/>
        <w:rPr>
          <w:rFonts w:ascii="Arial"/>
          <w:b/>
          <w:i/>
          <w:sz w:val="22"/>
        </w:rPr>
      </w:pPr>
      <w:r>
        <w:rPr>
          <w:rFonts w:ascii="Arial"/>
          <w:b/>
          <w:i/>
          <w:color w:val="A0234E"/>
          <w:spacing w:val="-2"/>
          <w:sz w:val="22"/>
        </w:rPr>
        <w:t>Raloxifene</w:t>
      </w:r>
    </w:p>
    <w:p>
      <w:pPr>
        <w:pStyle w:val="BodyText"/>
        <w:spacing w:line="249" w:lineRule="auto" w:before="138"/>
        <w:ind w:right="97"/>
      </w:pPr>
      <w:r>
        <w:rPr/>
        <w:t>Raloxifene is the prototype selective estrogen receptor modulator </w:t>
      </w:r>
      <w:r>
        <w:rPr/>
        <w:t>(SERM) that</w:t>
      </w:r>
      <w:r>
        <w:rPr>
          <w:spacing w:val="-3"/>
        </w:rPr>
        <w:t> </w:t>
      </w:r>
      <w:r>
        <w:rPr/>
        <w:t>is</w:t>
      </w:r>
      <w:r>
        <w:rPr>
          <w:spacing w:val="-3"/>
        </w:rPr>
        <w:t> </w:t>
      </w:r>
      <w:r>
        <w:rPr/>
        <w:t>commonly</w:t>
      </w:r>
      <w:r>
        <w:rPr>
          <w:spacing w:val="-3"/>
        </w:rPr>
        <w:t> </w:t>
      </w:r>
      <w:r>
        <w:rPr/>
        <w:t>utilized</w:t>
      </w:r>
      <w:r>
        <w:rPr>
          <w:spacing w:val="-3"/>
        </w:rPr>
        <w:t> </w:t>
      </w:r>
      <w:r>
        <w:rPr/>
        <w:t>in</w:t>
      </w:r>
      <w:r>
        <w:rPr>
          <w:spacing w:val="-3"/>
        </w:rPr>
        <w:t> </w:t>
      </w:r>
      <w:r>
        <w:rPr/>
        <w:t>the</w:t>
      </w:r>
      <w:r>
        <w:rPr>
          <w:spacing w:val="-3"/>
        </w:rPr>
        <w:t> </w:t>
      </w:r>
      <w:r>
        <w:rPr/>
        <w:t>management</w:t>
      </w:r>
      <w:r>
        <w:rPr>
          <w:spacing w:val="-3"/>
        </w:rPr>
        <w:t> </w:t>
      </w:r>
      <w:r>
        <w:rPr/>
        <w:t>of</w:t>
      </w:r>
      <w:r>
        <w:rPr>
          <w:spacing w:val="-3"/>
        </w:rPr>
        <w:t> </w:t>
      </w:r>
      <w:r>
        <w:rPr/>
        <w:t>osteoporosis.</w:t>
      </w:r>
      <w:r>
        <w:rPr>
          <w:spacing w:val="-4"/>
        </w:rPr>
        <w:t> </w:t>
      </w:r>
      <w:r>
        <w:rPr/>
        <w:t>SERMs</w:t>
      </w:r>
      <w:r>
        <w:rPr>
          <w:spacing w:val="-3"/>
        </w:rPr>
        <w:t> </w:t>
      </w:r>
      <w:r>
        <w:rPr/>
        <w:t>act</w:t>
      </w:r>
      <w:r>
        <w:rPr>
          <w:spacing w:val="-3"/>
        </w:rPr>
        <w:t> </w:t>
      </w:r>
      <w:r>
        <w:rPr/>
        <w:t>as agonists-antagonists at the level of estrogen receptors and can have</w:t>
      </w:r>
      <w:r>
        <w:rPr>
          <w:spacing w:val="40"/>
        </w:rPr>
        <w:t> </w:t>
      </w:r>
      <w:r>
        <w:rPr/>
        <w:t>selective actions on specific target tissues. Raloxifene produces favorable estrogen-like responses in bone and on lipids, but unlike estrogen, it is neutral at the level of the endometrium.</w:t>
      </w:r>
      <w:r>
        <w:rPr>
          <w:vertAlign w:val="superscript"/>
        </w:rPr>
        <w:t>167,168</w:t>
      </w:r>
      <w:r>
        <w:rPr>
          <w:vertAlign w:val="baseline"/>
        </w:rPr>
        <w:t> In contrast to estrogen, raloxifene also has proven efficacy in reducing risk for breast cancer. The changes in bone remodeling produced by raloxifene are consistent with an estrogen agonist effect.</w:t>
      </w:r>
      <w:r>
        <w:rPr>
          <w:vertAlign w:val="superscript"/>
        </w:rPr>
        <w:t>169</w:t>
      </w:r>
      <w:r>
        <w:rPr>
          <w:vertAlign w:val="baseline"/>
        </w:rPr>
        <w:t> As with estrogen therapy, discontinuation of raloxifene treatment is followed by a resumption of bone loss.</w:t>
      </w:r>
      <w:r>
        <w:rPr>
          <w:vertAlign w:val="superscript"/>
        </w:rPr>
        <w:t>170</w:t>
      </w:r>
    </w:p>
    <w:p>
      <w:pPr>
        <w:pStyle w:val="BodyText"/>
        <w:spacing w:line="249" w:lineRule="auto" w:before="12"/>
        <w:ind w:right="97" w:firstLine="450"/>
      </w:pPr>
      <w:r>
        <w:rPr/>
        <w:t>The increase in bone density associated with raloxifene, 60 mg daily, is less than that seen with bisphosphonate, alendronate.</w:t>
      </w:r>
      <w:r>
        <w:rPr>
          <w:vertAlign w:val="superscript"/>
        </w:rPr>
        <w:t>171-173</w:t>
      </w:r>
      <w:r>
        <w:rPr>
          <w:vertAlign w:val="baseline"/>
        </w:rPr>
        <w:t> The </w:t>
      </w:r>
      <w:r>
        <w:rPr>
          <w:vertAlign w:val="baseline"/>
        </w:rPr>
        <w:t>Multiple Outcomes of Raloxifene Evaluation (MORE) study of raloxifene administration to women who are osteoporotic reported results from 8 years of follow-up.</w:t>
      </w:r>
      <w:r>
        <w:rPr>
          <w:vertAlign w:val="superscript"/>
        </w:rPr>
        <w:t>174,175</w:t>
      </w:r>
      <w:r>
        <w:rPr>
          <w:vertAlign w:val="baseline"/>
        </w:rPr>
        <w:t> Women with low bone density </w:t>
      </w:r>
      <w:r>
        <w:rPr>
          <w:i/>
          <w:vertAlign w:val="baseline"/>
        </w:rPr>
        <w:t>T</w:t>
      </w:r>
      <w:r>
        <w:rPr>
          <w:vertAlign w:val="baseline"/>
        </w:rPr>
        <w:t>-scores had approximately a 50% reduction in vertebral fractures with raloxifene treatment; those with previous vertebral fractures had approximately a 35% reduction. However, </w:t>
      </w:r>
      <w:r>
        <w:rPr>
          <w:b/>
          <w:vertAlign w:val="baseline"/>
        </w:rPr>
        <w:t>there has been no evidence of a reduction in hip or wrist fractures with raloxifene use</w:t>
      </w:r>
      <w:r>
        <w:rPr>
          <w:vertAlign w:val="baseline"/>
        </w:rPr>
        <w:t>. Although the reduction in vertebral fractures is similar to that seen with alendronate and estrogen, why is there no decrease in hip fractures, despite a bone density response that is only slightly less than that associated with alendronate? There are at least two possible</w:t>
      </w:r>
      <w:r>
        <w:rPr>
          <w:spacing w:val="-5"/>
          <w:vertAlign w:val="baseline"/>
        </w:rPr>
        <w:t> </w:t>
      </w:r>
      <w:r>
        <w:rPr>
          <w:vertAlign w:val="baseline"/>
        </w:rPr>
        <w:t>explanations.</w:t>
      </w:r>
      <w:r>
        <w:rPr>
          <w:spacing w:val="-5"/>
          <w:vertAlign w:val="baseline"/>
        </w:rPr>
        <w:t> </w:t>
      </w:r>
      <w:r>
        <w:rPr>
          <w:vertAlign w:val="baseline"/>
        </w:rPr>
        <w:t>The</w:t>
      </w:r>
      <w:r>
        <w:rPr>
          <w:spacing w:val="-3"/>
          <w:vertAlign w:val="baseline"/>
        </w:rPr>
        <w:t> </w:t>
      </w:r>
      <w:r>
        <w:rPr>
          <w:vertAlign w:val="baseline"/>
        </w:rPr>
        <w:t>study</w:t>
      </w:r>
      <w:r>
        <w:rPr>
          <w:spacing w:val="-3"/>
          <w:vertAlign w:val="baseline"/>
        </w:rPr>
        <w:t> </w:t>
      </w:r>
      <w:r>
        <w:rPr>
          <w:vertAlign w:val="baseline"/>
        </w:rPr>
        <w:t>was</w:t>
      </w:r>
      <w:r>
        <w:rPr>
          <w:spacing w:val="-3"/>
          <w:vertAlign w:val="baseline"/>
        </w:rPr>
        <w:t> </w:t>
      </w:r>
      <w:r>
        <w:rPr>
          <w:vertAlign w:val="baseline"/>
        </w:rPr>
        <w:t>of</w:t>
      </w:r>
      <w:r>
        <w:rPr>
          <w:spacing w:val="-3"/>
          <w:vertAlign w:val="baseline"/>
        </w:rPr>
        <w:t> </w:t>
      </w:r>
      <w:r>
        <w:rPr>
          <w:vertAlign w:val="baseline"/>
        </w:rPr>
        <w:t>insufficient</w:t>
      </w:r>
      <w:r>
        <w:rPr>
          <w:spacing w:val="-3"/>
          <w:vertAlign w:val="baseline"/>
        </w:rPr>
        <w:t> </w:t>
      </w:r>
      <w:r>
        <w:rPr>
          <w:vertAlign w:val="baseline"/>
        </w:rPr>
        <w:t>duration</w:t>
      </w:r>
      <w:r>
        <w:rPr>
          <w:spacing w:val="-3"/>
          <w:vertAlign w:val="baseline"/>
        </w:rPr>
        <w:t> </w:t>
      </w:r>
      <w:r>
        <w:rPr>
          <w:vertAlign w:val="baseline"/>
        </w:rPr>
        <w:t>to</w:t>
      </w:r>
      <w:r>
        <w:rPr>
          <w:spacing w:val="-3"/>
          <w:vertAlign w:val="baseline"/>
        </w:rPr>
        <w:t> </w:t>
      </w:r>
      <w:r>
        <w:rPr>
          <w:vertAlign w:val="baseline"/>
        </w:rPr>
        <w:t>demonstrate an impact in a population that was relatively young for hip fractures. Or a weaker</w:t>
      </w:r>
      <w:r>
        <w:rPr>
          <w:spacing w:val="36"/>
          <w:vertAlign w:val="baseline"/>
        </w:rPr>
        <w:t> </w:t>
      </w:r>
      <w:r>
        <w:rPr>
          <w:vertAlign w:val="baseline"/>
        </w:rPr>
        <w:t>impact</w:t>
      </w:r>
      <w:r>
        <w:rPr>
          <w:spacing w:val="37"/>
          <w:vertAlign w:val="baseline"/>
        </w:rPr>
        <w:t> </w:t>
      </w:r>
      <w:r>
        <w:rPr>
          <w:vertAlign w:val="baseline"/>
        </w:rPr>
        <w:t>on</w:t>
      </w:r>
      <w:r>
        <w:rPr>
          <w:spacing w:val="36"/>
          <w:vertAlign w:val="baseline"/>
        </w:rPr>
        <w:t> </w:t>
      </w:r>
      <w:r>
        <w:rPr>
          <w:vertAlign w:val="baseline"/>
        </w:rPr>
        <w:t>bone</w:t>
      </w:r>
      <w:r>
        <w:rPr>
          <w:spacing w:val="37"/>
          <w:vertAlign w:val="baseline"/>
        </w:rPr>
        <w:t> </w:t>
      </w:r>
      <w:r>
        <w:rPr>
          <w:vertAlign w:val="baseline"/>
        </w:rPr>
        <w:t>density</w:t>
      </w:r>
      <w:r>
        <w:rPr>
          <w:spacing w:val="36"/>
          <w:vertAlign w:val="baseline"/>
        </w:rPr>
        <w:t> </w:t>
      </w:r>
      <w:r>
        <w:rPr>
          <w:vertAlign w:val="baseline"/>
        </w:rPr>
        <w:t>produces</w:t>
      </w:r>
      <w:r>
        <w:rPr>
          <w:spacing w:val="37"/>
          <w:vertAlign w:val="baseline"/>
        </w:rPr>
        <w:t> </w:t>
      </w:r>
      <w:r>
        <w:rPr>
          <w:vertAlign w:val="baseline"/>
        </w:rPr>
        <w:t>a</w:t>
      </w:r>
      <w:r>
        <w:rPr>
          <w:spacing w:val="36"/>
          <w:vertAlign w:val="baseline"/>
        </w:rPr>
        <w:t> </w:t>
      </w:r>
      <w:r>
        <w:rPr>
          <w:vertAlign w:val="baseline"/>
        </w:rPr>
        <w:t>lesser</w:t>
      </w:r>
      <w:r>
        <w:rPr>
          <w:spacing w:val="37"/>
          <w:vertAlign w:val="baseline"/>
        </w:rPr>
        <w:t> </w:t>
      </w:r>
      <w:r>
        <w:rPr>
          <w:vertAlign w:val="baseline"/>
        </w:rPr>
        <w:t>effect</w:t>
      </w:r>
      <w:r>
        <w:rPr>
          <w:spacing w:val="36"/>
          <w:vertAlign w:val="baseline"/>
        </w:rPr>
        <w:t> </w:t>
      </w:r>
      <w:r>
        <w:rPr>
          <w:vertAlign w:val="baseline"/>
        </w:rPr>
        <w:t>in</w:t>
      </w:r>
      <w:r>
        <w:rPr>
          <w:spacing w:val="37"/>
          <w:vertAlign w:val="baseline"/>
        </w:rPr>
        <w:t> </w:t>
      </w:r>
      <w:r>
        <w:rPr>
          <w:vertAlign w:val="baseline"/>
        </w:rPr>
        <w:t>the</w:t>
      </w:r>
      <w:r>
        <w:rPr>
          <w:spacing w:val="36"/>
          <w:vertAlign w:val="baseline"/>
        </w:rPr>
        <w:t> </w:t>
      </w:r>
      <w:r>
        <w:rPr>
          <w:vertAlign w:val="baseline"/>
        </w:rPr>
        <w:t>hip,</w:t>
      </w:r>
      <w:r>
        <w:rPr>
          <w:spacing w:val="37"/>
          <w:vertAlign w:val="baseline"/>
        </w:rPr>
        <w:t> </w:t>
      </w:r>
      <w:r>
        <w:rPr>
          <w:spacing w:val="-4"/>
          <w:vertAlign w:val="baseline"/>
        </w:rPr>
        <w:t>which</w:t>
      </w:r>
    </w:p>
    <w:p>
      <w:pPr>
        <w:pStyle w:val="BodyText"/>
        <w:spacing w:after="0" w:line="249" w:lineRule="auto"/>
        <w:sectPr>
          <w:pgSz w:w="12240" w:h="15840"/>
          <w:pgMar w:top="1380" w:bottom="280" w:left="1440" w:right="1440"/>
        </w:sectPr>
      </w:pPr>
    </w:p>
    <w:p>
      <w:pPr>
        <w:pStyle w:val="BodyText"/>
        <w:spacing w:line="249" w:lineRule="auto"/>
        <w:ind w:right="97"/>
      </w:pPr>
      <w:r>
        <w:rPr/>
        <w:t>has a combination of cortical and trabecular bone that is less </w:t>
      </w:r>
      <w:r>
        <w:rPr/>
        <w:t>responsive compared with the spine with its large content of trabecular bone.</w:t>
      </w:r>
    </w:p>
    <w:p>
      <w:pPr>
        <w:spacing w:line="249" w:lineRule="auto" w:before="2"/>
        <w:ind w:left="99" w:right="98" w:firstLine="450"/>
        <w:jc w:val="both"/>
        <w:rPr>
          <w:b/>
          <w:sz w:val="30"/>
        </w:rPr>
      </w:pPr>
      <w:r>
        <w:rPr>
          <w:sz w:val="30"/>
        </w:rPr>
        <w:t>A reduction in vertebral fractures with raloxifene that is equivalent to that with estrogen or bisphosphonates despite a lesser increase in bone density is strong evidence that fracture risk and reduction are not simply reflections just of bone density. Thus, a few percentage point </w:t>
      </w:r>
      <w:r>
        <w:rPr>
          <w:sz w:val="30"/>
        </w:rPr>
        <w:t>differences comparing bone densities between two therapies do not translate into a difference in fracture protection. For this reason, fracture data are</w:t>
      </w:r>
      <w:r>
        <w:rPr>
          <w:spacing w:val="40"/>
          <w:sz w:val="30"/>
        </w:rPr>
        <w:t> </w:t>
      </w:r>
      <w:r>
        <w:rPr>
          <w:sz w:val="30"/>
        </w:rPr>
        <w:t>important, and we cannot conclude that small differences predict lesser or better performances in fracture protection. Another example is the greater gain in bone density associated with combination treatment with alendronate and estrogen; a greater gain in bone density does not</w:t>
      </w:r>
      <w:r>
        <w:rPr>
          <w:spacing w:val="40"/>
          <w:sz w:val="30"/>
        </w:rPr>
        <w:t> </w:t>
      </w:r>
      <w:r>
        <w:rPr>
          <w:sz w:val="30"/>
        </w:rPr>
        <w:t>necessarily mean a greater protection against fractures. Similar to estrogen, use of raloxifene has been associated with a small but real risk for thrombotic events. </w:t>
      </w:r>
      <w:r>
        <w:rPr>
          <w:b/>
          <w:sz w:val="30"/>
        </w:rPr>
        <w:t>In our view, raloxifene is an option for prevention of osteoporosis-related spinal fractures, especially for those who are deemed at an enhanced risk for both breast cancer and spine fracture risk. We recommend, however, periodic evaluation of bone density in the hip, as if ongoing site-specific bone loss continues despite compliance with raloxifene, patient and clinician should consider another treatment option that offers broader skeletal benefits at the level of the hip as well as the spine.</w:t>
      </w:r>
    </w:p>
    <w:p>
      <w:pPr>
        <w:spacing w:before="323"/>
        <w:ind w:left="99" w:right="0" w:firstLine="0"/>
        <w:jc w:val="left"/>
        <w:rPr>
          <w:rFonts w:ascii="Arial"/>
          <w:b/>
          <w:i/>
          <w:sz w:val="22"/>
        </w:rPr>
      </w:pPr>
      <w:r>
        <w:rPr>
          <w:rFonts w:ascii="Arial"/>
          <w:b/>
          <w:i/>
          <w:color w:val="A0234E"/>
          <w:spacing w:val="-2"/>
          <w:sz w:val="22"/>
        </w:rPr>
        <w:t>Bazedoxifene</w:t>
      </w:r>
    </w:p>
    <w:p>
      <w:pPr>
        <w:pStyle w:val="BodyText"/>
        <w:spacing w:line="249" w:lineRule="auto" w:before="124"/>
        <w:ind w:right="97"/>
      </w:pPr>
      <w:r>
        <w:rPr/>
        <w:t>Bazedoxifene acetate (BZA) is a third-generation SERM, with tissue-specific estrogen agonist-antagonist effects. It has favorable effects on </w:t>
      </w:r>
      <w:r>
        <w:rPr/>
        <w:t>bone and lipids, but does not affect the endometrium or the breast. BZA in a dose of 20 mg daily decreased the risk of all clinical fractures in a randomized clinical trial, with a potency comparable to other antiresorptive agents in postmenopausal women at high risk for fractures.</w:t>
      </w:r>
      <w:r>
        <w:rPr>
          <w:vertAlign w:val="superscript"/>
        </w:rPr>
        <w:t>176,177</w:t>
      </w:r>
      <w:r>
        <w:rPr>
          <w:vertAlign w:val="baseline"/>
        </w:rPr>
        <w:t> In a subgroup of women at higher risk for fractures, BZA had a reduced risk of nonvertebral fractures (50% reduction with 20 mg), compared with </w:t>
      </w:r>
      <w:r>
        <w:rPr>
          <w:i/>
          <w:vertAlign w:val="baseline"/>
        </w:rPr>
        <w:t>both </w:t>
      </w:r>
      <w:r>
        <w:rPr>
          <w:vertAlign w:val="baseline"/>
        </w:rPr>
        <w:t>raloxifene and placebo. The only adverse event that differed with treatment was an</w:t>
      </w:r>
      <w:r>
        <w:rPr>
          <w:spacing w:val="40"/>
          <w:vertAlign w:val="baseline"/>
        </w:rPr>
        <w:t> </w:t>
      </w:r>
      <w:r>
        <w:rPr>
          <w:vertAlign w:val="baseline"/>
        </w:rPr>
        <w:t>increase in venous thrombosis with treatment compared with placebo. The results of this trial indicate that the effect of BZA on bone should be comparable to that of estrogen and bisphosphonates.</w:t>
      </w:r>
    </w:p>
    <w:p>
      <w:pPr>
        <w:pStyle w:val="BodyText"/>
        <w:spacing w:after="0" w:line="249" w:lineRule="auto"/>
        <w:sectPr>
          <w:pgSz w:w="12240" w:h="15840"/>
          <w:pgMar w:top="1380" w:bottom="280" w:left="1440" w:right="1440"/>
        </w:sectPr>
      </w:pPr>
    </w:p>
    <w:p>
      <w:pPr>
        <w:spacing w:line="249" w:lineRule="auto" w:before="65"/>
        <w:ind w:left="99" w:right="99" w:firstLine="450"/>
        <w:jc w:val="both"/>
        <w:rPr>
          <w:b/>
          <w:sz w:val="30"/>
        </w:rPr>
      </w:pPr>
      <w:r>
        <w:rPr>
          <w:sz w:val="30"/>
        </w:rPr>
        <w:t>The reduction of nonvertebral fractures with BZA compared </w:t>
      </w:r>
      <w:r>
        <w:rPr>
          <w:sz w:val="30"/>
        </w:rPr>
        <w:t>with raloxifene should not be ignored. We have known for some time that even with 8 years of follow-up, raloxifene has no impact on the risk of hip fractures. This is likely because raloxifene is less potent, and thus the hip with a mixture of cortical and trabecular bone is more resistant to raloxifene’s effects, compared with the spinal column that is composed of sensitive, trabecular bone. As discussed in chapter 22, BZA partnered with conjugated equine estrogen is the first tissue-selective estrogen complex (TSEC) that is available in the United States for menopause management. The idea is to gain the benefits of estrogen (BZA has little impact on hot flushes), protect the endometrium and possibly the breast, and enhance some actions of estrogen, such as a reduction in fractures. This approach to postmenopausal hormone therapy has eliminated a concomitant need for progestational agents in hormone-using postmenopausal women with an intact uterus. </w:t>
      </w:r>
      <w:r>
        <w:rPr>
          <w:b/>
          <w:sz w:val="30"/>
        </w:rPr>
        <w:t>In our opinion, the combination of BZA and estrogen is a promising option for reducing the risk of osteoporosis; its efficacy in reducing fracture risk, however, remains unclear, and future studies are awaited to determine how risk reduction benefit of TSEC against fractures, if any, compares to that of traditional hormone therapy.</w:t>
      </w:r>
    </w:p>
    <w:p>
      <w:pPr>
        <w:pStyle w:val="BodyText"/>
        <w:spacing w:before="67"/>
        <w:ind w:left="0"/>
        <w:jc w:val="left"/>
        <w:rPr>
          <w:b/>
        </w:rPr>
      </w:pPr>
    </w:p>
    <w:p>
      <w:pPr>
        <w:spacing w:before="0"/>
        <w:ind w:left="99" w:right="0" w:firstLine="0"/>
        <w:jc w:val="both"/>
        <w:rPr>
          <w:rFonts w:ascii="Arial"/>
          <w:b/>
          <w:sz w:val="30"/>
        </w:rPr>
      </w:pPr>
      <w:r>
        <w:rPr>
          <w:rFonts w:ascii="Arial"/>
          <w:b/>
          <w:color w:val="2674AE"/>
          <w:sz w:val="30"/>
        </w:rPr>
        <w:t>Calcium </w:t>
      </w:r>
      <w:r>
        <w:rPr>
          <w:rFonts w:ascii="Arial"/>
          <w:b/>
          <w:color w:val="2674AE"/>
          <w:spacing w:val="-2"/>
          <w:sz w:val="30"/>
        </w:rPr>
        <w:t>Supplementation</w:t>
      </w:r>
    </w:p>
    <w:p>
      <w:pPr>
        <w:pStyle w:val="BodyText"/>
        <w:spacing w:line="249" w:lineRule="auto" w:before="166"/>
        <w:ind w:right="98"/>
      </w:pPr>
      <w:r>
        <w:rPr/>
        <w:t>There has been considerable confusion over whether calcium supplementation by itself can offer protection against postmenopausal osteoporosis. This is partly due to the fact that calcium studies were performed in women who were in the very early postmenopausal years, in the midst of the rapid loss of calcium associated with estrogen deficiency, and</w:t>
      </w:r>
      <w:r>
        <w:rPr>
          <w:spacing w:val="-2"/>
        </w:rPr>
        <w:t> </w:t>
      </w:r>
      <w:r>
        <w:rPr/>
        <w:t>this</w:t>
      </w:r>
      <w:r>
        <w:rPr>
          <w:spacing w:val="-2"/>
        </w:rPr>
        <w:t> </w:t>
      </w:r>
      <w:r>
        <w:rPr/>
        <w:t>estrogen</w:t>
      </w:r>
      <w:r>
        <w:rPr>
          <w:spacing w:val="-2"/>
        </w:rPr>
        <w:t> </w:t>
      </w:r>
      <w:r>
        <w:rPr/>
        <w:t>effect</w:t>
      </w:r>
      <w:r>
        <w:rPr>
          <w:spacing w:val="-2"/>
        </w:rPr>
        <w:t> </w:t>
      </w:r>
      <w:r>
        <w:rPr/>
        <w:t>overwhelmed</w:t>
      </w:r>
      <w:r>
        <w:rPr>
          <w:spacing w:val="-2"/>
        </w:rPr>
        <w:t> </w:t>
      </w:r>
      <w:r>
        <w:rPr/>
        <w:t>any</w:t>
      </w:r>
      <w:r>
        <w:rPr>
          <w:spacing w:val="-2"/>
        </w:rPr>
        <w:t> </w:t>
      </w:r>
      <w:r>
        <w:rPr/>
        <w:t>responses</w:t>
      </w:r>
      <w:r>
        <w:rPr>
          <w:spacing w:val="-2"/>
        </w:rPr>
        <w:t> </w:t>
      </w:r>
      <w:r>
        <w:rPr/>
        <w:t>to</w:t>
      </w:r>
      <w:r>
        <w:rPr>
          <w:spacing w:val="-2"/>
        </w:rPr>
        <w:t> </w:t>
      </w:r>
      <w:r>
        <w:rPr/>
        <w:t>calcium.</w:t>
      </w:r>
      <w:r>
        <w:rPr>
          <w:spacing w:val="-2"/>
        </w:rPr>
        <w:t> </w:t>
      </w:r>
      <w:r>
        <w:rPr/>
        <w:t>Studies</w:t>
      </w:r>
      <w:r>
        <w:rPr>
          <w:spacing w:val="-3"/>
        </w:rPr>
        <w:t> </w:t>
      </w:r>
      <w:r>
        <w:rPr/>
        <w:t>that involved women beyond this early stage of the postmenopausal period indicated a positive impact of calcium supplementation.</w:t>
      </w:r>
      <w:r>
        <w:rPr>
          <w:vertAlign w:val="superscript"/>
        </w:rPr>
        <w:t>178-181</w:t>
      </w:r>
    </w:p>
    <w:p>
      <w:pPr>
        <w:pStyle w:val="BodyText"/>
        <w:spacing w:line="249" w:lineRule="auto" w:before="10"/>
        <w:ind w:right="98" w:firstLine="450"/>
      </w:pPr>
      <w:r>
        <w:rPr/>
        <w:t>Calcium absorption decreases with age because of a decrease in biologically active vitamin D and becomes significantly impaired after menopause. A positive calcium balance is mandatory to achieve </w:t>
      </w:r>
      <w:r>
        <w:rPr/>
        <w:t>adequate prevention against osteoporosis. Calcium supplementation (1,000 mg/d) reduces bone loss and decreases fractures, especially in individuals with</w:t>
      </w:r>
      <w:r>
        <w:rPr>
          <w:spacing w:val="40"/>
        </w:rPr>
        <w:t> </w:t>
      </w:r>
      <w:r>
        <w:rPr/>
        <w:t>low</w:t>
      </w:r>
      <w:r>
        <w:rPr>
          <w:spacing w:val="62"/>
        </w:rPr>
        <w:t> </w:t>
      </w:r>
      <w:r>
        <w:rPr/>
        <w:t>daily</w:t>
      </w:r>
      <w:r>
        <w:rPr>
          <w:spacing w:val="62"/>
        </w:rPr>
        <w:t> </w:t>
      </w:r>
      <w:r>
        <w:rPr/>
        <w:t>intakes.</w:t>
      </w:r>
      <w:r>
        <w:rPr>
          <w:vertAlign w:val="superscript"/>
        </w:rPr>
        <w:t>182,183</w:t>
      </w:r>
      <w:r>
        <w:rPr>
          <w:spacing w:val="70"/>
          <w:vertAlign w:val="baseline"/>
        </w:rPr>
        <w:t> </w:t>
      </w:r>
      <w:r>
        <w:rPr>
          <w:vertAlign w:val="baseline"/>
        </w:rPr>
        <w:t>Estrogen</w:t>
      </w:r>
      <w:r>
        <w:rPr>
          <w:spacing w:val="70"/>
          <w:vertAlign w:val="baseline"/>
        </w:rPr>
        <w:t> </w:t>
      </w:r>
      <w:r>
        <w:rPr>
          <w:vertAlign w:val="baseline"/>
        </w:rPr>
        <w:t>acts</w:t>
      </w:r>
      <w:r>
        <w:rPr>
          <w:spacing w:val="70"/>
          <w:vertAlign w:val="baseline"/>
        </w:rPr>
        <w:t> </w:t>
      </w:r>
      <w:r>
        <w:rPr>
          <w:vertAlign w:val="baseline"/>
        </w:rPr>
        <w:t>to</w:t>
      </w:r>
      <w:r>
        <w:rPr>
          <w:spacing w:val="70"/>
          <w:vertAlign w:val="baseline"/>
        </w:rPr>
        <w:t> </w:t>
      </w:r>
      <w:r>
        <w:rPr>
          <w:vertAlign w:val="baseline"/>
        </w:rPr>
        <w:t>improve</w:t>
      </w:r>
      <w:r>
        <w:rPr>
          <w:spacing w:val="70"/>
          <w:vertAlign w:val="baseline"/>
        </w:rPr>
        <w:t> </w:t>
      </w:r>
      <w:r>
        <w:rPr>
          <w:vertAlign w:val="baseline"/>
        </w:rPr>
        <w:t>calcium</w:t>
      </w:r>
      <w:r>
        <w:rPr>
          <w:spacing w:val="70"/>
          <w:vertAlign w:val="baseline"/>
        </w:rPr>
        <w:t> </w:t>
      </w:r>
      <w:r>
        <w:rPr>
          <w:vertAlign w:val="baseline"/>
        </w:rPr>
        <w:t>absorption</w:t>
      </w:r>
      <w:r>
        <w:rPr>
          <w:spacing w:val="70"/>
          <w:vertAlign w:val="baseline"/>
        </w:rPr>
        <w:t> </w:t>
      </w:r>
      <w:r>
        <w:rPr>
          <w:spacing w:val="-7"/>
          <w:vertAlign w:val="baseline"/>
        </w:rPr>
        <w:t>by</w:t>
      </w:r>
    </w:p>
    <w:p>
      <w:pPr>
        <w:pStyle w:val="BodyText"/>
        <w:spacing w:after="0" w:line="249" w:lineRule="auto"/>
        <w:sectPr>
          <w:pgSz w:w="12240" w:h="15840"/>
          <w:pgMar w:top="1380" w:bottom="280" w:left="1440" w:right="1440"/>
        </w:sectPr>
      </w:pPr>
    </w:p>
    <w:p>
      <w:pPr>
        <w:pStyle w:val="BodyText"/>
        <w:spacing w:line="249" w:lineRule="auto"/>
        <w:jc w:val="left"/>
      </w:pPr>
      <w:r>
        <w:rPr/>
        <w:t>increasing the levels of 1,25-dihydroxyvitamin D and makes it possible </w:t>
      </w:r>
      <w:r>
        <w:rPr/>
        <w:t>to</w:t>
      </w:r>
      <w:r>
        <w:rPr>
          <w:spacing w:val="40"/>
        </w:rPr>
        <w:t> </w:t>
      </w:r>
      <w:r>
        <w:rPr/>
        <w:t>utilize effective supplemental calcium in lower doses (</w:t>
      </w:r>
      <w:r>
        <w:rPr>
          <w:b/>
          <w:color w:val="256E60"/>
        </w:rPr>
        <w:t>Figure 23.11</w:t>
      </w:r>
      <w:r>
        <w:rPr/>
        <w:t>).</w:t>
      </w:r>
    </w:p>
    <w:p>
      <w:pPr>
        <w:pStyle w:val="BodyText"/>
        <w:spacing w:before="0"/>
        <w:ind w:left="0"/>
        <w:jc w:val="left"/>
        <w:rPr>
          <w:sz w:val="20"/>
        </w:rPr>
      </w:pPr>
    </w:p>
    <w:p>
      <w:pPr>
        <w:pStyle w:val="BodyText"/>
        <w:spacing w:before="113"/>
        <w:ind w:left="0"/>
        <w:jc w:val="left"/>
        <w:rPr>
          <w:sz w:val="20"/>
        </w:rPr>
      </w:pPr>
      <w:r>
        <w:rPr>
          <w:sz w:val="20"/>
        </w:rPr>
        <mc:AlternateContent>
          <mc:Choice Requires="wps">
            <w:drawing>
              <wp:anchor distT="0" distB="0" distL="0" distR="0" allowOverlap="1" layoutInCell="1" locked="0" behindDoc="1" simplePos="0" relativeHeight="487607296">
                <wp:simplePos x="0" y="0"/>
                <wp:positionH relativeFrom="page">
                  <wp:posOffset>981075</wp:posOffset>
                </wp:positionH>
                <wp:positionV relativeFrom="paragraph">
                  <wp:posOffset>233339</wp:posOffset>
                </wp:positionV>
                <wp:extent cx="5810250" cy="2190750"/>
                <wp:effectExtent l="0" t="0" r="0" b="0"/>
                <wp:wrapTopAndBottom/>
                <wp:docPr id="72" name="Group 72"/>
                <wp:cNvGraphicFramePr>
                  <a:graphicFrameLocks/>
                </wp:cNvGraphicFramePr>
                <a:graphic>
                  <a:graphicData uri="http://schemas.microsoft.com/office/word/2010/wordprocessingGroup">
                    <wpg:wgp>
                      <wpg:cNvPr id="72" name="Group 72"/>
                      <wpg:cNvGrpSpPr/>
                      <wpg:grpSpPr>
                        <a:xfrm>
                          <a:off x="0" y="0"/>
                          <a:ext cx="5810250" cy="2190750"/>
                          <a:chExt cx="5810250" cy="2190750"/>
                        </a:xfrm>
                      </wpg:grpSpPr>
                      <wps:wsp>
                        <wps:cNvPr id="73" name="Graphic 73"/>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D5E699"/>
                          </a:solidFill>
                        </wps:spPr>
                        <wps:bodyPr wrap="square" lIns="0" tIns="0" rIns="0" bIns="0" rtlCol="0">
                          <a:prstTxWarp prst="textNoShape">
                            <a:avLst/>
                          </a:prstTxWarp>
                          <a:noAutofit/>
                        </wps:bodyPr>
                      </wps:wsp>
                      <wps:wsp>
                        <wps:cNvPr id="74" name="Graphic 74"/>
                        <wps:cNvSpPr/>
                        <wps:spPr>
                          <a:xfrm>
                            <a:off x="0" y="742949"/>
                            <a:ext cx="5810250" cy="1447800"/>
                          </a:xfrm>
                          <a:custGeom>
                            <a:avLst/>
                            <a:gdLst/>
                            <a:ahLst/>
                            <a:cxnLst/>
                            <a:rect l="l" t="t" r="r" b="b"/>
                            <a:pathLst>
                              <a:path w="5810250" h="1447800">
                                <a:moveTo>
                                  <a:pt x="0" y="1447799"/>
                                </a:moveTo>
                                <a:lnTo>
                                  <a:pt x="5810249" y="1447799"/>
                                </a:lnTo>
                                <a:lnTo>
                                  <a:pt x="5810249" y="0"/>
                                </a:lnTo>
                                <a:lnTo>
                                  <a:pt x="0" y="0"/>
                                </a:lnTo>
                                <a:lnTo>
                                  <a:pt x="0" y="1447799"/>
                                </a:lnTo>
                                <a:close/>
                              </a:path>
                            </a:pathLst>
                          </a:custGeom>
                          <a:solidFill>
                            <a:srgbClr val="E9F1CD"/>
                          </a:solidFill>
                        </wps:spPr>
                        <wps:bodyPr wrap="square" lIns="0" tIns="0" rIns="0" bIns="0" rtlCol="0">
                          <a:prstTxWarp prst="textNoShape">
                            <a:avLst/>
                          </a:prstTxWarp>
                          <a:noAutofit/>
                        </wps:bodyPr>
                      </wps:wsp>
                      <wps:wsp>
                        <wps:cNvPr id="75" name="Graphic 75"/>
                        <wps:cNvSpPr/>
                        <wps:spPr>
                          <a:xfrm>
                            <a:off x="0" y="57149"/>
                            <a:ext cx="5810250" cy="685800"/>
                          </a:xfrm>
                          <a:custGeom>
                            <a:avLst/>
                            <a:gdLst/>
                            <a:ahLst/>
                            <a:cxnLst/>
                            <a:rect l="l" t="t" r="r" b="b"/>
                            <a:pathLst>
                              <a:path w="5810250" h="685800">
                                <a:moveTo>
                                  <a:pt x="5810249" y="685799"/>
                                </a:moveTo>
                                <a:lnTo>
                                  <a:pt x="0" y="685799"/>
                                </a:lnTo>
                                <a:lnTo>
                                  <a:pt x="0" y="0"/>
                                </a:lnTo>
                                <a:lnTo>
                                  <a:pt x="5810249" y="0"/>
                                </a:lnTo>
                                <a:lnTo>
                                  <a:pt x="5810249" y="685799"/>
                                </a:lnTo>
                                <a:close/>
                              </a:path>
                            </a:pathLst>
                          </a:custGeom>
                          <a:solidFill>
                            <a:srgbClr val="2B816F"/>
                          </a:solidFill>
                        </wps:spPr>
                        <wps:bodyPr wrap="square" lIns="0" tIns="0" rIns="0" bIns="0" rtlCol="0">
                          <a:prstTxWarp prst="textNoShape">
                            <a:avLst/>
                          </a:prstTxWarp>
                          <a:noAutofit/>
                        </wps:bodyPr>
                      </wps:wsp>
                      <wps:wsp>
                        <wps:cNvPr id="76" name="Graphic 76"/>
                        <wps:cNvSpPr/>
                        <wps:spPr>
                          <a:xfrm>
                            <a:off x="209549" y="228611"/>
                            <a:ext cx="371475" cy="57150"/>
                          </a:xfrm>
                          <a:custGeom>
                            <a:avLst/>
                            <a:gdLst/>
                            <a:ahLst/>
                            <a:cxnLst/>
                            <a:rect l="l" t="t" r="r" b="b"/>
                            <a:pathLst>
                              <a:path w="371475" h="57150">
                                <a:moveTo>
                                  <a:pt x="32364" y="57130"/>
                                </a:moveTo>
                                <a:lnTo>
                                  <a:pt x="24785" y="57130"/>
                                </a:lnTo>
                                <a:lnTo>
                                  <a:pt x="21140" y="56407"/>
                                </a:lnTo>
                                <a:lnTo>
                                  <a:pt x="0" y="32346"/>
                                </a:lnTo>
                                <a:lnTo>
                                  <a:pt x="0" y="24764"/>
                                </a:lnTo>
                                <a:lnTo>
                                  <a:pt x="24785" y="0"/>
                                </a:lnTo>
                                <a:lnTo>
                                  <a:pt x="32364" y="0"/>
                                </a:lnTo>
                                <a:lnTo>
                                  <a:pt x="57149" y="24764"/>
                                </a:lnTo>
                                <a:lnTo>
                                  <a:pt x="57149" y="32346"/>
                                </a:lnTo>
                                <a:lnTo>
                                  <a:pt x="32364" y="57130"/>
                                </a:lnTo>
                                <a:close/>
                              </a:path>
                              <a:path w="371475" h="57150">
                                <a:moveTo>
                                  <a:pt x="137044" y="57130"/>
                                </a:moveTo>
                                <a:lnTo>
                                  <a:pt x="129465" y="57130"/>
                                </a:lnTo>
                                <a:lnTo>
                                  <a:pt x="125820" y="56407"/>
                                </a:lnTo>
                                <a:lnTo>
                                  <a:pt x="104679" y="32346"/>
                                </a:lnTo>
                                <a:lnTo>
                                  <a:pt x="104679" y="24764"/>
                                </a:lnTo>
                                <a:lnTo>
                                  <a:pt x="129465" y="0"/>
                                </a:lnTo>
                                <a:lnTo>
                                  <a:pt x="137044" y="0"/>
                                </a:lnTo>
                                <a:lnTo>
                                  <a:pt x="161829" y="24764"/>
                                </a:lnTo>
                                <a:lnTo>
                                  <a:pt x="161829" y="32346"/>
                                </a:lnTo>
                                <a:lnTo>
                                  <a:pt x="137044" y="57130"/>
                                </a:lnTo>
                                <a:close/>
                              </a:path>
                              <a:path w="371475" h="57150">
                                <a:moveTo>
                                  <a:pt x="241723" y="57130"/>
                                </a:moveTo>
                                <a:lnTo>
                                  <a:pt x="234145" y="57130"/>
                                </a:lnTo>
                                <a:lnTo>
                                  <a:pt x="230500" y="56407"/>
                                </a:lnTo>
                                <a:lnTo>
                                  <a:pt x="209359" y="32346"/>
                                </a:lnTo>
                                <a:lnTo>
                                  <a:pt x="209359" y="24764"/>
                                </a:lnTo>
                                <a:lnTo>
                                  <a:pt x="234145" y="0"/>
                                </a:lnTo>
                                <a:lnTo>
                                  <a:pt x="241723" y="0"/>
                                </a:lnTo>
                                <a:lnTo>
                                  <a:pt x="266509" y="24764"/>
                                </a:lnTo>
                                <a:lnTo>
                                  <a:pt x="266509" y="32346"/>
                                </a:lnTo>
                                <a:lnTo>
                                  <a:pt x="241723" y="57130"/>
                                </a:lnTo>
                                <a:close/>
                              </a:path>
                              <a:path w="371475" h="57150">
                                <a:moveTo>
                                  <a:pt x="346403" y="57130"/>
                                </a:moveTo>
                                <a:lnTo>
                                  <a:pt x="338824" y="57130"/>
                                </a:lnTo>
                                <a:lnTo>
                                  <a:pt x="335179" y="56407"/>
                                </a:lnTo>
                                <a:lnTo>
                                  <a:pt x="314039" y="32346"/>
                                </a:lnTo>
                                <a:lnTo>
                                  <a:pt x="314039" y="24764"/>
                                </a:lnTo>
                                <a:lnTo>
                                  <a:pt x="338824" y="0"/>
                                </a:lnTo>
                                <a:lnTo>
                                  <a:pt x="346403" y="0"/>
                                </a:lnTo>
                                <a:lnTo>
                                  <a:pt x="371189" y="24764"/>
                                </a:lnTo>
                                <a:lnTo>
                                  <a:pt x="371189" y="32346"/>
                                </a:lnTo>
                                <a:lnTo>
                                  <a:pt x="346403" y="57130"/>
                                </a:lnTo>
                                <a:close/>
                              </a:path>
                            </a:pathLst>
                          </a:custGeom>
                          <a:solidFill>
                            <a:srgbClr val="D0E399"/>
                          </a:solidFill>
                        </wps:spPr>
                        <wps:bodyPr wrap="square" lIns="0" tIns="0" rIns="0" bIns="0" rtlCol="0">
                          <a:prstTxWarp prst="textNoShape">
                            <a:avLst/>
                          </a:prstTxWarp>
                          <a:noAutofit/>
                        </wps:bodyPr>
                      </wps:wsp>
                      <wps:wsp>
                        <wps:cNvPr id="77" name="Graphic 77"/>
                        <wps:cNvSpPr/>
                        <wps:spPr>
                          <a:xfrm>
                            <a:off x="133337" y="1000135"/>
                            <a:ext cx="47625" cy="409575"/>
                          </a:xfrm>
                          <a:custGeom>
                            <a:avLst/>
                            <a:gdLst/>
                            <a:ahLst/>
                            <a:cxnLst/>
                            <a:rect l="l" t="t" r="r" b="b"/>
                            <a:pathLst>
                              <a:path w="47625" h="409575">
                                <a:moveTo>
                                  <a:pt x="47625" y="382600"/>
                                </a:moveTo>
                                <a:lnTo>
                                  <a:pt x="26974" y="361950"/>
                                </a:lnTo>
                                <a:lnTo>
                                  <a:pt x="20662" y="361950"/>
                                </a:lnTo>
                                <a:lnTo>
                                  <a:pt x="0" y="382600"/>
                                </a:lnTo>
                                <a:lnTo>
                                  <a:pt x="0" y="388899"/>
                                </a:lnTo>
                                <a:lnTo>
                                  <a:pt x="20662" y="409549"/>
                                </a:lnTo>
                                <a:lnTo>
                                  <a:pt x="26974" y="409549"/>
                                </a:lnTo>
                                <a:lnTo>
                                  <a:pt x="47625" y="388899"/>
                                </a:lnTo>
                                <a:lnTo>
                                  <a:pt x="47625" y="385762"/>
                                </a:lnTo>
                                <a:lnTo>
                                  <a:pt x="47625" y="382600"/>
                                </a:lnTo>
                                <a:close/>
                              </a:path>
                              <a:path w="47625" h="409575">
                                <a:moveTo>
                                  <a:pt x="47625" y="20624"/>
                                </a:moveTo>
                                <a:lnTo>
                                  <a:pt x="26974" y="0"/>
                                </a:lnTo>
                                <a:lnTo>
                                  <a:pt x="20662" y="0"/>
                                </a:lnTo>
                                <a:lnTo>
                                  <a:pt x="0" y="20624"/>
                                </a:lnTo>
                                <a:lnTo>
                                  <a:pt x="0" y="26949"/>
                                </a:lnTo>
                                <a:lnTo>
                                  <a:pt x="20662" y="47599"/>
                                </a:lnTo>
                                <a:lnTo>
                                  <a:pt x="26974" y="47599"/>
                                </a:lnTo>
                                <a:lnTo>
                                  <a:pt x="47625" y="26949"/>
                                </a:lnTo>
                                <a:lnTo>
                                  <a:pt x="47625" y="23812"/>
                                </a:lnTo>
                                <a:lnTo>
                                  <a:pt x="47625" y="20624"/>
                                </a:lnTo>
                                <a:close/>
                              </a:path>
                            </a:pathLst>
                          </a:custGeom>
                          <a:solidFill>
                            <a:srgbClr val="2B816F"/>
                          </a:solidFill>
                        </wps:spPr>
                        <wps:bodyPr wrap="square" lIns="0" tIns="0" rIns="0" bIns="0" rtlCol="0">
                          <a:prstTxWarp prst="textNoShape">
                            <a:avLst/>
                          </a:prstTxWarp>
                          <a:noAutofit/>
                        </wps:bodyPr>
                      </wps:wsp>
                      <wps:wsp>
                        <wps:cNvPr id="78" name="Textbox 78"/>
                        <wps:cNvSpPr txBox="1"/>
                        <wps:spPr>
                          <a:xfrm>
                            <a:off x="0" y="742949"/>
                            <a:ext cx="5810250" cy="1447800"/>
                          </a:xfrm>
                          <a:prstGeom prst="rect">
                            <a:avLst/>
                          </a:prstGeom>
                        </wps:spPr>
                        <wps:txbx>
                          <w:txbxContent>
                            <w:p>
                              <w:pPr>
                                <w:spacing w:line="240" w:lineRule="auto" w:before="51"/>
                                <w:rPr>
                                  <w:sz w:val="22"/>
                                </w:rPr>
                              </w:pPr>
                            </w:p>
                            <w:p>
                              <w:pPr>
                                <w:spacing w:line="242" w:lineRule="auto" w:before="0"/>
                                <w:ind w:left="444" w:right="756" w:firstLine="0"/>
                                <w:jc w:val="both"/>
                                <w:rPr>
                                  <w:position w:val="9"/>
                                  <w:sz w:val="17"/>
                                </w:rPr>
                              </w:pPr>
                              <w:r>
                                <w:rPr>
                                  <w:sz w:val="22"/>
                                </w:rPr>
                                <w:t>In order to remain in zero calcium balance, postmenopausal women require a total </w:t>
                              </w:r>
                              <w:r>
                                <w:rPr>
                                  <w:sz w:val="22"/>
                                </w:rPr>
                                <w:t>of 1,200 mg/d elemental calcium (through diet and supplements).</w:t>
                              </w:r>
                              <w:r>
                                <w:rPr>
                                  <w:position w:val="9"/>
                                  <w:sz w:val="17"/>
                                </w:rPr>
                                <w:t>182,184,185</w:t>
                              </w:r>
                            </w:p>
                            <w:p>
                              <w:pPr>
                                <w:spacing w:line="256" w:lineRule="auto" w:before="16"/>
                                <w:ind w:left="444" w:right="753" w:firstLine="0"/>
                                <w:jc w:val="both"/>
                                <w:rPr>
                                  <w:sz w:val="22"/>
                                </w:rPr>
                              </w:pPr>
                              <w:r>
                                <w:rPr>
                                  <w:sz w:val="22"/>
                                </w:rPr>
                                <w:t>Because the average woman without any dietary restrictions receives about 500 to </w:t>
                              </w:r>
                              <w:r>
                                <w:rPr>
                                  <w:sz w:val="22"/>
                                </w:rPr>
                                <w:t>700</w:t>
                              </w:r>
                              <w:r>
                                <w:rPr>
                                  <w:spacing w:val="80"/>
                                  <w:sz w:val="22"/>
                                </w:rPr>
                                <w:t> </w:t>
                              </w:r>
                              <w:r>
                                <w:rPr>
                                  <w:sz w:val="22"/>
                                </w:rPr>
                                <w:t>mg of calcium in her diet, the minimal daily supplement for women on estrogen equals</w:t>
                              </w:r>
                              <w:r>
                                <w:rPr>
                                  <w:spacing w:val="80"/>
                                  <w:sz w:val="22"/>
                                </w:rPr>
                                <w:t> </w:t>
                              </w:r>
                              <w:r>
                                <w:rPr>
                                  <w:sz w:val="22"/>
                                </w:rPr>
                                <w:t>an additional 500 mg.</w:t>
                              </w:r>
                            </w:p>
                          </w:txbxContent>
                        </wps:txbx>
                        <wps:bodyPr wrap="square" lIns="0" tIns="0" rIns="0" bIns="0" rtlCol="0">
                          <a:noAutofit/>
                        </wps:bodyPr>
                      </wps:wsp>
                      <wps:wsp>
                        <wps:cNvPr id="79" name="Textbox 79"/>
                        <wps:cNvSpPr txBox="1"/>
                        <wps:spPr>
                          <a:xfrm>
                            <a:off x="0" y="57149"/>
                            <a:ext cx="5810250" cy="685800"/>
                          </a:xfrm>
                          <a:prstGeom prst="rect">
                            <a:avLst/>
                          </a:prstGeom>
                        </wps:spPr>
                        <wps:txbx>
                          <w:txbxContent>
                            <w:p>
                              <w:pPr>
                                <w:spacing w:before="350"/>
                                <w:ind w:left="332" w:right="0" w:firstLine="0"/>
                                <w:jc w:val="left"/>
                                <w:rPr>
                                  <w:rFonts w:ascii="Arial"/>
                                  <w:sz w:val="33"/>
                                </w:rPr>
                              </w:pPr>
                              <w:r>
                                <w:rPr>
                                  <w:rFonts w:ascii="Arial"/>
                                  <w:color w:val="FFFFFF"/>
                                  <w:sz w:val="33"/>
                                </w:rPr>
                                <w:t>Key</w:t>
                              </w:r>
                              <w:r>
                                <w:rPr>
                                  <w:rFonts w:ascii="Arial"/>
                                  <w:color w:val="FFFFFF"/>
                                  <w:spacing w:val="20"/>
                                  <w:sz w:val="33"/>
                                </w:rPr>
                                <w:t> </w:t>
                              </w:r>
                              <w:r>
                                <w:rPr>
                                  <w:rFonts w:ascii="Arial"/>
                                  <w:color w:val="FFFFFF"/>
                                  <w:sz w:val="33"/>
                                </w:rPr>
                                <w:t>Points:</w:t>
                              </w:r>
                              <w:r>
                                <w:rPr>
                                  <w:rFonts w:ascii="Arial"/>
                                  <w:color w:val="FFFFFF"/>
                                  <w:spacing w:val="20"/>
                                  <w:sz w:val="33"/>
                                </w:rPr>
                                <w:t> </w:t>
                              </w:r>
                              <w:r>
                                <w:rPr>
                                  <w:rFonts w:ascii="Arial"/>
                                  <w:color w:val="FFFFFF"/>
                                  <w:sz w:val="33"/>
                                </w:rPr>
                                <w:t>Calcium</w:t>
                              </w:r>
                              <w:r>
                                <w:rPr>
                                  <w:rFonts w:ascii="Arial"/>
                                  <w:color w:val="FFFFFF"/>
                                  <w:spacing w:val="21"/>
                                  <w:sz w:val="33"/>
                                </w:rPr>
                                <w:t> </w:t>
                              </w:r>
                              <w:r>
                                <w:rPr>
                                  <w:rFonts w:ascii="Arial"/>
                                  <w:color w:val="FFFFFF"/>
                                  <w:spacing w:val="-2"/>
                                  <w:sz w:val="33"/>
                                </w:rPr>
                                <w:t>Supplementation</w:t>
                              </w:r>
                            </w:p>
                          </w:txbxContent>
                        </wps:txbx>
                        <wps:bodyPr wrap="square" lIns="0" tIns="0" rIns="0" bIns="0" rtlCol="0">
                          <a:noAutofit/>
                        </wps:bodyPr>
                      </wps:wsp>
                    </wpg:wgp>
                  </a:graphicData>
                </a:graphic>
              </wp:anchor>
            </w:drawing>
          </mc:Choice>
          <mc:Fallback>
            <w:pict>
              <v:group style="position:absolute;margin-left:77.25pt;margin-top:18.373182pt;width:457.5pt;height:172.5pt;mso-position-horizontal-relative:page;mso-position-vertical-relative:paragraph;z-index:-15709184;mso-wrap-distance-left:0;mso-wrap-distance-right:0" id="docshapegroup60" coordorigin="1545,367" coordsize="9150,3450">
                <v:rect style="position:absolute;left:1545;top:367;width:9150;height:30" id="docshape61" filled="true" fillcolor="#d5e699" stroked="false">
                  <v:fill type="solid"/>
                </v:rect>
                <v:rect style="position:absolute;left:1545;top:1537;width:9150;height:2280" id="docshape62" filled="true" fillcolor="#e9f1cd" stroked="false">
                  <v:fill type="solid"/>
                </v:rect>
                <v:rect style="position:absolute;left:1545;top:457;width:9150;height:1080" id="docshape63" filled="true" fillcolor="#2b816f" stroked="false">
                  <v:fill type="solid"/>
                </v:rect>
                <v:shape style="position:absolute;left:1875;top:727;width:585;height:90" id="docshape64" coordorigin="1875,727" coordsize="585,90" path="m1926,817l1914,817,1908,816,1897,812,1892,808,1884,800,1881,795,1876,784,1875,778,1875,766,1876,761,1881,750,1884,745,1892,736,1897,733,1908,729,1914,727,1926,727,1932,729,1943,733,1948,736,1956,745,1959,750,1964,761,1965,766,1965,778,1964,784,1959,795,1956,800,1948,808,1943,812,1932,816,1926,817xm2091,817l2079,817,2073,816,2062,812,2057,808,2049,800,2046,795,2041,784,2040,778,2040,766,2041,761,2046,750,2049,745,2057,736,2062,733,2073,729,2079,727,2091,727,2097,729,2108,733,2112,736,2121,745,2124,750,2129,761,2130,766,2130,778,2129,784,2124,795,2121,800,2112,808,2108,812,2097,816,2091,817xm2256,817l2244,817,2238,816,2227,812,2222,808,2214,800,2210,795,2206,784,2205,778,2205,766,2206,761,2210,750,2214,745,2222,736,2227,733,2238,729,2244,727,2256,727,2261,729,2272,733,2277,736,2286,745,2289,750,2294,761,2295,766,2295,778,2294,784,2289,795,2286,800,2277,808,2272,812,2261,816,2256,817xm2421,817l2409,817,2403,816,2392,812,2387,808,2379,800,2375,795,2371,784,2370,778,2370,766,2371,761,2375,750,2379,745,2387,736,2392,733,2403,729,2409,727,2421,727,2426,729,2437,733,2442,736,2451,745,2454,750,2458,761,2460,766,2460,778,2458,784,2454,795,2451,800,2442,808,2437,812,2426,816,2421,817xe" filled="true" fillcolor="#d0e399" stroked="false">
                  <v:path arrowok="t"/>
                  <v:fill type="solid"/>
                </v:shape>
                <v:shape style="position:absolute;left:1754;top:1942;width:75;height:645" id="docshape65" coordorigin="1755,1942" coordsize="75,645" path="m1830,2545l1829,2540,1825,2531,1823,2527,1816,2520,1811,2517,1802,2513,1797,2512,1788,2512,1783,2513,1774,2517,1769,2520,1762,2527,1760,2531,1756,2540,1755,2545,1755,2555,1756,2560,1760,2569,1762,2573,1769,2580,1774,2583,1783,2586,1788,2587,1797,2587,1802,2586,1811,2583,1816,2580,1823,2573,1825,2569,1829,2560,1830,2555,1830,2550,1830,2545xm1830,1975l1829,1970,1825,1961,1823,1957,1816,1950,1811,1947,1802,1943,1797,1942,1788,1942,1783,1943,1774,1947,1769,1950,1762,1957,1760,1961,1756,1970,1755,1975,1755,1985,1756,1990,1760,1999,1762,2003,1769,2010,1774,2013,1783,2016,1788,2017,1797,2017,1802,2016,1811,2013,1816,2010,1823,2003,1825,1999,1829,1990,1830,1985,1830,1980,1830,1975xe" filled="true" fillcolor="#2b816f" stroked="false">
                  <v:path arrowok="t"/>
                  <v:fill type="solid"/>
                </v:shape>
                <v:shape style="position:absolute;left:1545;top:1537;width:9150;height:2280" type="#_x0000_t202" id="docshape66" filled="false" stroked="false">
                  <v:textbox inset="0,0,0,0">
                    <w:txbxContent>
                      <w:p>
                        <w:pPr>
                          <w:spacing w:line="240" w:lineRule="auto" w:before="51"/>
                          <w:rPr>
                            <w:sz w:val="22"/>
                          </w:rPr>
                        </w:pPr>
                      </w:p>
                      <w:p>
                        <w:pPr>
                          <w:spacing w:line="242" w:lineRule="auto" w:before="0"/>
                          <w:ind w:left="444" w:right="756" w:firstLine="0"/>
                          <w:jc w:val="both"/>
                          <w:rPr>
                            <w:position w:val="9"/>
                            <w:sz w:val="17"/>
                          </w:rPr>
                        </w:pPr>
                        <w:r>
                          <w:rPr>
                            <w:sz w:val="22"/>
                          </w:rPr>
                          <w:t>In order to remain in zero calcium balance, postmenopausal women require a total </w:t>
                        </w:r>
                        <w:r>
                          <w:rPr>
                            <w:sz w:val="22"/>
                          </w:rPr>
                          <w:t>of 1,200 mg/d elemental calcium (through diet and supplements).</w:t>
                        </w:r>
                        <w:r>
                          <w:rPr>
                            <w:position w:val="9"/>
                            <w:sz w:val="17"/>
                          </w:rPr>
                          <w:t>182,184,185</w:t>
                        </w:r>
                      </w:p>
                      <w:p>
                        <w:pPr>
                          <w:spacing w:line="256" w:lineRule="auto" w:before="16"/>
                          <w:ind w:left="444" w:right="753" w:firstLine="0"/>
                          <w:jc w:val="both"/>
                          <w:rPr>
                            <w:sz w:val="22"/>
                          </w:rPr>
                        </w:pPr>
                        <w:r>
                          <w:rPr>
                            <w:sz w:val="22"/>
                          </w:rPr>
                          <w:t>Because the average woman without any dietary restrictions receives about 500 to </w:t>
                        </w:r>
                        <w:r>
                          <w:rPr>
                            <w:sz w:val="22"/>
                          </w:rPr>
                          <w:t>700</w:t>
                        </w:r>
                        <w:r>
                          <w:rPr>
                            <w:spacing w:val="80"/>
                            <w:sz w:val="22"/>
                          </w:rPr>
                          <w:t> </w:t>
                        </w:r>
                        <w:r>
                          <w:rPr>
                            <w:sz w:val="22"/>
                          </w:rPr>
                          <w:t>mg of calcium in her diet, the minimal daily supplement for women on estrogen equals</w:t>
                        </w:r>
                        <w:r>
                          <w:rPr>
                            <w:spacing w:val="80"/>
                            <w:sz w:val="22"/>
                          </w:rPr>
                          <w:t> </w:t>
                        </w:r>
                        <w:r>
                          <w:rPr>
                            <w:sz w:val="22"/>
                          </w:rPr>
                          <w:t>an additional 500 mg.</w:t>
                        </w:r>
                      </w:p>
                    </w:txbxContent>
                  </v:textbox>
                  <w10:wrap type="none"/>
                </v:shape>
                <v:shape style="position:absolute;left:1545;top:457;width:9150;height:1080" type="#_x0000_t202" id="docshape67" filled="false" stroked="false">
                  <v:textbox inset="0,0,0,0">
                    <w:txbxContent>
                      <w:p>
                        <w:pPr>
                          <w:spacing w:before="350"/>
                          <w:ind w:left="332" w:right="0" w:firstLine="0"/>
                          <w:jc w:val="left"/>
                          <w:rPr>
                            <w:rFonts w:ascii="Arial"/>
                            <w:sz w:val="33"/>
                          </w:rPr>
                        </w:pPr>
                        <w:r>
                          <w:rPr>
                            <w:rFonts w:ascii="Arial"/>
                            <w:color w:val="FFFFFF"/>
                            <w:sz w:val="33"/>
                          </w:rPr>
                          <w:t>Key</w:t>
                        </w:r>
                        <w:r>
                          <w:rPr>
                            <w:rFonts w:ascii="Arial"/>
                            <w:color w:val="FFFFFF"/>
                            <w:spacing w:val="20"/>
                            <w:sz w:val="33"/>
                          </w:rPr>
                          <w:t> </w:t>
                        </w:r>
                        <w:r>
                          <w:rPr>
                            <w:rFonts w:ascii="Arial"/>
                            <w:color w:val="FFFFFF"/>
                            <w:sz w:val="33"/>
                          </w:rPr>
                          <w:t>Points:</w:t>
                        </w:r>
                        <w:r>
                          <w:rPr>
                            <w:rFonts w:ascii="Arial"/>
                            <w:color w:val="FFFFFF"/>
                            <w:spacing w:val="20"/>
                            <w:sz w:val="33"/>
                          </w:rPr>
                          <w:t> </w:t>
                        </w:r>
                        <w:r>
                          <w:rPr>
                            <w:rFonts w:ascii="Arial"/>
                            <w:color w:val="FFFFFF"/>
                            <w:sz w:val="33"/>
                          </w:rPr>
                          <w:t>Calcium</w:t>
                        </w:r>
                        <w:r>
                          <w:rPr>
                            <w:rFonts w:ascii="Arial"/>
                            <w:color w:val="FFFFFF"/>
                            <w:spacing w:val="21"/>
                            <w:sz w:val="33"/>
                          </w:rPr>
                          <w:t> </w:t>
                        </w:r>
                        <w:r>
                          <w:rPr>
                            <w:rFonts w:ascii="Arial"/>
                            <w:color w:val="FFFFFF"/>
                            <w:spacing w:val="-2"/>
                            <w:sz w:val="33"/>
                          </w:rPr>
                          <w:t>Supplementation</w:t>
                        </w:r>
                      </w:p>
                    </w:txbxContent>
                  </v:textbox>
                  <w10:wrap type="none"/>
                </v:shape>
                <w10:wrap type="topAndBottom"/>
              </v:group>
            </w:pict>
          </mc:Fallback>
        </mc:AlternateContent>
      </w:r>
    </w:p>
    <w:p>
      <w:pPr>
        <w:pStyle w:val="BodyText"/>
        <w:spacing w:before="0"/>
        <w:ind w:left="0"/>
        <w:jc w:val="left"/>
      </w:pPr>
    </w:p>
    <w:p>
      <w:pPr>
        <w:pStyle w:val="BodyText"/>
        <w:spacing w:before="215"/>
        <w:ind w:left="0"/>
        <w:jc w:val="left"/>
      </w:pPr>
    </w:p>
    <w:p>
      <w:pPr>
        <w:pStyle w:val="BodyText"/>
        <w:spacing w:line="249" w:lineRule="auto" w:before="0"/>
        <w:ind w:right="98" w:firstLine="450"/>
      </w:pPr>
      <w:r>
        <w:rPr/>
        <w:t>High-dose calcium supplementation can unmask asymptomatic hyperparathyroidism, causing abnormally high calcium blood levels and </w:t>
      </w:r>
      <w:r>
        <w:rPr/>
        <w:t>an increased risk for renal stones.</w:t>
      </w:r>
      <w:r>
        <w:rPr>
          <w:vertAlign w:val="superscript"/>
        </w:rPr>
        <w:t>186,187</w:t>
      </w:r>
      <w:r>
        <w:rPr>
          <w:vertAlign w:val="baseline"/>
        </w:rPr>
        <w:t> Assessment of dietary intake and restrictions should be undertaken at routine clinical visits, and recommendations on dose of supplementation should be individualized based on dietary intake. Women receiving calcium supplementation in excess of 500 mg daily should have their blood levels of calcium and phosphorus measured yearly for the first 2 years. If normal, no further surveillance is necessary.</w:t>
      </w:r>
    </w:p>
    <w:p>
      <w:pPr>
        <w:spacing w:line="249" w:lineRule="auto" w:before="11"/>
        <w:ind w:left="99" w:right="101" w:firstLine="450"/>
        <w:jc w:val="both"/>
        <w:rPr>
          <w:sz w:val="30"/>
        </w:rPr>
      </w:pPr>
      <w:r>
        <w:rPr>
          <w:sz w:val="30"/>
        </w:rPr>
        <w:t>Even</w:t>
      </w:r>
      <w:r>
        <w:rPr>
          <w:spacing w:val="-1"/>
          <w:sz w:val="30"/>
        </w:rPr>
        <w:t> </w:t>
      </w:r>
      <w:r>
        <w:rPr>
          <w:sz w:val="30"/>
        </w:rPr>
        <w:t>with</w:t>
      </w:r>
      <w:r>
        <w:rPr>
          <w:spacing w:val="-1"/>
          <w:sz w:val="30"/>
        </w:rPr>
        <w:t> </w:t>
      </w:r>
      <w:r>
        <w:rPr>
          <w:sz w:val="30"/>
        </w:rPr>
        <w:t>the</w:t>
      </w:r>
      <w:r>
        <w:rPr>
          <w:spacing w:val="-1"/>
          <w:sz w:val="30"/>
        </w:rPr>
        <w:t> </w:t>
      </w:r>
      <w:r>
        <w:rPr>
          <w:sz w:val="30"/>
        </w:rPr>
        <w:t>commonly</w:t>
      </w:r>
      <w:r>
        <w:rPr>
          <w:spacing w:val="-1"/>
          <w:sz w:val="30"/>
        </w:rPr>
        <w:t> </w:t>
      </w:r>
      <w:r>
        <w:rPr>
          <w:sz w:val="30"/>
        </w:rPr>
        <w:t>used</w:t>
      </w:r>
      <w:r>
        <w:rPr>
          <w:spacing w:val="-1"/>
          <w:sz w:val="30"/>
        </w:rPr>
        <w:t> </w:t>
      </w:r>
      <w:r>
        <w:rPr>
          <w:sz w:val="30"/>
        </w:rPr>
        <w:t>therapeutic</w:t>
      </w:r>
      <w:r>
        <w:rPr>
          <w:spacing w:val="-1"/>
          <w:sz w:val="30"/>
        </w:rPr>
        <w:t> </w:t>
      </w:r>
      <w:r>
        <w:rPr>
          <w:sz w:val="30"/>
        </w:rPr>
        <w:t>doses</w:t>
      </w:r>
      <w:r>
        <w:rPr>
          <w:spacing w:val="-1"/>
          <w:sz w:val="30"/>
        </w:rPr>
        <w:t> </w:t>
      </w:r>
      <w:r>
        <w:rPr>
          <w:sz w:val="30"/>
        </w:rPr>
        <w:t>of</w:t>
      </w:r>
      <w:r>
        <w:rPr>
          <w:spacing w:val="-1"/>
          <w:sz w:val="30"/>
        </w:rPr>
        <w:t> </w:t>
      </w:r>
      <w:r>
        <w:rPr>
          <w:sz w:val="30"/>
        </w:rPr>
        <w:t>calcium,</w:t>
      </w:r>
      <w:r>
        <w:rPr>
          <w:spacing w:val="-1"/>
          <w:sz w:val="30"/>
        </w:rPr>
        <w:t> </w:t>
      </w:r>
      <w:r>
        <w:rPr>
          <w:sz w:val="30"/>
        </w:rPr>
        <w:t>nearly</w:t>
      </w:r>
      <w:r>
        <w:rPr>
          <w:spacing w:val="-1"/>
          <w:sz w:val="30"/>
        </w:rPr>
        <w:t> </w:t>
      </w:r>
      <w:r>
        <w:rPr>
          <w:sz w:val="30"/>
        </w:rPr>
        <w:t>40% of postmenopausal women have inefficient absorption.</w:t>
      </w:r>
      <w:r>
        <w:rPr>
          <w:sz w:val="30"/>
          <w:vertAlign w:val="superscript"/>
        </w:rPr>
        <w:t>188</w:t>
      </w:r>
      <w:r>
        <w:rPr>
          <w:sz w:val="30"/>
          <w:vertAlign w:val="baseline"/>
        </w:rPr>
        <w:t> Estrogen</w:t>
      </w:r>
      <w:r>
        <w:rPr>
          <w:spacing w:val="40"/>
          <w:sz w:val="30"/>
          <w:vertAlign w:val="baseline"/>
        </w:rPr>
        <w:t> </w:t>
      </w:r>
      <w:r>
        <w:rPr>
          <w:sz w:val="30"/>
          <w:vertAlign w:val="baseline"/>
        </w:rPr>
        <w:t>improves calcium absorption and allows the utilization of supplemental calcium in effective doses without the side effects associated with higher doses (constipation and flatulence) that diminish compliance. </w:t>
      </w:r>
      <w:r>
        <w:rPr>
          <w:b/>
          <w:sz w:val="30"/>
          <w:vertAlign w:val="baseline"/>
        </w:rPr>
        <w:t>We must emphasize that although calcium supplementation is important, it cannot provide the same degree of protection against osteoporosis as that achieved by hormonal therapy or raloxifene or agents discussed later</w:t>
      </w:r>
      <w:r>
        <w:rPr>
          <w:b/>
          <w:spacing w:val="-8"/>
          <w:sz w:val="30"/>
          <w:vertAlign w:val="baseline"/>
        </w:rPr>
        <w:t> </w:t>
      </w:r>
      <w:r>
        <w:rPr>
          <w:b/>
          <w:sz w:val="30"/>
          <w:vertAlign w:val="baseline"/>
        </w:rPr>
        <w:t>in</w:t>
      </w:r>
      <w:r>
        <w:rPr>
          <w:b/>
          <w:spacing w:val="-8"/>
          <w:sz w:val="30"/>
          <w:vertAlign w:val="baseline"/>
        </w:rPr>
        <w:t> </w:t>
      </w:r>
      <w:r>
        <w:rPr>
          <w:b/>
          <w:sz w:val="30"/>
          <w:vertAlign w:val="baseline"/>
        </w:rPr>
        <w:t>this</w:t>
      </w:r>
      <w:r>
        <w:rPr>
          <w:b/>
          <w:spacing w:val="-9"/>
          <w:sz w:val="30"/>
          <w:vertAlign w:val="baseline"/>
        </w:rPr>
        <w:t> </w:t>
      </w:r>
      <w:r>
        <w:rPr>
          <w:b/>
          <w:sz w:val="30"/>
          <w:vertAlign w:val="baseline"/>
        </w:rPr>
        <w:t>section.</w:t>
      </w:r>
      <w:r>
        <w:rPr>
          <w:sz w:val="30"/>
          <w:vertAlign w:val="superscript"/>
        </w:rPr>
        <w:t>189,190</w:t>
      </w:r>
      <w:r>
        <w:rPr>
          <w:spacing w:val="-9"/>
          <w:sz w:val="30"/>
          <w:vertAlign w:val="baseline"/>
        </w:rPr>
        <w:t> </w:t>
      </w:r>
      <w:r>
        <w:rPr>
          <w:sz w:val="30"/>
          <w:vertAlign w:val="baseline"/>
        </w:rPr>
        <w:t>Nevertheless,</w:t>
      </w:r>
      <w:r>
        <w:rPr>
          <w:spacing w:val="-8"/>
          <w:sz w:val="30"/>
          <w:vertAlign w:val="baseline"/>
        </w:rPr>
        <w:t> </w:t>
      </w:r>
      <w:r>
        <w:rPr>
          <w:sz w:val="30"/>
          <w:vertAlign w:val="baseline"/>
        </w:rPr>
        <w:t>the</w:t>
      </w:r>
      <w:r>
        <w:rPr>
          <w:spacing w:val="-8"/>
          <w:sz w:val="30"/>
          <w:vertAlign w:val="baseline"/>
        </w:rPr>
        <w:t> </w:t>
      </w:r>
      <w:r>
        <w:rPr>
          <w:sz w:val="30"/>
          <w:vertAlign w:val="baseline"/>
        </w:rPr>
        <w:t>beneficial</w:t>
      </w:r>
      <w:r>
        <w:rPr>
          <w:spacing w:val="-8"/>
          <w:sz w:val="30"/>
          <w:vertAlign w:val="baseline"/>
        </w:rPr>
        <w:t> </w:t>
      </w:r>
      <w:r>
        <w:rPr>
          <w:sz w:val="30"/>
          <w:vertAlign w:val="baseline"/>
        </w:rPr>
        <w:t>impact</w:t>
      </w:r>
      <w:r>
        <w:rPr>
          <w:spacing w:val="-8"/>
          <w:sz w:val="30"/>
          <w:vertAlign w:val="baseline"/>
        </w:rPr>
        <w:t> </w:t>
      </w:r>
      <w:r>
        <w:rPr>
          <w:sz w:val="30"/>
          <w:vertAlign w:val="baseline"/>
        </w:rPr>
        <w:t>of</w:t>
      </w:r>
      <w:r>
        <w:rPr>
          <w:spacing w:val="-8"/>
          <w:sz w:val="30"/>
          <w:vertAlign w:val="baseline"/>
        </w:rPr>
        <w:t> </w:t>
      </w:r>
      <w:r>
        <w:rPr>
          <w:sz w:val="30"/>
          <w:vertAlign w:val="baseline"/>
        </w:rPr>
        <w:t>estrogen</w:t>
      </w:r>
      <w:r>
        <w:rPr>
          <w:spacing w:val="-8"/>
          <w:sz w:val="30"/>
          <w:vertAlign w:val="baseline"/>
        </w:rPr>
        <w:t> </w:t>
      </w:r>
      <w:r>
        <w:rPr>
          <w:sz w:val="30"/>
          <w:vertAlign w:val="baseline"/>
        </w:rPr>
        <w:t>on bone</w:t>
      </w:r>
      <w:r>
        <w:rPr>
          <w:spacing w:val="-2"/>
          <w:sz w:val="30"/>
          <w:vertAlign w:val="baseline"/>
        </w:rPr>
        <w:t> </w:t>
      </w:r>
      <w:r>
        <w:rPr>
          <w:sz w:val="30"/>
          <w:vertAlign w:val="baseline"/>
        </w:rPr>
        <w:t>is</w:t>
      </w:r>
      <w:r>
        <w:rPr>
          <w:spacing w:val="-1"/>
          <w:sz w:val="30"/>
          <w:vertAlign w:val="baseline"/>
        </w:rPr>
        <w:t> </w:t>
      </w:r>
      <w:r>
        <w:rPr>
          <w:sz w:val="30"/>
          <w:vertAlign w:val="baseline"/>
        </w:rPr>
        <w:t>reduced</w:t>
      </w:r>
      <w:r>
        <w:rPr>
          <w:spacing w:val="-1"/>
          <w:sz w:val="30"/>
          <w:vertAlign w:val="baseline"/>
        </w:rPr>
        <w:t> </w:t>
      </w:r>
      <w:r>
        <w:rPr>
          <w:sz w:val="30"/>
          <w:vertAlign w:val="baseline"/>
        </w:rPr>
        <w:t>in</w:t>
      </w:r>
      <w:r>
        <w:rPr>
          <w:spacing w:val="-1"/>
          <w:sz w:val="30"/>
          <w:vertAlign w:val="baseline"/>
        </w:rPr>
        <w:t> </w:t>
      </w:r>
      <w:r>
        <w:rPr>
          <w:sz w:val="30"/>
          <w:vertAlign w:val="baseline"/>
        </w:rPr>
        <w:t>the</w:t>
      </w:r>
      <w:r>
        <w:rPr>
          <w:spacing w:val="-1"/>
          <w:sz w:val="30"/>
          <w:vertAlign w:val="baseline"/>
        </w:rPr>
        <w:t> </w:t>
      </w:r>
      <w:r>
        <w:rPr>
          <w:sz w:val="30"/>
          <w:vertAlign w:val="baseline"/>
        </w:rPr>
        <w:t>absence</w:t>
      </w:r>
      <w:r>
        <w:rPr>
          <w:spacing w:val="-1"/>
          <w:sz w:val="30"/>
          <w:vertAlign w:val="baseline"/>
        </w:rPr>
        <w:t> </w:t>
      </w:r>
      <w:r>
        <w:rPr>
          <w:sz w:val="30"/>
          <w:vertAlign w:val="baseline"/>
        </w:rPr>
        <w:t>of</w:t>
      </w:r>
      <w:r>
        <w:rPr>
          <w:spacing w:val="-1"/>
          <w:sz w:val="30"/>
          <w:vertAlign w:val="baseline"/>
        </w:rPr>
        <w:t> </w:t>
      </w:r>
      <w:r>
        <w:rPr>
          <w:sz w:val="30"/>
          <w:vertAlign w:val="baseline"/>
        </w:rPr>
        <w:t>calcium</w:t>
      </w:r>
      <w:r>
        <w:rPr>
          <w:spacing w:val="-1"/>
          <w:sz w:val="30"/>
          <w:vertAlign w:val="baseline"/>
        </w:rPr>
        <w:t> </w:t>
      </w:r>
      <w:r>
        <w:rPr>
          <w:sz w:val="30"/>
          <w:vertAlign w:val="baseline"/>
        </w:rPr>
        <w:t>supplementation.</w:t>
      </w:r>
      <w:r>
        <w:rPr>
          <w:sz w:val="30"/>
          <w:vertAlign w:val="superscript"/>
        </w:rPr>
        <w:t>191</w:t>
      </w:r>
      <w:r>
        <w:rPr>
          <w:spacing w:val="-3"/>
          <w:sz w:val="30"/>
          <w:vertAlign w:val="baseline"/>
        </w:rPr>
        <w:t> </w:t>
      </w:r>
      <w:r>
        <w:rPr>
          <w:sz w:val="30"/>
          <w:vertAlign w:val="baseline"/>
        </w:rPr>
        <w:t>Skeletal</w:t>
      </w:r>
      <w:r>
        <w:rPr>
          <w:spacing w:val="-2"/>
          <w:sz w:val="30"/>
          <w:vertAlign w:val="baseline"/>
        </w:rPr>
        <w:t> </w:t>
      </w:r>
      <w:r>
        <w:rPr>
          <w:spacing w:val="-4"/>
          <w:sz w:val="30"/>
          <w:vertAlign w:val="baseline"/>
        </w:rPr>
        <w:t>harm</w:t>
      </w:r>
    </w:p>
    <w:p>
      <w:pPr>
        <w:spacing w:after="0" w:line="249" w:lineRule="auto"/>
        <w:jc w:val="both"/>
        <w:rPr>
          <w:sz w:val="30"/>
        </w:rPr>
        <w:sectPr>
          <w:pgSz w:w="12240" w:h="15840"/>
          <w:pgMar w:top="1380" w:bottom="280" w:left="1440" w:right="1440"/>
        </w:sectPr>
      </w:pPr>
    </w:p>
    <w:p>
      <w:pPr>
        <w:pStyle w:val="BodyText"/>
        <w:spacing w:line="249" w:lineRule="auto"/>
        <w:ind w:right="300"/>
        <w:jc w:val="left"/>
      </w:pPr>
      <w:r>
        <w:rPr/>
        <w:t>from low calcium intake in the aging population gets compounded if there</w:t>
      </w:r>
      <w:r>
        <w:rPr>
          <w:spacing w:val="40"/>
        </w:rPr>
        <w:t> </w:t>
      </w:r>
      <w:r>
        <w:rPr/>
        <w:t>is coexisting insufficient dietary intake of proteins.</w:t>
      </w:r>
      <w:r>
        <w:rPr>
          <w:vertAlign w:val="superscript"/>
        </w:rPr>
        <w:t>192</w:t>
      </w:r>
    </w:p>
    <w:p>
      <w:pPr>
        <w:pStyle w:val="BodyText"/>
        <w:spacing w:before="0"/>
        <w:ind w:left="0"/>
        <w:jc w:val="left"/>
        <w:rPr>
          <w:sz w:val="20"/>
        </w:rPr>
      </w:pPr>
    </w:p>
    <w:p>
      <w:pPr>
        <w:pStyle w:val="BodyText"/>
        <w:spacing w:before="113"/>
        <w:ind w:left="0"/>
        <w:jc w:val="left"/>
        <w:rPr>
          <w:sz w:val="20"/>
        </w:rPr>
      </w:pPr>
      <w:r>
        <w:rPr>
          <w:sz w:val="20"/>
        </w:rPr>
        <w:drawing>
          <wp:anchor distT="0" distB="0" distL="0" distR="0" allowOverlap="1" layoutInCell="1" locked="0" behindDoc="1" simplePos="0" relativeHeight="487607808">
            <wp:simplePos x="0" y="0"/>
            <wp:positionH relativeFrom="page">
              <wp:posOffset>981075</wp:posOffset>
            </wp:positionH>
            <wp:positionV relativeFrom="paragraph">
              <wp:posOffset>233350</wp:posOffset>
            </wp:positionV>
            <wp:extent cx="5824184" cy="4458843"/>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19" cstate="print"/>
                    <a:stretch>
                      <a:fillRect/>
                    </a:stretch>
                  </pic:blipFill>
                  <pic:spPr>
                    <a:xfrm>
                      <a:off x="0" y="0"/>
                      <a:ext cx="5824184" cy="445884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08320">
                <wp:simplePos x="0" y="0"/>
                <wp:positionH relativeFrom="page">
                  <wp:posOffset>981075</wp:posOffset>
                </wp:positionH>
                <wp:positionV relativeFrom="paragraph">
                  <wp:posOffset>4872025</wp:posOffset>
                </wp:positionV>
                <wp:extent cx="932815" cy="57150"/>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932815" cy="57150"/>
                        </a:xfrm>
                        <a:custGeom>
                          <a:avLst/>
                          <a:gdLst/>
                          <a:ahLst/>
                          <a:cxnLst/>
                          <a:rect l="l" t="t" r="r" b="b"/>
                          <a:pathLst>
                            <a:path w="932815" h="57150">
                              <a:moveTo>
                                <a:pt x="32364" y="57130"/>
                              </a:moveTo>
                              <a:lnTo>
                                <a:pt x="24785" y="57130"/>
                              </a:lnTo>
                              <a:lnTo>
                                <a:pt x="21140" y="56407"/>
                              </a:lnTo>
                              <a:lnTo>
                                <a:pt x="0" y="32346"/>
                              </a:lnTo>
                              <a:lnTo>
                                <a:pt x="0" y="24764"/>
                              </a:lnTo>
                              <a:lnTo>
                                <a:pt x="24785" y="0"/>
                              </a:lnTo>
                              <a:lnTo>
                                <a:pt x="32364" y="0"/>
                              </a:lnTo>
                              <a:lnTo>
                                <a:pt x="57149" y="24764"/>
                              </a:lnTo>
                              <a:lnTo>
                                <a:pt x="57149" y="32346"/>
                              </a:lnTo>
                              <a:lnTo>
                                <a:pt x="32364" y="57130"/>
                              </a:lnTo>
                              <a:close/>
                            </a:path>
                            <a:path w="932815" h="57150">
                              <a:moveTo>
                                <a:pt x="141806" y="57130"/>
                              </a:moveTo>
                              <a:lnTo>
                                <a:pt x="134227" y="57130"/>
                              </a:lnTo>
                              <a:lnTo>
                                <a:pt x="130582" y="56407"/>
                              </a:lnTo>
                              <a:lnTo>
                                <a:pt x="109442" y="32346"/>
                              </a:lnTo>
                              <a:lnTo>
                                <a:pt x="109442" y="24764"/>
                              </a:lnTo>
                              <a:lnTo>
                                <a:pt x="134227" y="0"/>
                              </a:lnTo>
                              <a:lnTo>
                                <a:pt x="141806" y="0"/>
                              </a:lnTo>
                              <a:lnTo>
                                <a:pt x="166592" y="24764"/>
                              </a:lnTo>
                              <a:lnTo>
                                <a:pt x="166592" y="32346"/>
                              </a:lnTo>
                              <a:lnTo>
                                <a:pt x="141806" y="57130"/>
                              </a:lnTo>
                              <a:close/>
                            </a:path>
                            <a:path w="932815" h="57150">
                              <a:moveTo>
                                <a:pt x="251248" y="57130"/>
                              </a:moveTo>
                              <a:lnTo>
                                <a:pt x="243670" y="57130"/>
                              </a:lnTo>
                              <a:lnTo>
                                <a:pt x="240025" y="56407"/>
                              </a:lnTo>
                              <a:lnTo>
                                <a:pt x="218884" y="32346"/>
                              </a:lnTo>
                              <a:lnTo>
                                <a:pt x="218884" y="24764"/>
                              </a:lnTo>
                              <a:lnTo>
                                <a:pt x="243670" y="0"/>
                              </a:lnTo>
                              <a:lnTo>
                                <a:pt x="251248" y="0"/>
                              </a:lnTo>
                              <a:lnTo>
                                <a:pt x="276034" y="24764"/>
                              </a:lnTo>
                              <a:lnTo>
                                <a:pt x="276034" y="32346"/>
                              </a:lnTo>
                              <a:lnTo>
                                <a:pt x="251248" y="57130"/>
                              </a:lnTo>
                              <a:close/>
                            </a:path>
                            <a:path w="932815" h="57150">
                              <a:moveTo>
                                <a:pt x="360691" y="57130"/>
                              </a:moveTo>
                              <a:lnTo>
                                <a:pt x="353112" y="57130"/>
                              </a:lnTo>
                              <a:lnTo>
                                <a:pt x="349467" y="56407"/>
                              </a:lnTo>
                              <a:lnTo>
                                <a:pt x="328326" y="32346"/>
                              </a:lnTo>
                              <a:lnTo>
                                <a:pt x="328326" y="24764"/>
                              </a:lnTo>
                              <a:lnTo>
                                <a:pt x="353112" y="0"/>
                              </a:lnTo>
                              <a:lnTo>
                                <a:pt x="360691" y="0"/>
                              </a:lnTo>
                              <a:lnTo>
                                <a:pt x="385476" y="24764"/>
                              </a:lnTo>
                              <a:lnTo>
                                <a:pt x="385476" y="32346"/>
                              </a:lnTo>
                              <a:lnTo>
                                <a:pt x="360691" y="57130"/>
                              </a:lnTo>
                              <a:close/>
                            </a:path>
                            <a:path w="932815" h="57150">
                              <a:moveTo>
                                <a:pt x="470133" y="57130"/>
                              </a:moveTo>
                              <a:lnTo>
                                <a:pt x="462554" y="57130"/>
                              </a:lnTo>
                              <a:lnTo>
                                <a:pt x="458909" y="56407"/>
                              </a:lnTo>
                              <a:lnTo>
                                <a:pt x="437768" y="32346"/>
                              </a:lnTo>
                              <a:lnTo>
                                <a:pt x="437768" y="24764"/>
                              </a:lnTo>
                              <a:lnTo>
                                <a:pt x="462554" y="0"/>
                              </a:lnTo>
                              <a:lnTo>
                                <a:pt x="470133" y="0"/>
                              </a:lnTo>
                              <a:lnTo>
                                <a:pt x="494918" y="24764"/>
                              </a:lnTo>
                              <a:lnTo>
                                <a:pt x="494918" y="32346"/>
                              </a:lnTo>
                              <a:lnTo>
                                <a:pt x="470133" y="57130"/>
                              </a:lnTo>
                              <a:close/>
                            </a:path>
                            <a:path w="932815" h="57150">
                              <a:moveTo>
                                <a:pt x="579575" y="57130"/>
                              </a:moveTo>
                              <a:lnTo>
                                <a:pt x="571996" y="57130"/>
                              </a:lnTo>
                              <a:lnTo>
                                <a:pt x="568351" y="56407"/>
                              </a:lnTo>
                              <a:lnTo>
                                <a:pt x="547211" y="32346"/>
                              </a:lnTo>
                              <a:lnTo>
                                <a:pt x="547211" y="24764"/>
                              </a:lnTo>
                              <a:lnTo>
                                <a:pt x="571996" y="0"/>
                              </a:lnTo>
                              <a:lnTo>
                                <a:pt x="579575" y="0"/>
                              </a:lnTo>
                              <a:lnTo>
                                <a:pt x="604361" y="24764"/>
                              </a:lnTo>
                              <a:lnTo>
                                <a:pt x="604361" y="32346"/>
                              </a:lnTo>
                              <a:lnTo>
                                <a:pt x="579575" y="57130"/>
                              </a:lnTo>
                              <a:close/>
                            </a:path>
                            <a:path w="932815" h="57150">
                              <a:moveTo>
                                <a:pt x="689017" y="57130"/>
                              </a:moveTo>
                              <a:lnTo>
                                <a:pt x="681439" y="57130"/>
                              </a:lnTo>
                              <a:lnTo>
                                <a:pt x="677794" y="56407"/>
                              </a:lnTo>
                              <a:lnTo>
                                <a:pt x="656653" y="32346"/>
                              </a:lnTo>
                              <a:lnTo>
                                <a:pt x="656653" y="24764"/>
                              </a:lnTo>
                              <a:lnTo>
                                <a:pt x="681439" y="0"/>
                              </a:lnTo>
                              <a:lnTo>
                                <a:pt x="689017" y="0"/>
                              </a:lnTo>
                              <a:lnTo>
                                <a:pt x="713803" y="24764"/>
                              </a:lnTo>
                              <a:lnTo>
                                <a:pt x="713803" y="32346"/>
                              </a:lnTo>
                              <a:lnTo>
                                <a:pt x="689017" y="57130"/>
                              </a:lnTo>
                              <a:close/>
                            </a:path>
                            <a:path w="932815" h="57150">
                              <a:moveTo>
                                <a:pt x="798459" y="57130"/>
                              </a:moveTo>
                              <a:lnTo>
                                <a:pt x="790881" y="57130"/>
                              </a:lnTo>
                              <a:lnTo>
                                <a:pt x="787236" y="56407"/>
                              </a:lnTo>
                              <a:lnTo>
                                <a:pt x="766095" y="32346"/>
                              </a:lnTo>
                              <a:lnTo>
                                <a:pt x="766095" y="24764"/>
                              </a:lnTo>
                              <a:lnTo>
                                <a:pt x="790881" y="0"/>
                              </a:lnTo>
                              <a:lnTo>
                                <a:pt x="798459" y="0"/>
                              </a:lnTo>
                              <a:lnTo>
                                <a:pt x="823245" y="24764"/>
                              </a:lnTo>
                              <a:lnTo>
                                <a:pt x="823245" y="32346"/>
                              </a:lnTo>
                              <a:lnTo>
                                <a:pt x="798459" y="57130"/>
                              </a:lnTo>
                              <a:close/>
                            </a:path>
                            <a:path w="932815" h="57150">
                              <a:moveTo>
                                <a:pt x="907902" y="57130"/>
                              </a:moveTo>
                              <a:lnTo>
                                <a:pt x="900323" y="57130"/>
                              </a:lnTo>
                              <a:lnTo>
                                <a:pt x="896678" y="56407"/>
                              </a:lnTo>
                              <a:lnTo>
                                <a:pt x="875537" y="32346"/>
                              </a:lnTo>
                              <a:lnTo>
                                <a:pt x="875537" y="24764"/>
                              </a:lnTo>
                              <a:lnTo>
                                <a:pt x="900323" y="0"/>
                              </a:lnTo>
                              <a:lnTo>
                                <a:pt x="907902" y="0"/>
                              </a:lnTo>
                              <a:lnTo>
                                <a:pt x="932687" y="24764"/>
                              </a:lnTo>
                              <a:lnTo>
                                <a:pt x="932687" y="32346"/>
                              </a:lnTo>
                              <a:lnTo>
                                <a:pt x="907902" y="57130"/>
                              </a:lnTo>
                              <a:close/>
                            </a:path>
                          </a:pathLst>
                        </a:custGeom>
                        <a:solidFill>
                          <a:srgbClr val="2B816F"/>
                        </a:solidFill>
                      </wps:spPr>
                      <wps:bodyPr wrap="square" lIns="0" tIns="0" rIns="0" bIns="0" rtlCol="0">
                        <a:prstTxWarp prst="textNoShape">
                          <a:avLst/>
                        </a:prstTxWarp>
                        <a:noAutofit/>
                      </wps:bodyPr>
                    </wps:wsp>
                  </a:graphicData>
                </a:graphic>
              </wp:anchor>
            </w:drawing>
          </mc:Choice>
          <mc:Fallback>
            <w:pict>
              <v:shape style="position:absolute;margin-left:77.25pt;margin-top:383.624054pt;width:73.45pt;height:4.5pt;mso-position-horizontal-relative:page;mso-position-vertical-relative:paragraph;z-index:-15708160;mso-wrap-distance-left:0;mso-wrap-distance-right:0" id="docshape68" coordorigin="1545,7672" coordsize="1469,90" path="m1596,7762l1584,7762,1578,7761,1567,7757,1562,7753,1558,7749,1554,7745,1551,7740,1546,7729,1545,7723,1545,7711,1546,7706,1551,7695,1554,7690,1562,7681,1567,7678,1578,7674,1584,7672,1596,7672,1602,7674,1613,7678,1618,7681,1626,7690,1629,7695,1634,7706,1635,7711,1635,7723,1634,7729,1629,7740,1626,7745,1622,7749,1618,7753,1613,7757,1602,7761,1596,7762xm1768,7762l1756,7762,1751,7761,1740,7757,1735,7753,1731,7749,1726,7745,1723,7740,1718,7729,1717,7723,1717,7711,1718,7706,1723,7695,1726,7690,1735,7681,1740,7678,1751,7674,1756,7672,1768,7672,1774,7674,1785,7678,1790,7681,1798,7690,1802,7695,1806,7706,1807,7711,1807,7723,1806,7729,1802,7740,1798,7745,1794,7749,1790,7753,1785,7757,1774,7761,1768,7762xm1941,7762l1929,7762,1923,7761,1912,7757,1907,7753,1903,7749,1899,7745,1895,7740,1891,7729,1890,7723,1890,7711,1891,7706,1895,7695,1899,7690,1907,7681,1912,7678,1923,7674,1929,7672,1941,7672,1946,7674,1957,7678,1962,7681,1971,7690,1974,7695,1979,7706,1980,7711,1980,7723,1979,7729,1974,7740,1971,7745,1967,7749,1962,7753,1957,7757,1946,7761,1941,7762xm2113,7762l2101,7762,2095,7761,2084,7757,2079,7753,2075,7749,2071,7745,2068,7740,2063,7729,2062,7723,2062,7711,2063,7706,2068,7695,2071,7690,2079,7681,2084,7678,2095,7674,2101,7672,2113,7672,2119,7674,2130,7678,2135,7681,2143,7690,2146,7695,2151,7706,2152,7711,2152,7723,2151,7729,2146,7740,2143,7745,2139,7749,2135,7753,2130,7757,2119,7761,2113,7762xm2285,7762l2273,7762,2268,7761,2257,7757,2252,7753,2248,7749,2243,7745,2240,7740,2236,7729,2234,7723,2234,7711,2236,7706,2240,7695,2243,7690,2252,7681,2257,7678,2268,7674,2273,7672,2285,7672,2291,7674,2302,7678,2307,7681,2315,7690,2319,7695,2323,7706,2324,7711,2324,7723,2323,7729,2319,7740,2315,7745,2311,7749,2307,7753,2302,7757,2291,7761,2285,7762xm2458,7762l2446,7762,2440,7761,2429,7757,2424,7753,2420,7749,2416,7745,2412,7740,2408,7729,2407,7723,2407,7711,2408,7706,2412,7695,2416,7690,2424,7681,2429,7678,2440,7674,2446,7672,2458,7672,2463,7674,2474,7678,2479,7681,2488,7690,2491,7695,2496,7706,2497,7711,2497,7723,2496,7729,2491,7740,2488,7745,2484,7749,2479,7753,2474,7757,2463,7761,2458,7762xm2630,7762l2618,7762,2612,7761,2601,7757,2596,7753,2592,7749,2588,7745,2585,7740,2580,7729,2579,7723,2579,7711,2580,7706,2585,7695,2588,7690,2596,7681,2601,7678,2612,7674,2618,7672,2630,7672,2636,7674,2647,7678,2652,7681,2660,7690,2663,7695,2668,7706,2669,7711,2669,7723,2668,7729,2663,7740,2660,7745,2656,7749,2652,7753,2647,7757,2636,7761,2630,7762xm2802,7762l2790,7762,2785,7761,2774,7757,2769,7753,2765,7749,2760,7745,2757,7740,2753,7729,2751,7723,2751,7711,2753,7706,2757,7695,2760,7690,2769,7681,2774,7678,2785,7674,2790,7672,2802,7672,2808,7674,2819,7678,2824,7681,2832,7690,2836,7695,2840,7706,2841,7711,2841,7723,2840,7729,2836,7740,2832,7745,2828,7749,2824,7753,2819,7757,2808,7761,2802,7762xm2975,7762l2963,7762,2957,7761,2946,7757,2941,7753,2937,7749,2933,7745,2930,7740,2925,7729,2924,7723,2924,7711,2925,7706,2930,7695,2933,7690,2941,7681,2946,7678,2957,7674,2963,7672,2975,7672,2981,7674,2992,7678,2996,7681,3005,7690,3008,7695,3013,7706,3014,7711,3014,7723,3013,7729,3008,7740,3005,7745,3001,7749,2996,7753,2992,7757,2981,7761,2975,7762xe" filled="true" fillcolor="#2b816f" stroked="false">
                <v:path arrowok="t"/>
                <v:fill type="solid"/>
                <w10:wrap type="topAndBottom"/>
              </v:shape>
            </w:pict>
          </mc:Fallback>
        </mc:AlternateContent>
      </w:r>
    </w:p>
    <w:p>
      <w:pPr>
        <w:pStyle w:val="BodyText"/>
        <w:spacing w:before="29"/>
        <w:ind w:left="0"/>
        <w:jc w:val="left"/>
        <w:rPr>
          <w:sz w:val="20"/>
        </w:rPr>
      </w:pPr>
    </w:p>
    <w:p>
      <w:pPr>
        <w:spacing w:before="78"/>
        <w:ind w:left="99" w:right="0" w:firstLine="0"/>
        <w:jc w:val="left"/>
        <w:rPr>
          <w:rFonts w:ascii="Arial"/>
          <w:b/>
          <w:sz w:val="22"/>
        </w:rPr>
      </w:pPr>
      <w:r>
        <w:rPr>
          <w:rFonts w:ascii="Arial"/>
          <w:b/>
          <w:color w:val="2B816F"/>
          <w:sz w:val="22"/>
        </w:rPr>
        <w:t>FIGURE</w:t>
      </w:r>
      <w:r>
        <w:rPr>
          <w:rFonts w:ascii="Arial"/>
          <w:b/>
          <w:color w:val="2B816F"/>
          <w:spacing w:val="17"/>
          <w:sz w:val="22"/>
        </w:rPr>
        <w:t> </w:t>
      </w:r>
      <w:r>
        <w:rPr>
          <w:rFonts w:ascii="Arial"/>
          <w:b/>
          <w:color w:val="2B816F"/>
          <w:spacing w:val="-4"/>
          <w:sz w:val="22"/>
        </w:rPr>
        <w:t>23.11</w:t>
      </w:r>
    </w:p>
    <w:p>
      <w:pPr>
        <w:pStyle w:val="BodyText"/>
        <w:spacing w:before="216"/>
        <w:ind w:left="0"/>
        <w:jc w:val="left"/>
        <w:rPr>
          <w:rFonts w:ascii="Arial"/>
          <w:b/>
          <w:sz w:val="22"/>
        </w:rPr>
      </w:pPr>
    </w:p>
    <w:p>
      <w:pPr>
        <w:pStyle w:val="BodyText"/>
        <w:spacing w:line="249" w:lineRule="auto" w:before="0"/>
        <w:ind w:right="98" w:firstLine="450"/>
      </w:pPr>
      <w:r>
        <w:rPr/>
        <w:t>Improved calcium intake in adolescents results in significant increases in bone density and skeletal mass, providing protection against </w:t>
      </w:r>
      <w:r>
        <w:rPr/>
        <w:t>osteoporosis later in life.</w:t>
      </w:r>
      <w:r>
        <w:rPr>
          <w:vertAlign w:val="superscript"/>
        </w:rPr>
        <w:t>193,194</w:t>
      </w:r>
      <w:r>
        <w:rPr>
          <w:vertAlign w:val="baseline"/>
        </w:rPr>
        <w:t> Calcium supplementation is far more important during adolescence</w:t>
      </w:r>
      <w:r>
        <w:rPr>
          <w:spacing w:val="-4"/>
          <w:vertAlign w:val="baseline"/>
        </w:rPr>
        <w:t> </w:t>
      </w:r>
      <w:r>
        <w:rPr>
          <w:vertAlign w:val="baseline"/>
        </w:rPr>
        <w:t>than</w:t>
      </w:r>
      <w:r>
        <w:rPr>
          <w:spacing w:val="-4"/>
          <w:vertAlign w:val="baseline"/>
        </w:rPr>
        <w:t> </w:t>
      </w:r>
      <w:r>
        <w:rPr>
          <w:vertAlign w:val="baseline"/>
        </w:rPr>
        <w:t>in</w:t>
      </w:r>
      <w:r>
        <w:rPr>
          <w:spacing w:val="-4"/>
          <w:vertAlign w:val="baseline"/>
        </w:rPr>
        <w:t> </w:t>
      </w:r>
      <w:r>
        <w:rPr>
          <w:vertAlign w:val="baseline"/>
        </w:rPr>
        <w:t>the</w:t>
      </w:r>
      <w:r>
        <w:rPr>
          <w:spacing w:val="-4"/>
          <w:vertAlign w:val="baseline"/>
        </w:rPr>
        <w:t> </w:t>
      </w:r>
      <w:r>
        <w:rPr>
          <w:vertAlign w:val="baseline"/>
        </w:rPr>
        <w:t>reproductive</w:t>
      </w:r>
      <w:r>
        <w:rPr>
          <w:spacing w:val="-4"/>
          <w:vertAlign w:val="baseline"/>
        </w:rPr>
        <w:t> </w:t>
      </w:r>
      <w:r>
        <w:rPr>
          <w:vertAlign w:val="baseline"/>
        </w:rPr>
        <w:t>years</w:t>
      </w:r>
      <w:r>
        <w:rPr>
          <w:spacing w:val="-4"/>
          <w:vertAlign w:val="baseline"/>
        </w:rPr>
        <w:t> </w:t>
      </w:r>
      <w:r>
        <w:rPr>
          <w:vertAlign w:val="baseline"/>
        </w:rPr>
        <w:t>when</w:t>
      </w:r>
      <w:r>
        <w:rPr>
          <w:spacing w:val="-4"/>
          <w:vertAlign w:val="baseline"/>
        </w:rPr>
        <w:t> </w:t>
      </w:r>
      <w:r>
        <w:rPr>
          <w:vertAlign w:val="baseline"/>
        </w:rPr>
        <w:t>bone</w:t>
      </w:r>
      <w:r>
        <w:rPr>
          <w:spacing w:val="-4"/>
          <w:vertAlign w:val="baseline"/>
        </w:rPr>
        <w:t> </w:t>
      </w:r>
      <w:r>
        <w:rPr>
          <w:vertAlign w:val="baseline"/>
        </w:rPr>
        <w:t>formation</w:t>
      </w:r>
      <w:r>
        <w:rPr>
          <w:spacing w:val="-4"/>
          <w:vertAlign w:val="baseline"/>
        </w:rPr>
        <w:t> </w:t>
      </w:r>
      <w:r>
        <w:rPr>
          <w:vertAlign w:val="baseline"/>
        </w:rPr>
        <w:t>is</w:t>
      </w:r>
      <w:r>
        <w:rPr>
          <w:spacing w:val="-4"/>
          <w:vertAlign w:val="baseline"/>
        </w:rPr>
        <w:t> </w:t>
      </w:r>
      <w:r>
        <w:rPr>
          <w:vertAlign w:val="baseline"/>
        </w:rPr>
        <w:t>minimal. Under age 25, during the years of bone accumulation, the recommended daily calcium intake is 1,300 mg.</w:t>
      </w:r>
      <w:r>
        <w:rPr>
          <w:vertAlign w:val="superscript"/>
        </w:rPr>
        <w:t>195</w:t>
      </w:r>
      <w:r>
        <w:rPr>
          <w:vertAlign w:val="baseline"/>
        </w:rPr>
        <w:t> This amount, 1,300 mg/d, is also recommended during pregnancy and lactation. Most calcium comes from dairy products; relying on other foods is not easy because it requires a high intake</w:t>
      </w:r>
      <w:r>
        <w:rPr>
          <w:spacing w:val="51"/>
          <w:vertAlign w:val="baseline"/>
        </w:rPr>
        <w:t> </w:t>
      </w:r>
      <w:r>
        <w:rPr>
          <w:vertAlign w:val="baseline"/>
        </w:rPr>
        <w:t>volume</w:t>
      </w:r>
      <w:r>
        <w:rPr>
          <w:spacing w:val="51"/>
          <w:vertAlign w:val="baseline"/>
        </w:rPr>
        <w:t> </w:t>
      </w:r>
      <w:r>
        <w:rPr>
          <w:vertAlign w:val="baseline"/>
        </w:rPr>
        <w:t>of</w:t>
      </w:r>
      <w:r>
        <w:rPr>
          <w:spacing w:val="51"/>
          <w:vertAlign w:val="baseline"/>
        </w:rPr>
        <w:t> </w:t>
      </w:r>
      <w:r>
        <w:rPr>
          <w:vertAlign w:val="baseline"/>
        </w:rPr>
        <w:t>other</w:t>
      </w:r>
      <w:r>
        <w:rPr>
          <w:spacing w:val="51"/>
          <w:vertAlign w:val="baseline"/>
        </w:rPr>
        <w:t> </w:t>
      </w:r>
      <w:r>
        <w:rPr>
          <w:vertAlign w:val="baseline"/>
        </w:rPr>
        <w:t>foods</w:t>
      </w:r>
      <w:r>
        <w:rPr>
          <w:spacing w:val="51"/>
          <w:vertAlign w:val="baseline"/>
        </w:rPr>
        <w:t> </w:t>
      </w:r>
      <w:r>
        <w:rPr>
          <w:vertAlign w:val="baseline"/>
        </w:rPr>
        <w:t>to</w:t>
      </w:r>
      <w:r>
        <w:rPr>
          <w:spacing w:val="51"/>
          <w:vertAlign w:val="baseline"/>
        </w:rPr>
        <w:t> </w:t>
      </w:r>
      <w:r>
        <w:rPr>
          <w:vertAlign w:val="baseline"/>
        </w:rPr>
        <w:t>provide</w:t>
      </w:r>
      <w:r>
        <w:rPr>
          <w:spacing w:val="51"/>
          <w:vertAlign w:val="baseline"/>
        </w:rPr>
        <w:t> </w:t>
      </w:r>
      <w:r>
        <w:rPr>
          <w:vertAlign w:val="baseline"/>
        </w:rPr>
        <w:t>the</w:t>
      </w:r>
      <w:r>
        <w:rPr>
          <w:spacing w:val="51"/>
          <w:vertAlign w:val="baseline"/>
        </w:rPr>
        <w:t> </w:t>
      </w:r>
      <w:r>
        <w:rPr>
          <w:vertAlign w:val="baseline"/>
        </w:rPr>
        <w:t>same</w:t>
      </w:r>
      <w:r>
        <w:rPr>
          <w:spacing w:val="51"/>
          <w:vertAlign w:val="baseline"/>
        </w:rPr>
        <w:t> </w:t>
      </w:r>
      <w:r>
        <w:rPr>
          <w:vertAlign w:val="baseline"/>
        </w:rPr>
        <w:t>amount</w:t>
      </w:r>
      <w:r>
        <w:rPr>
          <w:spacing w:val="51"/>
          <w:vertAlign w:val="baseline"/>
        </w:rPr>
        <w:t> </w:t>
      </w:r>
      <w:r>
        <w:rPr>
          <w:vertAlign w:val="baseline"/>
        </w:rPr>
        <w:t>of</w:t>
      </w:r>
      <w:r>
        <w:rPr>
          <w:spacing w:val="51"/>
          <w:vertAlign w:val="baseline"/>
        </w:rPr>
        <w:t> </w:t>
      </w:r>
      <w:r>
        <w:rPr>
          <w:vertAlign w:val="baseline"/>
        </w:rPr>
        <w:t>calcium</w:t>
      </w:r>
      <w:r>
        <w:rPr>
          <w:spacing w:val="51"/>
          <w:vertAlign w:val="baseline"/>
        </w:rPr>
        <w:t> </w:t>
      </w:r>
      <w:r>
        <w:rPr>
          <w:spacing w:val="-5"/>
          <w:vertAlign w:val="baseline"/>
        </w:rPr>
        <w:t>in</w:t>
      </w:r>
    </w:p>
    <w:p>
      <w:pPr>
        <w:pStyle w:val="BodyText"/>
        <w:spacing w:after="0" w:line="249" w:lineRule="auto"/>
        <w:sectPr>
          <w:pgSz w:w="12240" w:h="15840"/>
          <w:pgMar w:top="1380" w:bottom="280" w:left="1440" w:right="1440"/>
        </w:sectPr>
      </w:pPr>
    </w:p>
    <w:p>
      <w:pPr>
        <w:pStyle w:val="BodyText"/>
        <w:spacing w:line="249" w:lineRule="auto"/>
        <w:ind w:right="99"/>
      </w:pPr>
      <w:r>
        <w:rPr/>
        <w:t>normal daily servings of dairy products (</w:t>
      </w:r>
      <w:r>
        <w:rPr>
          <w:b/>
          <w:color w:val="256E60"/>
        </w:rPr>
        <w:t>Table 23.5</w:t>
      </w:r>
      <w:r>
        <w:rPr/>
        <w:t>). Foods with high amounts of oxalate and phytate, such as spinach, rhubarb, beans, </w:t>
      </w:r>
      <w:r>
        <w:rPr/>
        <w:t>peas, wheat bran, and beet greens, reduce calcium absorption.</w:t>
      </w:r>
    </w:p>
    <w:p>
      <w:pPr>
        <w:pStyle w:val="BodyText"/>
        <w:spacing w:line="249" w:lineRule="auto" w:before="3"/>
        <w:ind w:right="97" w:firstLine="450"/>
      </w:pPr>
      <w:r>
        <w:rPr/>
        <w:t>There are dozens of calcium supplements on the market, containing calcium carbonate, calcium lactate, calcium phosphate, or calcium gluconate. Calcium carbonate tablets are the cheapest and contain the most elemental calcium (40%). Calcium lactate tablets contain 13% calcium, calcium citrate 23%, and calcium gluconate only 9%. The </w:t>
      </w:r>
      <w:r>
        <w:rPr/>
        <w:t>calcium carbonate antacids are excellent, inexpensive sources. Be aware that aluminum-containing antacids such as Maalox, Mylanta, Gelusil, and Riopan can inhibit gastrointestinal absorption of calcium. Bone meal and dolomite as sources of calcium should be avoided because they are contaminated with lead. Calcium carbonate derived from “natural” sources (such as oyster shell), brand-name formulations, and even “refined” products can also contain lead.</w:t>
      </w:r>
      <w:r>
        <w:rPr>
          <w:vertAlign w:val="superscript"/>
        </w:rPr>
        <w:t>196</w:t>
      </w:r>
      <w:r>
        <w:rPr>
          <w:vertAlign w:val="baseline"/>
        </w:rPr>
        <w:t> It is worth looking for specific products labeled</w:t>
      </w:r>
      <w:r>
        <w:rPr>
          <w:spacing w:val="-6"/>
          <w:vertAlign w:val="baseline"/>
        </w:rPr>
        <w:t> </w:t>
      </w:r>
      <w:r>
        <w:rPr>
          <w:vertAlign w:val="baseline"/>
        </w:rPr>
        <w:t>as</w:t>
      </w:r>
      <w:r>
        <w:rPr>
          <w:spacing w:val="-6"/>
          <w:vertAlign w:val="baseline"/>
        </w:rPr>
        <w:t> </w:t>
      </w:r>
      <w:r>
        <w:rPr>
          <w:vertAlign w:val="baseline"/>
        </w:rPr>
        <w:t>tested</w:t>
      </w:r>
      <w:r>
        <w:rPr>
          <w:spacing w:val="-6"/>
          <w:vertAlign w:val="baseline"/>
        </w:rPr>
        <w:t> </w:t>
      </w:r>
      <w:r>
        <w:rPr>
          <w:vertAlign w:val="baseline"/>
        </w:rPr>
        <w:t>and</w:t>
      </w:r>
      <w:r>
        <w:rPr>
          <w:spacing w:val="-6"/>
          <w:vertAlign w:val="baseline"/>
        </w:rPr>
        <w:t> </w:t>
      </w:r>
      <w:r>
        <w:rPr>
          <w:vertAlign w:val="baseline"/>
        </w:rPr>
        <w:t>containing</w:t>
      </w:r>
      <w:r>
        <w:rPr>
          <w:spacing w:val="-6"/>
          <w:vertAlign w:val="baseline"/>
        </w:rPr>
        <w:t> </w:t>
      </w:r>
      <w:r>
        <w:rPr>
          <w:vertAlign w:val="baseline"/>
        </w:rPr>
        <w:t>no</w:t>
      </w:r>
      <w:r>
        <w:rPr>
          <w:spacing w:val="-6"/>
          <w:vertAlign w:val="baseline"/>
        </w:rPr>
        <w:t> </w:t>
      </w:r>
      <w:r>
        <w:rPr>
          <w:vertAlign w:val="baseline"/>
        </w:rPr>
        <w:t>lead,</w:t>
      </w:r>
      <w:r>
        <w:rPr>
          <w:spacing w:val="-6"/>
          <w:vertAlign w:val="baseline"/>
        </w:rPr>
        <w:t> </w:t>
      </w:r>
      <w:r>
        <w:rPr>
          <w:vertAlign w:val="baseline"/>
        </w:rPr>
        <w:t>having</w:t>
      </w:r>
      <w:r>
        <w:rPr>
          <w:spacing w:val="-6"/>
          <w:vertAlign w:val="baseline"/>
        </w:rPr>
        <w:t> </w:t>
      </w:r>
      <w:r>
        <w:rPr>
          <w:vertAlign w:val="baseline"/>
        </w:rPr>
        <w:t>“purified”</w:t>
      </w:r>
      <w:r>
        <w:rPr>
          <w:spacing w:val="-6"/>
          <w:vertAlign w:val="baseline"/>
        </w:rPr>
        <w:t> </w:t>
      </w:r>
      <w:r>
        <w:rPr>
          <w:vertAlign w:val="baseline"/>
        </w:rPr>
        <w:t>or</w:t>
      </w:r>
      <w:r>
        <w:rPr>
          <w:spacing w:val="-6"/>
          <w:vertAlign w:val="baseline"/>
        </w:rPr>
        <w:t> </w:t>
      </w:r>
      <w:r>
        <w:rPr>
          <w:vertAlign w:val="baseline"/>
        </w:rPr>
        <w:t>“USP</w:t>
      </w:r>
      <w:r>
        <w:rPr>
          <w:spacing w:val="-6"/>
          <w:vertAlign w:val="baseline"/>
        </w:rPr>
        <w:t> </w:t>
      </w:r>
      <w:r>
        <w:rPr>
          <w:vertAlign w:val="baseline"/>
        </w:rPr>
        <w:t>Verified Mark” on the label. Calcium citrate does not require gastric acid for absorption and is the best choice for older patients with reduced gastric acid production.</w:t>
      </w:r>
      <w:r>
        <w:rPr>
          <w:spacing w:val="-6"/>
          <w:vertAlign w:val="baseline"/>
        </w:rPr>
        <w:t> </w:t>
      </w:r>
      <w:r>
        <w:rPr>
          <w:vertAlign w:val="baseline"/>
        </w:rPr>
        <w:t>Calcium</w:t>
      </w:r>
      <w:r>
        <w:rPr>
          <w:spacing w:val="-5"/>
          <w:vertAlign w:val="baseline"/>
        </w:rPr>
        <w:t> </w:t>
      </w:r>
      <w:r>
        <w:rPr>
          <w:vertAlign w:val="baseline"/>
        </w:rPr>
        <w:t>supplementation</w:t>
      </w:r>
      <w:r>
        <w:rPr>
          <w:spacing w:val="-5"/>
          <w:vertAlign w:val="baseline"/>
        </w:rPr>
        <w:t> </w:t>
      </w:r>
      <w:r>
        <w:rPr>
          <w:vertAlign w:val="baseline"/>
        </w:rPr>
        <w:t>is</w:t>
      </w:r>
      <w:r>
        <w:rPr>
          <w:spacing w:val="-5"/>
          <w:vertAlign w:val="baseline"/>
        </w:rPr>
        <w:t> </w:t>
      </w:r>
      <w:r>
        <w:rPr>
          <w:vertAlign w:val="baseline"/>
        </w:rPr>
        <w:t>most</w:t>
      </w:r>
      <w:r>
        <w:rPr>
          <w:spacing w:val="-5"/>
          <w:vertAlign w:val="baseline"/>
        </w:rPr>
        <w:t> </w:t>
      </w:r>
      <w:r>
        <w:rPr>
          <w:vertAlign w:val="baseline"/>
        </w:rPr>
        <w:t>efficient</w:t>
      </w:r>
      <w:r>
        <w:rPr>
          <w:spacing w:val="-5"/>
          <w:vertAlign w:val="baseline"/>
        </w:rPr>
        <w:t> </w:t>
      </w:r>
      <w:r>
        <w:rPr>
          <w:vertAlign w:val="baseline"/>
        </w:rPr>
        <w:t>when</w:t>
      </w:r>
      <w:r>
        <w:rPr>
          <w:spacing w:val="-5"/>
          <w:vertAlign w:val="baseline"/>
        </w:rPr>
        <w:t> </w:t>
      </w:r>
      <w:r>
        <w:rPr>
          <w:vertAlign w:val="baseline"/>
        </w:rPr>
        <w:t>single</w:t>
      </w:r>
      <w:r>
        <w:rPr>
          <w:spacing w:val="-5"/>
          <w:vertAlign w:val="baseline"/>
        </w:rPr>
        <w:t> </w:t>
      </w:r>
      <w:r>
        <w:rPr>
          <w:vertAlign w:val="baseline"/>
        </w:rPr>
        <w:t>doses</w:t>
      </w:r>
      <w:r>
        <w:rPr>
          <w:spacing w:val="-5"/>
          <w:vertAlign w:val="baseline"/>
        </w:rPr>
        <w:t> </w:t>
      </w:r>
      <w:r>
        <w:rPr>
          <w:vertAlign w:val="baseline"/>
        </w:rPr>
        <w:t>do not exceed 500 mg and when taken with a meal. </w:t>
      </w:r>
      <w:r>
        <w:rPr>
          <w:b/>
          <w:vertAlign w:val="baseline"/>
        </w:rPr>
        <w:t>Excess calcium supplementation (especially not with meals) is associated with a slight increase in risk for kidney stones</w:t>
      </w:r>
      <w:r>
        <w:rPr>
          <w:vertAlign w:val="baseline"/>
        </w:rPr>
        <w:t>.</w:t>
      </w:r>
      <w:r>
        <w:rPr>
          <w:vertAlign w:val="superscript"/>
        </w:rPr>
        <w:t>186,197</w:t>
      </w:r>
    </w:p>
    <w:p>
      <w:pPr>
        <w:pStyle w:val="BodyText"/>
        <w:spacing w:before="0"/>
        <w:ind w:left="0"/>
        <w:jc w:val="left"/>
        <w:rPr>
          <w:sz w:val="20"/>
        </w:rPr>
      </w:pPr>
    </w:p>
    <w:p>
      <w:pPr>
        <w:pStyle w:val="BodyText"/>
        <w:spacing w:before="135"/>
        <w:ind w:left="0"/>
        <w:jc w:val="left"/>
        <w:rPr>
          <w:sz w:val="20"/>
        </w:rPr>
      </w:pPr>
      <w:r>
        <w:rPr>
          <w:sz w:val="20"/>
        </w:rPr>
        <mc:AlternateContent>
          <mc:Choice Requires="wps">
            <w:drawing>
              <wp:anchor distT="0" distB="0" distL="0" distR="0" allowOverlap="1" layoutInCell="1" locked="0" behindDoc="1" simplePos="0" relativeHeight="487608832">
                <wp:simplePos x="0" y="0"/>
                <wp:positionH relativeFrom="page">
                  <wp:posOffset>981075</wp:posOffset>
                </wp:positionH>
                <wp:positionV relativeFrom="paragraph">
                  <wp:posOffset>247060</wp:posOffset>
                </wp:positionV>
                <wp:extent cx="5810250" cy="285750"/>
                <wp:effectExtent l="0" t="0" r="0" b="0"/>
                <wp:wrapTopAndBottom/>
                <wp:docPr id="82" name="Textbox 82"/>
                <wp:cNvGraphicFramePr>
                  <a:graphicFrameLocks/>
                </wp:cNvGraphicFramePr>
                <a:graphic>
                  <a:graphicData uri="http://schemas.microsoft.com/office/word/2010/wordprocessingShape">
                    <wps:wsp>
                      <wps:cNvPr id="82" name="Textbox 82"/>
                      <wps:cNvSpPr txBox="1"/>
                      <wps:spPr>
                        <a:xfrm>
                          <a:off x="0" y="0"/>
                          <a:ext cx="5810250" cy="285750"/>
                        </a:xfrm>
                        <a:prstGeom prst="rect">
                          <a:avLst/>
                        </a:prstGeom>
                        <a:solidFill>
                          <a:srgbClr val="256E60"/>
                        </a:solidFill>
                      </wps:spPr>
                      <wps:txbx>
                        <w:txbxContent>
                          <w:p>
                            <w:pPr>
                              <w:spacing w:before="93"/>
                              <w:ind w:left="84" w:right="0" w:firstLine="0"/>
                              <w:jc w:val="left"/>
                              <w:rPr>
                                <w:rFonts w:ascii="Arial"/>
                                <w:b/>
                                <w:color w:val="000000"/>
                                <w:sz w:val="22"/>
                              </w:rPr>
                            </w:pPr>
                            <w:r>
                              <w:rPr>
                                <w:rFonts w:ascii="Arial"/>
                                <w:b/>
                                <w:color w:val="FFFFFF"/>
                                <w:sz w:val="22"/>
                              </w:rPr>
                              <w:t>TABLE</w:t>
                            </w:r>
                            <w:r>
                              <w:rPr>
                                <w:rFonts w:ascii="Arial"/>
                                <w:b/>
                                <w:color w:val="FFFFFF"/>
                                <w:spacing w:val="9"/>
                                <w:sz w:val="22"/>
                              </w:rPr>
                              <w:t> </w:t>
                            </w:r>
                            <w:r>
                              <w:rPr>
                                <w:rFonts w:ascii="Arial"/>
                                <w:b/>
                                <w:color w:val="FFFFFF"/>
                                <w:sz w:val="22"/>
                              </w:rPr>
                              <w:t>23.5</w:t>
                            </w:r>
                            <w:r>
                              <w:rPr>
                                <w:rFonts w:ascii="Arial"/>
                                <w:b/>
                                <w:color w:val="FFFFFF"/>
                                <w:spacing w:val="10"/>
                                <w:sz w:val="22"/>
                              </w:rPr>
                              <w:t> </w:t>
                            </w:r>
                            <w:r>
                              <w:rPr>
                                <w:rFonts w:ascii="Arial"/>
                                <w:b/>
                                <w:color w:val="FFFFFF"/>
                                <w:sz w:val="22"/>
                              </w:rPr>
                              <w:t>Calcium</w:t>
                            </w:r>
                            <w:r>
                              <w:rPr>
                                <w:rFonts w:ascii="Arial"/>
                                <w:b/>
                                <w:color w:val="FFFFFF"/>
                                <w:spacing w:val="10"/>
                                <w:sz w:val="22"/>
                              </w:rPr>
                              <w:t> </w:t>
                            </w:r>
                            <w:r>
                              <w:rPr>
                                <w:rFonts w:ascii="Arial"/>
                                <w:b/>
                                <w:color w:val="FFFFFF"/>
                                <w:sz w:val="22"/>
                              </w:rPr>
                              <w:t>Content</w:t>
                            </w:r>
                            <w:r>
                              <w:rPr>
                                <w:rFonts w:ascii="Arial"/>
                                <w:b/>
                                <w:color w:val="FFFFFF"/>
                                <w:spacing w:val="10"/>
                                <w:sz w:val="22"/>
                              </w:rPr>
                              <w:t> </w:t>
                            </w:r>
                            <w:r>
                              <w:rPr>
                                <w:rFonts w:ascii="Arial"/>
                                <w:b/>
                                <w:color w:val="FFFFFF"/>
                                <w:sz w:val="22"/>
                              </w:rPr>
                              <w:t>of</w:t>
                            </w:r>
                            <w:r>
                              <w:rPr>
                                <w:rFonts w:ascii="Arial"/>
                                <w:b/>
                                <w:color w:val="FFFFFF"/>
                                <w:spacing w:val="10"/>
                                <w:sz w:val="22"/>
                              </w:rPr>
                              <w:t> </w:t>
                            </w:r>
                            <w:r>
                              <w:rPr>
                                <w:rFonts w:ascii="Arial"/>
                                <w:b/>
                                <w:color w:val="FFFFFF"/>
                                <w:spacing w:val="-2"/>
                                <w:sz w:val="22"/>
                              </w:rPr>
                              <w:t>Foods</w:t>
                            </w:r>
                          </w:p>
                        </w:txbxContent>
                      </wps:txbx>
                      <wps:bodyPr wrap="square" lIns="0" tIns="0" rIns="0" bIns="0" rtlCol="0">
                        <a:noAutofit/>
                      </wps:bodyPr>
                    </wps:wsp>
                  </a:graphicData>
                </a:graphic>
              </wp:anchor>
            </w:drawing>
          </mc:Choice>
          <mc:Fallback>
            <w:pict>
              <v:shape style="position:absolute;margin-left:77.25pt;margin-top:19.453573pt;width:457.5pt;height:22.5pt;mso-position-horizontal-relative:page;mso-position-vertical-relative:paragraph;z-index:-15707648;mso-wrap-distance-left:0;mso-wrap-distance-right:0" type="#_x0000_t202" id="docshape69" filled="true" fillcolor="#256e60" stroked="false">
                <v:textbox inset="0,0,0,0">
                  <w:txbxContent>
                    <w:p>
                      <w:pPr>
                        <w:spacing w:before="93"/>
                        <w:ind w:left="84" w:right="0" w:firstLine="0"/>
                        <w:jc w:val="left"/>
                        <w:rPr>
                          <w:rFonts w:ascii="Arial"/>
                          <w:b/>
                          <w:color w:val="000000"/>
                          <w:sz w:val="22"/>
                        </w:rPr>
                      </w:pPr>
                      <w:r>
                        <w:rPr>
                          <w:rFonts w:ascii="Arial"/>
                          <w:b/>
                          <w:color w:val="FFFFFF"/>
                          <w:sz w:val="22"/>
                        </w:rPr>
                        <w:t>TABLE</w:t>
                      </w:r>
                      <w:r>
                        <w:rPr>
                          <w:rFonts w:ascii="Arial"/>
                          <w:b/>
                          <w:color w:val="FFFFFF"/>
                          <w:spacing w:val="9"/>
                          <w:sz w:val="22"/>
                        </w:rPr>
                        <w:t> </w:t>
                      </w:r>
                      <w:r>
                        <w:rPr>
                          <w:rFonts w:ascii="Arial"/>
                          <w:b/>
                          <w:color w:val="FFFFFF"/>
                          <w:sz w:val="22"/>
                        </w:rPr>
                        <w:t>23.5</w:t>
                      </w:r>
                      <w:r>
                        <w:rPr>
                          <w:rFonts w:ascii="Arial"/>
                          <w:b/>
                          <w:color w:val="FFFFFF"/>
                          <w:spacing w:val="10"/>
                          <w:sz w:val="22"/>
                        </w:rPr>
                        <w:t> </w:t>
                      </w:r>
                      <w:r>
                        <w:rPr>
                          <w:rFonts w:ascii="Arial"/>
                          <w:b/>
                          <w:color w:val="FFFFFF"/>
                          <w:sz w:val="22"/>
                        </w:rPr>
                        <w:t>Calcium</w:t>
                      </w:r>
                      <w:r>
                        <w:rPr>
                          <w:rFonts w:ascii="Arial"/>
                          <w:b/>
                          <w:color w:val="FFFFFF"/>
                          <w:spacing w:val="10"/>
                          <w:sz w:val="22"/>
                        </w:rPr>
                        <w:t> </w:t>
                      </w:r>
                      <w:r>
                        <w:rPr>
                          <w:rFonts w:ascii="Arial"/>
                          <w:b/>
                          <w:color w:val="FFFFFF"/>
                          <w:sz w:val="22"/>
                        </w:rPr>
                        <w:t>Content</w:t>
                      </w:r>
                      <w:r>
                        <w:rPr>
                          <w:rFonts w:ascii="Arial"/>
                          <w:b/>
                          <w:color w:val="FFFFFF"/>
                          <w:spacing w:val="10"/>
                          <w:sz w:val="22"/>
                        </w:rPr>
                        <w:t> </w:t>
                      </w:r>
                      <w:r>
                        <w:rPr>
                          <w:rFonts w:ascii="Arial"/>
                          <w:b/>
                          <w:color w:val="FFFFFF"/>
                          <w:sz w:val="22"/>
                        </w:rPr>
                        <w:t>of</w:t>
                      </w:r>
                      <w:r>
                        <w:rPr>
                          <w:rFonts w:ascii="Arial"/>
                          <w:b/>
                          <w:color w:val="FFFFFF"/>
                          <w:spacing w:val="10"/>
                          <w:sz w:val="22"/>
                        </w:rPr>
                        <w:t> </w:t>
                      </w:r>
                      <w:r>
                        <w:rPr>
                          <w:rFonts w:ascii="Arial"/>
                          <w:b/>
                          <w:color w:val="FFFFFF"/>
                          <w:spacing w:val="-2"/>
                          <w:sz w:val="22"/>
                        </w:rPr>
                        <w:t>Foods</w:t>
                      </w:r>
                    </w:p>
                  </w:txbxContent>
                </v:textbox>
                <v:fill type="solid"/>
                <w10:wrap type="topAndBottom"/>
              </v:shape>
            </w:pict>
          </mc:Fallback>
        </mc:AlternateContent>
      </w:r>
    </w:p>
    <w:p>
      <w:pPr>
        <w:tabs>
          <w:tab w:pos="5064" w:val="left" w:leader="none"/>
        </w:tabs>
        <w:spacing w:before="139"/>
        <w:ind w:left="189" w:right="0" w:firstLine="0"/>
        <w:jc w:val="left"/>
        <w:rPr>
          <w:sz w:val="22"/>
        </w:rPr>
      </w:pPr>
      <w:r>
        <w:rPr>
          <w:sz w:val="22"/>
        </w:rPr>
        <w:t>Yogurt</w:t>
      </w:r>
      <w:r>
        <w:rPr>
          <w:spacing w:val="-3"/>
          <w:sz w:val="22"/>
        </w:rPr>
        <w:t> </w:t>
      </w:r>
      <w:r>
        <w:rPr>
          <w:sz w:val="22"/>
        </w:rPr>
        <w:t>(1</w:t>
      </w:r>
      <w:r>
        <w:rPr>
          <w:spacing w:val="-2"/>
          <w:sz w:val="22"/>
        </w:rPr>
        <w:t> </w:t>
      </w:r>
      <w:r>
        <w:rPr>
          <w:spacing w:val="-4"/>
          <w:sz w:val="22"/>
        </w:rPr>
        <w:t>cup)</w:t>
      </w:r>
      <w:r>
        <w:rPr>
          <w:sz w:val="22"/>
        </w:rPr>
        <w:tab/>
        <w:t>415</w:t>
      </w:r>
      <w:r>
        <w:rPr>
          <w:spacing w:val="7"/>
          <w:sz w:val="22"/>
        </w:rPr>
        <w:t> </w:t>
      </w:r>
      <w:r>
        <w:rPr>
          <w:spacing w:val="-5"/>
          <w:sz w:val="22"/>
        </w:rPr>
        <w:t>mg</w:t>
      </w:r>
    </w:p>
    <w:p>
      <w:pPr>
        <w:pStyle w:val="BodyText"/>
        <w:spacing w:before="1"/>
        <w:ind w:left="0"/>
        <w:jc w:val="left"/>
        <w:rPr>
          <w:sz w:val="12"/>
        </w:rPr>
      </w:pPr>
      <w:r>
        <w:rPr>
          <w:sz w:val="12"/>
        </w:rPr>
        <mc:AlternateContent>
          <mc:Choice Requires="wps">
            <w:drawing>
              <wp:anchor distT="0" distB="0" distL="0" distR="0" allowOverlap="1" layoutInCell="1" locked="0" behindDoc="1" simplePos="0" relativeHeight="487609344">
                <wp:simplePos x="0" y="0"/>
                <wp:positionH relativeFrom="page">
                  <wp:posOffset>981062</wp:posOffset>
                </wp:positionH>
                <wp:positionV relativeFrom="paragraph">
                  <wp:posOffset>103530</wp:posOffset>
                </wp:positionV>
                <wp:extent cx="5810250" cy="9525"/>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5810250" cy="9525"/>
                        </a:xfrm>
                        <a:custGeom>
                          <a:avLst/>
                          <a:gdLst/>
                          <a:ahLst/>
                          <a:cxnLst/>
                          <a:rect l="l" t="t" r="r" b="b"/>
                          <a:pathLst>
                            <a:path w="5810250" h="9525">
                              <a:moveTo>
                                <a:pt x="5810250" y="0"/>
                              </a:moveTo>
                              <a:lnTo>
                                <a:pt x="3095625" y="0"/>
                              </a:lnTo>
                              <a:lnTo>
                                <a:pt x="0" y="0"/>
                              </a:lnTo>
                              <a:lnTo>
                                <a:pt x="0" y="9525"/>
                              </a:lnTo>
                              <a:lnTo>
                                <a:pt x="3095625"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shape style="position:absolute;margin-left:77.249001pt;margin-top:8.151983pt;width:457.5pt;height:.75pt;mso-position-horizontal-relative:page;mso-position-vertical-relative:paragraph;z-index:-15707136;mso-wrap-distance-left:0;mso-wrap-distance-right:0" id="docshape70" coordorigin="1545,163" coordsize="9150,15" path="m10695,163l6420,163,1545,163,1545,178,6420,178,10695,178,10695,163xe" filled="true" fillcolor="#1c5349" stroked="false">
                <v:path arrowok="t"/>
                <v:fill type="solid"/>
                <w10:wrap type="topAndBottom"/>
              </v:shape>
            </w:pict>
          </mc:Fallback>
        </mc:AlternateContent>
      </w:r>
    </w:p>
    <w:p>
      <w:pPr>
        <w:tabs>
          <w:tab w:pos="5064" w:val="left" w:leader="none"/>
        </w:tabs>
        <w:spacing w:before="139"/>
        <w:ind w:left="189" w:right="0" w:firstLine="0"/>
        <w:jc w:val="left"/>
        <w:rPr>
          <w:sz w:val="22"/>
        </w:rPr>
      </w:pPr>
      <w:r>
        <w:rPr>
          <w:sz w:val="22"/>
        </w:rPr>
        <w:t>Yogurt</w:t>
      </w:r>
      <w:r>
        <w:rPr>
          <w:spacing w:val="3"/>
          <w:sz w:val="22"/>
        </w:rPr>
        <w:t> </w:t>
      </w:r>
      <w:r>
        <w:rPr>
          <w:sz w:val="22"/>
        </w:rPr>
        <w:t>with</w:t>
      </w:r>
      <w:r>
        <w:rPr>
          <w:spacing w:val="3"/>
          <w:sz w:val="22"/>
        </w:rPr>
        <w:t> </w:t>
      </w:r>
      <w:r>
        <w:rPr>
          <w:sz w:val="22"/>
        </w:rPr>
        <w:t>fruit</w:t>
      </w:r>
      <w:r>
        <w:rPr>
          <w:spacing w:val="3"/>
          <w:sz w:val="22"/>
        </w:rPr>
        <w:t> </w:t>
      </w:r>
      <w:r>
        <w:rPr>
          <w:sz w:val="22"/>
        </w:rPr>
        <w:t>(1</w:t>
      </w:r>
      <w:r>
        <w:rPr>
          <w:spacing w:val="3"/>
          <w:sz w:val="22"/>
        </w:rPr>
        <w:t> </w:t>
      </w:r>
      <w:r>
        <w:rPr>
          <w:spacing w:val="-4"/>
          <w:sz w:val="22"/>
        </w:rPr>
        <w:t>cup)</w:t>
      </w:r>
      <w:r>
        <w:rPr>
          <w:sz w:val="22"/>
        </w:rPr>
        <w:tab/>
        <w:t>345</w:t>
      </w:r>
      <w:r>
        <w:rPr>
          <w:spacing w:val="7"/>
          <w:sz w:val="22"/>
        </w:rPr>
        <w:t> </w:t>
      </w:r>
      <w:r>
        <w:rPr>
          <w:spacing w:val="-5"/>
          <w:sz w:val="22"/>
        </w:rPr>
        <w:t>mg</w:t>
      </w:r>
    </w:p>
    <w:p>
      <w:pPr>
        <w:pStyle w:val="BodyText"/>
        <w:spacing w:before="1"/>
        <w:ind w:left="0"/>
        <w:jc w:val="left"/>
        <w:rPr>
          <w:sz w:val="12"/>
        </w:rPr>
      </w:pPr>
      <w:r>
        <w:rPr>
          <w:sz w:val="12"/>
        </w:rPr>
        <mc:AlternateContent>
          <mc:Choice Requires="wps">
            <w:drawing>
              <wp:anchor distT="0" distB="0" distL="0" distR="0" allowOverlap="1" layoutInCell="1" locked="0" behindDoc="1" simplePos="0" relativeHeight="487609856">
                <wp:simplePos x="0" y="0"/>
                <wp:positionH relativeFrom="page">
                  <wp:posOffset>981062</wp:posOffset>
                </wp:positionH>
                <wp:positionV relativeFrom="paragraph">
                  <wp:posOffset>103530</wp:posOffset>
                </wp:positionV>
                <wp:extent cx="5810250" cy="9525"/>
                <wp:effectExtent l="0" t="0" r="0" b="0"/>
                <wp:wrapTopAndBottom/>
                <wp:docPr id="84" name="Graphic 84"/>
                <wp:cNvGraphicFramePr>
                  <a:graphicFrameLocks/>
                </wp:cNvGraphicFramePr>
                <a:graphic>
                  <a:graphicData uri="http://schemas.microsoft.com/office/word/2010/wordprocessingShape">
                    <wps:wsp>
                      <wps:cNvPr id="84" name="Graphic 84"/>
                      <wps:cNvSpPr/>
                      <wps:spPr>
                        <a:xfrm>
                          <a:off x="0" y="0"/>
                          <a:ext cx="5810250" cy="9525"/>
                        </a:xfrm>
                        <a:custGeom>
                          <a:avLst/>
                          <a:gdLst/>
                          <a:ahLst/>
                          <a:cxnLst/>
                          <a:rect l="l" t="t" r="r" b="b"/>
                          <a:pathLst>
                            <a:path w="5810250" h="9525">
                              <a:moveTo>
                                <a:pt x="5810250" y="0"/>
                              </a:moveTo>
                              <a:lnTo>
                                <a:pt x="3095625" y="0"/>
                              </a:lnTo>
                              <a:lnTo>
                                <a:pt x="0" y="0"/>
                              </a:lnTo>
                              <a:lnTo>
                                <a:pt x="0" y="9525"/>
                              </a:lnTo>
                              <a:lnTo>
                                <a:pt x="3095625"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shape style="position:absolute;margin-left:77.249001pt;margin-top:8.151987pt;width:457.5pt;height:.75pt;mso-position-horizontal-relative:page;mso-position-vertical-relative:paragraph;z-index:-15706624;mso-wrap-distance-left:0;mso-wrap-distance-right:0" id="docshape71" coordorigin="1545,163" coordsize="9150,15" path="m10695,163l6420,163,1545,163,1545,178,6420,178,10695,178,10695,163xe" filled="true" fillcolor="#1c5349" stroked="false">
                <v:path arrowok="t"/>
                <v:fill type="solid"/>
                <w10:wrap type="topAndBottom"/>
              </v:shape>
            </w:pict>
          </mc:Fallback>
        </mc:AlternateContent>
      </w:r>
    </w:p>
    <w:p>
      <w:pPr>
        <w:tabs>
          <w:tab w:pos="5064" w:val="left" w:leader="none"/>
        </w:tabs>
        <w:spacing w:before="139"/>
        <w:ind w:left="189" w:right="0" w:firstLine="0"/>
        <w:jc w:val="left"/>
        <w:rPr>
          <w:sz w:val="22"/>
        </w:rPr>
      </w:pPr>
      <w:r>
        <w:rPr>
          <w:sz w:val="22"/>
        </w:rPr>
        <w:t>Juice</w:t>
      </w:r>
      <w:r>
        <w:rPr>
          <w:spacing w:val="10"/>
          <w:sz w:val="22"/>
        </w:rPr>
        <w:t> </w:t>
      </w:r>
      <w:r>
        <w:rPr>
          <w:sz w:val="22"/>
        </w:rPr>
        <w:t>fortified</w:t>
      </w:r>
      <w:r>
        <w:rPr>
          <w:spacing w:val="11"/>
          <w:sz w:val="22"/>
        </w:rPr>
        <w:t> </w:t>
      </w:r>
      <w:r>
        <w:rPr>
          <w:sz w:val="22"/>
        </w:rPr>
        <w:t>with</w:t>
      </w:r>
      <w:r>
        <w:rPr>
          <w:spacing w:val="11"/>
          <w:sz w:val="22"/>
        </w:rPr>
        <w:t> </w:t>
      </w:r>
      <w:r>
        <w:rPr>
          <w:sz w:val="22"/>
        </w:rPr>
        <w:t>calcium</w:t>
      </w:r>
      <w:r>
        <w:rPr>
          <w:spacing w:val="11"/>
          <w:sz w:val="22"/>
        </w:rPr>
        <w:t> </w:t>
      </w:r>
      <w:r>
        <w:rPr>
          <w:sz w:val="22"/>
        </w:rPr>
        <w:t>(1</w:t>
      </w:r>
      <w:r>
        <w:rPr>
          <w:spacing w:val="10"/>
          <w:sz w:val="22"/>
        </w:rPr>
        <w:t> </w:t>
      </w:r>
      <w:r>
        <w:rPr>
          <w:spacing w:val="-4"/>
          <w:sz w:val="22"/>
        </w:rPr>
        <w:t>cup)</w:t>
      </w:r>
      <w:r>
        <w:rPr>
          <w:sz w:val="22"/>
        </w:rPr>
        <w:tab/>
        <w:t>300</w:t>
      </w:r>
      <w:r>
        <w:rPr>
          <w:spacing w:val="7"/>
          <w:sz w:val="22"/>
        </w:rPr>
        <w:t> </w:t>
      </w:r>
      <w:r>
        <w:rPr>
          <w:spacing w:val="-5"/>
          <w:sz w:val="22"/>
        </w:rPr>
        <w:t>mg</w:t>
      </w:r>
    </w:p>
    <w:p>
      <w:pPr>
        <w:pStyle w:val="BodyText"/>
        <w:spacing w:before="1"/>
        <w:ind w:left="0"/>
        <w:jc w:val="left"/>
        <w:rPr>
          <w:sz w:val="12"/>
        </w:rPr>
      </w:pPr>
      <w:r>
        <w:rPr>
          <w:sz w:val="12"/>
        </w:rPr>
        <mc:AlternateContent>
          <mc:Choice Requires="wps">
            <w:drawing>
              <wp:anchor distT="0" distB="0" distL="0" distR="0" allowOverlap="1" layoutInCell="1" locked="0" behindDoc="1" simplePos="0" relativeHeight="487610368">
                <wp:simplePos x="0" y="0"/>
                <wp:positionH relativeFrom="page">
                  <wp:posOffset>981062</wp:posOffset>
                </wp:positionH>
                <wp:positionV relativeFrom="paragraph">
                  <wp:posOffset>103530</wp:posOffset>
                </wp:positionV>
                <wp:extent cx="5810250" cy="9525"/>
                <wp:effectExtent l="0" t="0" r="0" b="0"/>
                <wp:wrapTopAndBottom/>
                <wp:docPr id="85" name="Graphic 85"/>
                <wp:cNvGraphicFramePr>
                  <a:graphicFrameLocks/>
                </wp:cNvGraphicFramePr>
                <a:graphic>
                  <a:graphicData uri="http://schemas.microsoft.com/office/word/2010/wordprocessingShape">
                    <wps:wsp>
                      <wps:cNvPr id="85" name="Graphic 85"/>
                      <wps:cNvSpPr/>
                      <wps:spPr>
                        <a:xfrm>
                          <a:off x="0" y="0"/>
                          <a:ext cx="5810250" cy="9525"/>
                        </a:xfrm>
                        <a:custGeom>
                          <a:avLst/>
                          <a:gdLst/>
                          <a:ahLst/>
                          <a:cxnLst/>
                          <a:rect l="l" t="t" r="r" b="b"/>
                          <a:pathLst>
                            <a:path w="5810250" h="9525">
                              <a:moveTo>
                                <a:pt x="5810250" y="0"/>
                              </a:moveTo>
                              <a:lnTo>
                                <a:pt x="3095625" y="0"/>
                              </a:lnTo>
                              <a:lnTo>
                                <a:pt x="0" y="0"/>
                              </a:lnTo>
                              <a:lnTo>
                                <a:pt x="0" y="9525"/>
                              </a:lnTo>
                              <a:lnTo>
                                <a:pt x="3095625"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shape style="position:absolute;margin-left:77.249001pt;margin-top:8.151991pt;width:457.5pt;height:.75pt;mso-position-horizontal-relative:page;mso-position-vertical-relative:paragraph;z-index:-15706112;mso-wrap-distance-left:0;mso-wrap-distance-right:0" id="docshape72" coordorigin="1545,163" coordsize="9150,15" path="m10695,163l6420,163,1545,163,1545,178,6420,178,10695,178,10695,163xe" filled="true" fillcolor="#1c5349" stroked="false">
                <v:path arrowok="t"/>
                <v:fill type="solid"/>
                <w10:wrap type="topAndBottom"/>
              </v:shape>
            </w:pict>
          </mc:Fallback>
        </mc:AlternateContent>
      </w:r>
    </w:p>
    <w:p>
      <w:pPr>
        <w:tabs>
          <w:tab w:pos="5064" w:val="left" w:leader="none"/>
        </w:tabs>
        <w:spacing w:before="139"/>
        <w:ind w:left="189" w:right="0" w:firstLine="0"/>
        <w:jc w:val="left"/>
        <w:rPr>
          <w:sz w:val="22"/>
        </w:rPr>
      </w:pPr>
      <w:r>
        <w:rPr>
          <w:sz w:val="22"/>
        </w:rPr>
        <w:t>Milk</w:t>
      </w:r>
      <w:r>
        <w:rPr>
          <w:spacing w:val="7"/>
          <w:sz w:val="22"/>
        </w:rPr>
        <w:t> </w:t>
      </w:r>
      <w:r>
        <w:rPr>
          <w:sz w:val="22"/>
        </w:rPr>
        <w:t>(1</w:t>
      </w:r>
      <w:r>
        <w:rPr>
          <w:spacing w:val="7"/>
          <w:sz w:val="22"/>
        </w:rPr>
        <w:t> </w:t>
      </w:r>
      <w:r>
        <w:rPr>
          <w:spacing w:val="-4"/>
          <w:sz w:val="22"/>
        </w:rPr>
        <w:t>cup)</w:t>
      </w:r>
      <w:r>
        <w:rPr>
          <w:sz w:val="22"/>
        </w:rPr>
        <w:tab/>
        <w:t>300</w:t>
      </w:r>
      <w:r>
        <w:rPr>
          <w:spacing w:val="8"/>
          <w:sz w:val="22"/>
        </w:rPr>
        <w:t> </w:t>
      </w:r>
      <w:r>
        <w:rPr>
          <w:sz w:val="22"/>
        </w:rPr>
        <w:t>mg</w:t>
      </w:r>
      <w:r>
        <w:rPr>
          <w:spacing w:val="8"/>
          <w:sz w:val="22"/>
        </w:rPr>
        <w:t> </w:t>
      </w:r>
      <w:r>
        <w:rPr>
          <w:sz w:val="22"/>
        </w:rPr>
        <w:t>plus</w:t>
      </w:r>
      <w:r>
        <w:rPr>
          <w:spacing w:val="9"/>
          <w:sz w:val="22"/>
        </w:rPr>
        <w:t> </w:t>
      </w:r>
      <w:r>
        <w:rPr>
          <w:sz w:val="22"/>
        </w:rPr>
        <w:t>100</w:t>
      </w:r>
      <w:r>
        <w:rPr>
          <w:spacing w:val="8"/>
          <w:sz w:val="22"/>
        </w:rPr>
        <w:t> </w:t>
      </w:r>
      <w:r>
        <w:rPr>
          <w:sz w:val="22"/>
        </w:rPr>
        <w:t>IU</w:t>
      </w:r>
      <w:r>
        <w:rPr>
          <w:spacing w:val="8"/>
          <w:sz w:val="22"/>
        </w:rPr>
        <w:t> </w:t>
      </w:r>
      <w:r>
        <w:rPr>
          <w:sz w:val="22"/>
        </w:rPr>
        <w:t>vitamin</w:t>
      </w:r>
      <w:r>
        <w:rPr>
          <w:spacing w:val="9"/>
          <w:sz w:val="22"/>
        </w:rPr>
        <w:t> </w:t>
      </w:r>
      <w:r>
        <w:rPr>
          <w:spacing w:val="-10"/>
          <w:sz w:val="22"/>
        </w:rPr>
        <w:t>D</w:t>
      </w:r>
    </w:p>
    <w:p>
      <w:pPr>
        <w:pStyle w:val="BodyText"/>
        <w:spacing w:before="1"/>
        <w:ind w:left="0"/>
        <w:jc w:val="left"/>
        <w:rPr>
          <w:sz w:val="12"/>
        </w:rPr>
      </w:pPr>
      <w:r>
        <w:rPr>
          <w:sz w:val="12"/>
        </w:rPr>
        <mc:AlternateContent>
          <mc:Choice Requires="wps">
            <w:drawing>
              <wp:anchor distT="0" distB="0" distL="0" distR="0" allowOverlap="1" layoutInCell="1" locked="0" behindDoc="1" simplePos="0" relativeHeight="487610880">
                <wp:simplePos x="0" y="0"/>
                <wp:positionH relativeFrom="page">
                  <wp:posOffset>981062</wp:posOffset>
                </wp:positionH>
                <wp:positionV relativeFrom="paragraph">
                  <wp:posOffset>103530</wp:posOffset>
                </wp:positionV>
                <wp:extent cx="5810250" cy="9525"/>
                <wp:effectExtent l="0" t="0" r="0" b="0"/>
                <wp:wrapTopAndBottom/>
                <wp:docPr id="86" name="Graphic 86"/>
                <wp:cNvGraphicFramePr>
                  <a:graphicFrameLocks/>
                </wp:cNvGraphicFramePr>
                <a:graphic>
                  <a:graphicData uri="http://schemas.microsoft.com/office/word/2010/wordprocessingShape">
                    <wps:wsp>
                      <wps:cNvPr id="86" name="Graphic 86"/>
                      <wps:cNvSpPr/>
                      <wps:spPr>
                        <a:xfrm>
                          <a:off x="0" y="0"/>
                          <a:ext cx="5810250" cy="9525"/>
                        </a:xfrm>
                        <a:custGeom>
                          <a:avLst/>
                          <a:gdLst/>
                          <a:ahLst/>
                          <a:cxnLst/>
                          <a:rect l="l" t="t" r="r" b="b"/>
                          <a:pathLst>
                            <a:path w="5810250" h="9525">
                              <a:moveTo>
                                <a:pt x="5810250" y="0"/>
                              </a:moveTo>
                              <a:lnTo>
                                <a:pt x="3095625" y="0"/>
                              </a:lnTo>
                              <a:lnTo>
                                <a:pt x="0" y="0"/>
                              </a:lnTo>
                              <a:lnTo>
                                <a:pt x="0" y="9525"/>
                              </a:lnTo>
                              <a:lnTo>
                                <a:pt x="3095625"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shape style="position:absolute;margin-left:77.249001pt;margin-top:8.151994pt;width:457.5pt;height:.75pt;mso-position-horizontal-relative:page;mso-position-vertical-relative:paragraph;z-index:-15705600;mso-wrap-distance-left:0;mso-wrap-distance-right:0" id="docshape73" coordorigin="1545,163" coordsize="9150,15" path="m10695,163l6420,163,1545,163,1545,178,6420,178,10695,178,10695,163xe" filled="true" fillcolor="#1c5349" stroked="false">
                <v:path arrowok="t"/>
                <v:fill type="solid"/>
                <w10:wrap type="topAndBottom"/>
              </v:shape>
            </w:pict>
          </mc:Fallback>
        </mc:AlternateContent>
      </w:r>
    </w:p>
    <w:p>
      <w:pPr>
        <w:tabs>
          <w:tab w:pos="5064" w:val="left" w:leader="none"/>
        </w:tabs>
        <w:spacing w:before="139"/>
        <w:ind w:left="189" w:right="0" w:firstLine="0"/>
        <w:jc w:val="left"/>
        <w:rPr>
          <w:sz w:val="22"/>
        </w:rPr>
      </w:pPr>
      <w:r>
        <w:rPr>
          <w:sz w:val="22"/>
        </w:rPr>
        <w:t>Ice</w:t>
      </w:r>
      <w:r>
        <w:rPr>
          <w:spacing w:val="7"/>
          <w:sz w:val="22"/>
        </w:rPr>
        <w:t> </w:t>
      </w:r>
      <w:r>
        <w:rPr>
          <w:sz w:val="22"/>
        </w:rPr>
        <w:t>cream</w:t>
      </w:r>
      <w:r>
        <w:rPr>
          <w:spacing w:val="8"/>
          <w:sz w:val="22"/>
        </w:rPr>
        <w:t> </w:t>
      </w:r>
      <w:r>
        <w:rPr>
          <w:sz w:val="22"/>
        </w:rPr>
        <w:t>(1</w:t>
      </w:r>
      <w:r>
        <w:rPr>
          <w:spacing w:val="7"/>
          <w:sz w:val="22"/>
        </w:rPr>
        <w:t> </w:t>
      </w:r>
      <w:r>
        <w:rPr>
          <w:spacing w:val="-4"/>
          <w:sz w:val="22"/>
        </w:rPr>
        <w:t>cup)</w:t>
      </w:r>
      <w:r>
        <w:rPr>
          <w:sz w:val="22"/>
        </w:rPr>
        <w:tab/>
        <w:t>175</w:t>
      </w:r>
      <w:r>
        <w:rPr>
          <w:spacing w:val="7"/>
          <w:sz w:val="22"/>
        </w:rPr>
        <w:t> </w:t>
      </w:r>
      <w:r>
        <w:rPr>
          <w:spacing w:val="-5"/>
          <w:sz w:val="22"/>
        </w:rPr>
        <w:t>mg</w:t>
      </w:r>
    </w:p>
    <w:p>
      <w:pPr>
        <w:pStyle w:val="BodyText"/>
        <w:spacing w:before="1"/>
        <w:ind w:left="0"/>
        <w:jc w:val="left"/>
        <w:rPr>
          <w:sz w:val="12"/>
        </w:rPr>
      </w:pPr>
      <w:r>
        <w:rPr>
          <w:sz w:val="12"/>
        </w:rPr>
        <mc:AlternateContent>
          <mc:Choice Requires="wps">
            <w:drawing>
              <wp:anchor distT="0" distB="0" distL="0" distR="0" allowOverlap="1" layoutInCell="1" locked="0" behindDoc="1" simplePos="0" relativeHeight="487611392">
                <wp:simplePos x="0" y="0"/>
                <wp:positionH relativeFrom="page">
                  <wp:posOffset>981062</wp:posOffset>
                </wp:positionH>
                <wp:positionV relativeFrom="paragraph">
                  <wp:posOffset>103530</wp:posOffset>
                </wp:positionV>
                <wp:extent cx="5810250" cy="9525"/>
                <wp:effectExtent l="0" t="0" r="0" b="0"/>
                <wp:wrapTopAndBottom/>
                <wp:docPr id="87" name="Graphic 87"/>
                <wp:cNvGraphicFramePr>
                  <a:graphicFrameLocks/>
                </wp:cNvGraphicFramePr>
                <a:graphic>
                  <a:graphicData uri="http://schemas.microsoft.com/office/word/2010/wordprocessingShape">
                    <wps:wsp>
                      <wps:cNvPr id="87" name="Graphic 87"/>
                      <wps:cNvSpPr/>
                      <wps:spPr>
                        <a:xfrm>
                          <a:off x="0" y="0"/>
                          <a:ext cx="5810250" cy="9525"/>
                        </a:xfrm>
                        <a:custGeom>
                          <a:avLst/>
                          <a:gdLst/>
                          <a:ahLst/>
                          <a:cxnLst/>
                          <a:rect l="l" t="t" r="r" b="b"/>
                          <a:pathLst>
                            <a:path w="5810250" h="9525">
                              <a:moveTo>
                                <a:pt x="5810250" y="0"/>
                              </a:moveTo>
                              <a:lnTo>
                                <a:pt x="3095625" y="0"/>
                              </a:lnTo>
                              <a:lnTo>
                                <a:pt x="0" y="0"/>
                              </a:lnTo>
                              <a:lnTo>
                                <a:pt x="0" y="9525"/>
                              </a:lnTo>
                              <a:lnTo>
                                <a:pt x="3095625"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shape style="position:absolute;margin-left:77.249001pt;margin-top:8.151998pt;width:457.5pt;height:.75pt;mso-position-horizontal-relative:page;mso-position-vertical-relative:paragraph;z-index:-15705088;mso-wrap-distance-left:0;mso-wrap-distance-right:0" id="docshape74" coordorigin="1545,163" coordsize="9150,15" path="m10695,163l6420,163,1545,163,1545,178,6420,178,10695,178,10695,163xe" filled="true" fillcolor="#1c5349" stroked="false">
                <v:path arrowok="t"/>
                <v:fill type="solid"/>
                <w10:wrap type="topAndBottom"/>
              </v:shape>
            </w:pict>
          </mc:Fallback>
        </mc:AlternateContent>
      </w:r>
    </w:p>
    <w:p>
      <w:pPr>
        <w:tabs>
          <w:tab w:pos="5064" w:val="left" w:leader="none"/>
        </w:tabs>
        <w:spacing w:before="139"/>
        <w:ind w:left="189" w:right="0" w:firstLine="0"/>
        <w:jc w:val="left"/>
        <w:rPr>
          <w:sz w:val="22"/>
        </w:rPr>
      </w:pPr>
      <w:r>
        <w:rPr>
          <w:sz w:val="22"/>
        </w:rPr>
        <w:t>Cottage</w:t>
      </w:r>
      <w:r>
        <w:rPr>
          <w:spacing w:val="10"/>
          <w:sz w:val="22"/>
        </w:rPr>
        <w:t> </w:t>
      </w:r>
      <w:r>
        <w:rPr>
          <w:sz w:val="22"/>
        </w:rPr>
        <w:t>cheese</w:t>
      </w:r>
      <w:r>
        <w:rPr>
          <w:spacing w:val="11"/>
          <w:sz w:val="22"/>
        </w:rPr>
        <w:t> </w:t>
      </w:r>
      <w:r>
        <w:rPr>
          <w:sz w:val="22"/>
        </w:rPr>
        <w:t>(1</w:t>
      </w:r>
      <w:r>
        <w:rPr>
          <w:spacing w:val="11"/>
          <w:sz w:val="22"/>
        </w:rPr>
        <w:t> </w:t>
      </w:r>
      <w:r>
        <w:rPr>
          <w:spacing w:val="-4"/>
          <w:sz w:val="22"/>
        </w:rPr>
        <w:t>cup)</w:t>
      </w:r>
      <w:r>
        <w:rPr>
          <w:sz w:val="22"/>
        </w:rPr>
        <w:tab/>
        <w:t>140</w:t>
      </w:r>
      <w:r>
        <w:rPr>
          <w:spacing w:val="7"/>
          <w:sz w:val="22"/>
        </w:rPr>
        <w:t> </w:t>
      </w:r>
      <w:r>
        <w:rPr>
          <w:spacing w:val="-5"/>
          <w:sz w:val="22"/>
        </w:rPr>
        <w:t>mg</w:t>
      </w:r>
    </w:p>
    <w:p>
      <w:pPr>
        <w:pStyle w:val="BodyText"/>
        <w:spacing w:before="1"/>
        <w:ind w:left="0"/>
        <w:jc w:val="left"/>
        <w:rPr>
          <w:sz w:val="12"/>
        </w:rPr>
      </w:pPr>
      <w:r>
        <w:rPr>
          <w:sz w:val="12"/>
        </w:rPr>
        <mc:AlternateContent>
          <mc:Choice Requires="wps">
            <w:drawing>
              <wp:anchor distT="0" distB="0" distL="0" distR="0" allowOverlap="1" layoutInCell="1" locked="0" behindDoc="1" simplePos="0" relativeHeight="487611904">
                <wp:simplePos x="0" y="0"/>
                <wp:positionH relativeFrom="page">
                  <wp:posOffset>981062</wp:posOffset>
                </wp:positionH>
                <wp:positionV relativeFrom="paragraph">
                  <wp:posOffset>103530</wp:posOffset>
                </wp:positionV>
                <wp:extent cx="5810250" cy="9525"/>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5810250" cy="9525"/>
                        </a:xfrm>
                        <a:custGeom>
                          <a:avLst/>
                          <a:gdLst/>
                          <a:ahLst/>
                          <a:cxnLst/>
                          <a:rect l="l" t="t" r="r" b="b"/>
                          <a:pathLst>
                            <a:path w="5810250" h="9525">
                              <a:moveTo>
                                <a:pt x="5810250" y="0"/>
                              </a:moveTo>
                              <a:lnTo>
                                <a:pt x="3095625" y="0"/>
                              </a:lnTo>
                              <a:lnTo>
                                <a:pt x="0" y="0"/>
                              </a:lnTo>
                              <a:lnTo>
                                <a:pt x="0" y="9525"/>
                              </a:lnTo>
                              <a:lnTo>
                                <a:pt x="3095625"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shape style="position:absolute;margin-left:77.249001pt;margin-top:8.152001pt;width:457.5pt;height:.75pt;mso-position-horizontal-relative:page;mso-position-vertical-relative:paragraph;z-index:-15704576;mso-wrap-distance-left:0;mso-wrap-distance-right:0" id="docshape75" coordorigin="1545,163" coordsize="9150,15" path="m10695,163l6420,163,1545,163,1545,178,6420,178,10695,178,10695,163xe" filled="true" fillcolor="#1c5349" stroked="false">
                <v:path arrowok="t"/>
                <v:fill type="solid"/>
                <w10:wrap type="topAndBottom"/>
              </v:shape>
            </w:pict>
          </mc:Fallback>
        </mc:AlternateContent>
      </w:r>
    </w:p>
    <w:p>
      <w:pPr>
        <w:tabs>
          <w:tab w:pos="5064" w:val="left" w:leader="none"/>
        </w:tabs>
        <w:spacing w:before="139"/>
        <w:ind w:left="189" w:right="0" w:firstLine="0"/>
        <w:jc w:val="left"/>
        <w:rPr>
          <w:sz w:val="22"/>
        </w:rPr>
      </w:pPr>
      <w:r>
        <w:rPr>
          <w:sz w:val="22"/>
        </w:rPr>
        <w:t>Romano</w:t>
      </w:r>
      <w:r>
        <w:rPr>
          <w:spacing w:val="11"/>
          <w:sz w:val="22"/>
        </w:rPr>
        <w:t> </w:t>
      </w:r>
      <w:r>
        <w:rPr>
          <w:sz w:val="22"/>
        </w:rPr>
        <w:t>cheese</w:t>
      </w:r>
      <w:r>
        <w:rPr>
          <w:spacing w:val="11"/>
          <w:sz w:val="22"/>
        </w:rPr>
        <w:t> </w:t>
      </w:r>
      <w:r>
        <w:rPr>
          <w:sz w:val="22"/>
        </w:rPr>
        <w:t>(1</w:t>
      </w:r>
      <w:r>
        <w:rPr>
          <w:spacing w:val="11"/>
          <w:sz w:val="22"/>
        </w:rPr>
        <w:t> </w:t>
      </w:r>
      <w:r>
        <w:rPr>
          <w:spacing w:val="-5"/>
          <w:sz w:val="22"/>
        </w:rPr>
        <w:t>oz)</w:t>
      </w:r>
      <w:r>
        <w:rPr>
          <w:sz w:val="22"/>
        </w:rPr>
        <w:tab/>
        <w:t>300</w:t>
      </w:r>
      <w:r>
        <w:rPr>
          <w:spacing w:val="7"/>
          <w:sz w:val="22"/>
        </w:rPr>
        <w:t> </w:t>
      </w:r>
      <w:r>
        <w:rPr>
          <w:spacing w:val="-5"/>
          <w:sz w:val="22"/>
        </w:rPr>
        <w:t>mg</w:t>
      </w:r>
    </w:p>
    <w:p>
      <w:pPr>
        <w:pStyle w:val="BodyText"/>
        <w:spacing w:before="1"/>
        <w:ind w:left="0"/>
        <w:jc w:val="left"/>
        <w:rPr>
          <w:sz w:val="12"/>
        </w:rPr>
      </w:pPr>
      <w:r>
        <w:rPr>
          <w:sz w:val="12"/>
        </w:rPr>
        <mc:AlternateContent>
          <mc:Choice Requires="wps">
            <w:drawing>
              <wp:anchor distT="0" distB="0" distL="0" distR="0" allowOverlap="1" layoutInCell="1" locked="0" behindDoc="1" simplePos="0" relativeHeight="487612416">
                <wp:simplePos x="0" y="0"/>
                <wp:positionH relativeFrom="page">
                  <wp:posOffset>981062</wp:posOffset>
                </wp:positionH>
                <wp:positionV relativeFrom="paragraph">
                  <wp:posOffset>103530</wp:posOffset>
                </wp:positionV>
                <wp:extent cx="5810250" cy="9525"/>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5810250" cy="9525"/>
                        </a:xfrm>
                        <a:custGeom>
                          <a:avLst/>
                          <a:gdLst/>
                          <a:ahLst/>
                          <a:cxnLst/>
                          <a:rect l="l" t="t" r="r" b="b"/>
                          <a:pathLst>
                            <a:path w="5810250" h="9525">
                              <a:moveTo>
                                <a:pt x="5810250" y="0"/>
                              </a:moveTo>
                              <a:lnTo>
                                <a:pt x="3095625" y="0"/>
                              </a:lnTo>
                              <a:lnTo>
                                <a:pt x="0" y="0"/>
                              </a:lnTo>
                              <a:lnTo>
                                <a:pt x="0" y="9525"/>
                              </a:lnTo>
                              <a:lnTo>
                                <a:pt x="3095625"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shape style="position:absolute;margin-left:77.249001pt;margin-top:8.152005pt;width:457.5pt;height:.75pt;mso-position-horizontal-relative:page;mso-position-vertical-relative:paragraph;z-index:-15704064;mso-wrap-distance-left:0;mso-wrap-distance-right:0" id="docshape76" coordorigin="1545,163" coordsize="9150,15" path="m10695,163l6420,163,1545,163,1545,178,6420,178,10695,178,10695,163xe" filled="true" fillcolor="#1c5349" stroked="false">
                <v:path arrowok="t"/>
                <v:fill type="solid"/>
                <w10:wrap type="topAndBottom"/>
              </v:shape>
            </w:pict>
          </mc:Fallback>
        </mc:AlternateContent>
      </w:r>
    </w:p>
    <w:p>
      <w:pPr>
        <w:pStyle w:val="BodyText"/>
        <w:spacing w:after="0"/>
        <w:jc w:val="left"/>
        <w:rPr>
          <w:sz w:val="12"/>
        </w:rPr>
        <w:sectPr>
          <w:pgSz w:w="12240" w:h="15840"/>
          <w:pgMar w:top="1380" w:bottom="280" w:left="1440" w:right="1440"/>
        </w:sectPr>
      </w:pPr>
    </w:p>
    <w:p>
      <w:pPr>
        <w:pStyle w:val="BodyText"/>
        <w:spacing w:before="1"/>
        <w:ind w:left="0"/>
        <w:jc w:val="left"/>
        <w:rPr>
          <w:sz w:val="2"/>
        </w:rPr>
      </w:pPr>
    </w:p>
    <w:tbl>
      <w:tblPr>
        <w:tblW w:w="0" w:type="auto"/>
        <w:jc w:val="left"/>
        <w:tblInd w:w="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50"/>
        <w:gridCol w:w="5500"/>
      </w:tblGrid>
      <w:tr>
        <w:trPr>
          <w:trHeight w:val="410" w:hRule="atLeast"/>
        </w:trPr>
        <w:tc>
          <w:tcPr>
            <w:tcW w:w="3650" w:type="dxa"/>
            <w:tcBorders>
              <w:bottom w:val="single" w:sz="6" w:space="0" w:color="1C5349"/>
            </w:tcBorders>
          </w:tcPr>
          <w:p>
            <w:pPr>
              <w:pStyle w:val="TableParagraph"/>
              <w:spacing w:line="248" w:lineRule="exact" w:before="0"/>
              <w:rPr>
                <w:sz w:val="22"/>
              </w:rPr>
            </w:pPr>
            <w:r>
              <w:rPr>
                <w:sz w:val="22"/>
              </w:rPr>
              <w:t>Parmesan</w:t>
            </w:r>
            <w:r>
              <w:rPr>
                <w:spacing w:val="11"/>
                <w:sz w:val="22"/>
              </w:rPr>
              <w:t> </w:t>
            </w:r>
            <w:r>
              <w:rPr>
                <w:sz w:val="22"/>
              </w:rPr>
              <w:t>cheese</w:t>
            </w:r>
            <w:r>
              <w:rPr>
                <w:spacing w:val="12"/>
                <w:sz w:val="22"/>
              </w:rPr>
              <w:t> </w:t>
            </w:r>
            <w:r>
              <w:rPr>
                <w:sz w:val="22"/>
              </w:rPr>
              <w:t>(1</w:t>
            </w:r>
            <w:r>
              <w:rPr>
                <w:spacing w:val="12"/>
                <w:sz w:val="22"/>
              </w:rPr>
              <w:t> </w:t>
            </w:r>
            <w:r>
              <w:rPr>
                <w:spacing w:val="-5"/>
                <w:sz w:val="22"/>
              </w:rPr>
              <w:t>oz)</w:t>
            </w:r>
          </w:p>
        </w:tc>
        <w:tc>
          <w:tcPr>
            <w:tcW w:w="5500" w:type="dxa"/>
            <w:tcBorders>
              <w:bottom w:val="single" w:sz="6" w:space="0" w:color="1C5349"/>
            </w:tcBorders>
          </w:tcPr>
          <w:p>
            <w:pPr>
              <w:pStyle w:val="TableParagraph"/>
              <w:spacing w:line="248" w:lineRule="exact" w:before="0"/>
              <w:ind w:left="1309"/>
              <w:rPr>
                <w:sz w:val="22"/>
              </w:rPr>
            </w:pPr>
            <w:r>
              <w:rPr>
                <w:sz w:val="22"/>
              </w:rPr>
              <w:t>335</w:t>
            </w:r>
            <w:r>
              <w:rPr>
                <w:spacing w:val="7"/>
                <w:sz w:val="22"/>
              </w:rPr>
              <w:t> </w:t>
            </w:r>
            <w:r>
              <w:rPr>
                <w:spacing w:val="-5"/>
                <w:sz w:val="22"/>
              </w:rPr>
              <w:t>mg</w:t>
            </w:r>
          </w:p>
        </w:tc>
      </w:tr>
      <w:tr>
        <w:trPr>
          <w:trHeight w:val="554" w:hRule="atLeast"/>
        </w:trPr>
        <w:tc>
          <w:tcPr>
            <w:tcW w:w="3650" w:type="dxa"/>
            <w:tcBorders>
              <w:top w:val="single" w:sz="6" w:space="0" w:color="1C5349"/>
              <w:bottom w:val="single" w:sz="6" w:space="0" w:color="1C5349"/>
            </w:tcBorders>
          </w:tcPr>
          <w:p>
            <w:pPr>
              <w:pStyle w:val="TableParagraph"/>
              <w:rPr>
                <w:sz w:val="22"/>
              </w:rPr>
            </w:pPr>
            <w:r>
              <w:rPr>
                <w:sz w:val="22"/>
              </w:rPr>
              <w:t>Cheddar</w:t>
            </w:r>
            <w:r>
              <w:rPr>
                <w:spacing w:val="11"/>
                <w:sz w:val="22"/>
              </w:rPr>
              <w:t> </w:t>
            </w:r>
            <w:r>
              <w:rPr>
                <w:sz w:val="22"/>
              </w:rPr>
              <w:t>cheese</w:t>
            </w:r>
            <w:r>
              <w:rPr>
                <w:spacing w:val="11"/>
                <w:sz w:val="22"/>
              </w:rPr>
              <w:t> </w:t>
            </w:r>
            <w:r>
              <w:rPr>
                <w:sz w:val="22"/>
              </w:rPr>
              <w:t>(1</w:t>
            </w:r>
            <w:r>
              <w:rPr>
                <w:spacing w:val="11"/>
                <w:sz w:val="22"/>
              </w:rPr>
              <w:t> </w:t>
            </w:r>
            <w:r>
              <w:rPr>
                <w:spacing w:val="-5"/>
                <w:sz w:val="22"/>
              </w:rPr>
              <w:t>oz)</w:t>
            </w:r>
          </w:p>
        </w:tc>
        <w:tc>
          <w:tcPr>
            <w:tcW w:w="5500" w:type="dxa"/>
            <w:tcBorders>
              <w:top w:val="single" w:sz="6" w:space="0" w:color="1C5349"/>
              <w:bottom w:val="single" w:sz="6" w:space="0" w:color="1C5349"/>
            </w:tcBorders>
          </w:tcPr>
          <w:p>
            <w:pPr>
              <w:pStyle w:val="TableParagraph"/>
              <w:ind w:left="1309"/>
              <w:rPr>
                <w:sz w:val="22"/>
              </w:rPr>
            </w:pPr>
            <w:r>
              <w:rPr>
                <w:sz w:val="22"/>
              </w:rPr>
              <w:t>205</w:t>
            </w:r>
            <w:r>
              <w:rPr>
                <w:spacing w:val="7"/>
                <w:sz w:val="22"/>
              </w:rPr>
              <w:t> </w:t>
            </w:r>
            <w:r>
              <w:rPr>
                <w:spacing w:val="-5"/>
                <w:sz w:val="22"/>
              </w:rPr>
              <w:t>mg</w:t>
            </w:r>
          </w:p>
        </w:tc>
      </w:tr>
      <w:tr>
        <w:trPr>
          <w:trHeight w:val="554" w:hRule="atLeast"/>
        </w:trPr>
        <w:tc>
          <w:tcPr>
            <w:tcW w:w="3650" w:type="dxa"/>
            <w:tcBorders>
              <w:top w:val="single" w:sz="6" w:space="0" w:color="1C5349"/>
              <w:bottom w:val="single" w:sz="6" w:space="0" w:color="1C5349"/>
            </w:tcBorders>
          </w:tcPr>
          <w:p>
            <w:pPr>
              <w:pStyle w:val="TableParagraph"/>
              <w:rPr>
                <w:sz w:val="22"/>
              </w:rPr>
            </w:pPr>
            <w:r>
              <w:rPr>
                <w:sz w:val="22"/>
              </w:rPr>
              <w:t>Swiss</w:t>
            </w:r>
            <w:r>
              <w:rPr>
                <w:spacing w:val="9"/>
                <w:sz w:val="22"/>
              </w:rPr>
              <w:t> </w:t>
            </w:r>
            <w:r>
              <w:rPr>
                <w:sz w:val="22"/>
              </w:rPr>
              <w:t>cheese</w:t>
            </w:r>
            <w:r>
              <w:rPr>
                <w:spacing w:val="10"/>
                <w:sz w:val="22"/>
              </w:rPr>
              <w:t> </w:t>
            </w:r>
            <w:r>
              <w:rPr>
                <w:sz w:val="22"/>
              </w:rPr>
              <w:t>(1</w:t>
            </w:r>
            <w:r>
              <w:rPr>
                <w:spacing w:val="9"/>
                <w:sz w:val="22"/>
              </w:rPr>
              <w:t> </w:t>
            </w:r>
            <w:r>
              <w:rPr>
                <w:spacing w:val="-5"/>
                <w:sz w:val="22"/>
              </w:rPr>
              <w:t>oz)</w:t>
            </w:r>
          </w:p>
        </w:tc>
        <w:tc>
          <w:tcPr>
            <w:tcW w:w="5500" w:type="dxa"/>
            <w:tcBorders>
              <w:top w:val="single" w:sz="6" w:space="0" w:color="1C5349"/>
              <w:bottom w:val="single" w:sz="6" w:space="0" w:color="1C5349"/>
            </w:tcBorders>
          </w:tcPr>
          <w:p>
            <w:pPr>
              <w:pStyle w:val="TableParagraph"/>
              <w:ind w:left="1309"/>
              <w:rPr>
                <w:sz w:val="22"/>
              </w:rPr>
            </w:pPr>
            <w:r>
              <w:rPr>
                <w:sz w:val="22"/>
              </w:rPr>
              <w:t>270</w:t>
            </w:r>
            <w:r>
              <w:rPr>
                <w:spacing w:val="7"/>
                <w:sz w:val="22"/>
              </w:rPr>
              <w:t> </w:t>
            </w:r>
            <w:r>
              <w:rPr>
                <w:spacing w:val="-5"/>
                <w:sz w:val="22"/>
              </w:rPr>
              <w:t>mg</w:t>
            </w:r>
          </w:p>
        </w:tc>
      </w:tr>
      <w:tr>
        <w:trPr>
          <w:trHeight w:val="554" w:hRule="atLeast"/>
        </w:trPr>
        <w:tc>
          <w:tcPr>
            <w:tcW w:w="3650" w:type="dxa"/>
            <w:tcBorders>
              <w:top w:val="single" w:sz="6" w:space="0" w:color="1C5349"/>
              <w:bottom w:val="single" w:sz="6" w:space="0" w:color="1C5349"/>
            </w:tcBorders>
          </w:tcPr>
          <w:p>
            <w:pPr>
              <w:pStyle w:val="TableParagraph"/>
              <w:rPr>
                <w:sz w:val="22"/>
              </w:rPr>
            </w:pPr>
            <w:r>
              <w:rPr>
                <w:sz w:val="22"/>
              </w:rPr>
              <w:t>Mozzarella</w:t>
            </w:r>
            <w:r>
              <w:rPr>
                <w:spacing w:val="12"/>
                <w:sz w:val="22"/>
              </w:rPr>
              <w:t> </w:t>
            </w:r>
            <w:r>
              <w:rPr>
                <w:sz w:val="22"/>
              </w:rPr>
              <w:t>cheese</w:t>
            </w:r>
            <w:r>
              <w:rPr>
                <w:spacing w:val="13"/>
                <w:sz w:val="22"/>
              </w:rPr>
              <w:t> </w:t>
            </w:r>
            <w:r>
              <w:rPr>
                <w:sz w:val="22"/>
              </w:rPr>
              <w:t>(1</w:t>
            </w:r>
            <w:r>
              <w:rPr>
                <w:spacing w:val="13"/>
                <w:sz w:val="22"/>
              </w:rPr>
              <w:t> </w:t>
            </w:r>
            <w:r>
              <w:rPr>
                <w:spacing w:val="-5"/>
                <w:sz w:val="22"/>
              </w:rPr>
              <w:t>oz)</w:t>
            </w:r>
          </w:p>
        </w:tc>
        <w:tc>
          <w:tcPr>
            <w:tcW w:w="5500" w:type="dxa"/>
            <w:tcBorders>
              <w:top w:val="single" w:sz="6" w:space="0" w:color="1C5349"/>
              <w:bottom w:val="single" w:sz="6" w:space="0" w:color="1C5349"/>
            </w:tcBorders>
          </w:tcPr>
          <w:p>
            <w:pPr>
              <w:pStyle w:val="TableParagraph"/>
              <w:ind w:left="1309"/>
              <w:rPr>
                <w:sz w:val="22"/>
              </w:rPr>
            </w:pPr>
            <w:r>
              <w:rPr>
                <w:sz w:val="22"/>
              </w:rPr>
              <w:t>207</w:t>
            </w:r>
            <w:r>
              <w:rPr>
                <w:spacing w:val="7"/>
                <w:sz w:val="22"/>
              </w:rPr>
              <w:t> </w:t>
            </w:r>
            <w:r>
              <w:rPr>
                <w:spacing w:val="-5"/>
                <w:sz w:val="22"/>
              </w:rPr>
              <w:t>mg</w:t>
            </w:r>
          </w:p>
        </w:tc>
      </w:tr>
      <w:tr>
        <w:trPr>
          <w:trHeight w:val="554" w:hRule="atLeast"/>
        </w:trPr>
        <w:tc>
          <w:tcPr>
            <w:tcW w:w="3650" w:type="dxa"/>
            <w:tcBorders>
              <w:top w:val="single" w:sz="6" w:space="0" w:color="1C5349"/>
              <w:bottom w:val="single" w:sz="6" w:space="0" w:color="1C5349"/>
            </w:tcBorders>
          </w:tcPr>
          <w:p>
            <w:pPr>
              <w:pStyle w:val="TableParagraph"/>
              <w:rPr>
                <w:sz w:val="22"/>
              </w:rPr>
            </w:pPr>
            <w:r>
              <w:rPr>
                <w:sz w:val="22"/>
              </w:rPr>
              <w:t>Tofu</w:t>
            </w:r>
            <w:r>
              <w:rPr>
                <w:spacing w:val="-1"/>
                <w:sz w:val="22"/>
              </w:rPr>
              <w:t> </w:t>
            </w:r>
            <w:r>
              <w:rPr>
                <w:sz w:val="22"/>
              </w:rPr>
              <w:t>(1</w:t>
            </w:r>
            <w:r>
              <w:rPr>
                <w:spacing w:val="-1"/>
                <w:sz w:val="22"/>
              </w:rPr>
              <w:t> </w:t>
            </w:r>
            <w:r>
              <w:rPr>
                <w:spacing w:val="-4"/>
                <w:sz w:val="22"/>
              </w:rPr>
              <w:t>cup)</w:t>
            </w:r>
          </w:p>
        </w:tc>
        <w:tc>
          <w:tcPr>
            <w:tcW w:w="5500" w:type="dxa"/>
            <w:tcBorders>
              <w:top w:val="single" w:sz="6" w:space="0" w:color="1C5349"/>
              <w:bottom w:val="single" w:sz="6" w:space="0" w:color="1C5349"/>
            </w:tcBorders>
          </w:tcPr>
          <w:p>
            <w:pPr>
              <w:pStyle w:val="TableParagraph"/>
              <w:ind w:left="1309"/>
              <w:rPr>
                <w:sz w:val="22"/>
              </w:rPr>
            </w:pPr>
            <w:r>
              <w:rPr>
                <w:sz w:val="22"/>
              </w:rPr>
              <w:t>150</w:t>
            </w:r>
            <w:r>
              <w:rPr>
                <w:spacing w:val="7"/>
                <w:sz w:val="22"/>
              </w:rPr>
              <w:t> </w:t>
            </w:r>
            <w:r>
              <w:rPr>
                <w:spacing w:val="-5"/>
                <w:sz w:val="22"/>
              </w:rPr>
              <w:t>mg</w:t>
            </w:r>
          </w:p>
        </w:tc>
      </w:tr>
      <w:tr>
        <w:trPr>
          <w:trHeight w:val="554" w:hRule="atLeast"/>
        </w:trPr>
        <w:tc>
          <w:tcPr>
            <w:tcW w:w="3650" w:type="dxa"/>
            <w:tcBorders>
              <w:top w:val="single" w:sz="6" w:space="0" w:color="1C5349"/>
              <w:bottom w:val="single" w:sz="6" w:space="0" w:color="1C5349"/>
            </w:tcBorders>
          </w:tcPr>
          <w:p>
            <w:pPr>
              <w:pStyle w:val="TableParagraph"/>
              <w:rPr>
                <w:sz w:val="22"/>
              </w:rPr>
            </w:pPr>
            <w:r>
              <w:rPr>
                <w:sz w:val="22"/>
              </w:rPr>
              <w:t>Broccoli,</w:t>
            </w:r>
            <w:r>
              <w:rPr>
                <w:spacing w:val="11"/>
                <w:sz w:val="22"/>
              </w:rPr>
              <w:t> </w:t>
            </w:r>
            <w:r>
              <w:rPr>
                <w:sz w:val="22"/>
              </w:rPr>
              <w:t>cooked</w:t>
            </w:r>
            <w:r>
              <w:rPr>
                <w:spacing w:val="12"/>
                <w:sz w:val="22"/>
              </w:rPr>
              <w:t> </w:t>
            </w:r>
            <w:r>
              <w:rPr>
                <w:sz w:val="22"/>
              </w:rPr>
              <w:t>(1</w:t>
            </w:r>
            <w:r>
              <w:rPr>
                <w:spacing w:val="12"/>
                <w:sz w:val="22"/>
              </w:rPr>
              <w:t> </w:t>
            </w:r>
            <w:r>
              <w:rPr>
                <w:spacing w:val="-4"/>
                <w:sz w:val="22"/>
              </w:rPr>
              <w:t>cup)</w:t>
            </w:r>
          </w:p>
        </w:tc>
        <w:tc>
          <w:tcPr>
            <w:tcW w:w="5500" w:type="dxa"/>
            <w:tcBorders>
              <w:top w:val="single" w:sz="6" w:space="0" w:color="1C5349"/>
              <w:bottom w:val="single" w:sz="6" w:space="0" w:color="1C5349"/>
            </w:tcBorders>
          </w:tcPr>
          <w:p>
            <w:pPr>
              <w:pStyle w:val="TableParagraph"/>
              <w:ind w:left="1309"/>
              <w:rPr>
                <w:sz w:val="22"/>
              </w:rPr>
            </w:pPr>
            <w:r>
              <w:rPr>
                <w:sz w:val="22"/>
              </w:rPr>
              <w:t>140</w:t>
            </w:r>
            <w:r>
              <w:rPr>
                <w:spacing w:val="7"/>
                <w:sz w:val="22"/>
              </w:rPr>
              <w:t> </w:t>
            </w:r>
            <w:r>
              <w:rPr>
                <w:spacing w:val="-5"/>
                <w:sz w:val="22"/>
              </w:rPr>
              <w:t>mg</w:t>
            </w:r>
          </w:p>
        </w:tc>
      </w:tr>
      <w:tr>
        <w:trPr>
          <w:trHeight w:val="554" w:hRule="atLeast"/>
        </w:trPr>
        <w:tc>
          <w:tcPr>
            <w:tcW w:w="3650" w:type="dxa"/>
            <w:tcBorders>
              <w:top w:val="single" w:sz="6" w:space="0" w:color="1C5349"/>
              <w:bottom w:val="single" w:sz="6" w:space="0" w:color="1C5349"/>
            </w:tcBorders>
          </w:tcPr>
          <w:p>
            <w:pPr>
              <w:pStyle w:val="TableParagraph"/>
              <w:rPr>
                <w:sz w:val="22"/>
              </w:rPr>
            </w:pPr>
            <w:r>
              <w:rPr>
                <w:sz w:val="22"/>
              </w:rPr>
              <w:t>Beans,</w:t>
            </w:r>
            <w:r>
              <w:rPr>
                <w:spacing w:val="10"/>
                <w:sz w:val="22"/>
              </w:rPr>
              <w:t> </w:t>
            </w:r>
            <w:r>
              <w:rPr>
                <w:sz w:val="22"/>
              </w:rPr>
              <w:t>cooked</w:t>
            </w:r>
            <w:r>
              <w:rPr>
                <w:spacing w:val="10"/>
                <w:sz w:val="22"/>
              </w:rPr>
              <w:t> </w:t>
            </w:r>
            <w:r>
              <w:rPr>
                <w:sz w:val="22"/>
              </w:rPr>
              <w:t>(1</w:t>
            </w:r>
            <w:r>
              <w:rPr>
                <w:spacing w:val="11"/>
                <w:sz w:val="22"/>
              </w:rPr>
              <w:t> </w:t>
            </w:r>
            <w:r>
              <w:rPr>
                <w:spacing w:val="-4"/>
                <w:sz w:val="22"/>
              </w:rPr>
              <w:t>cup)</w:t>
            </w:r>
          </w:p>
        </w:tc>
        <w:tc>
          <w:tcPr>
            <w:tcW w:w="5500" w:type="dxa"/>
            <w:tcBorders>
              <w:top w:val="single" w:sz="6" w:space="0" w:color="1C5349"/>
              <w:bottom w:val="single" w:sz="6" w:space="0" w:color="1C5349"/>
            </w:tcBorders>
          </w:tcPr>
          <w:p>
            <w:pPr>
              <w:pStyle w:val="TableParagraph"/>
              <w:ind w:left="1309"/>
              <w:rPr>
                <w:sz w:val="22"/>
              </w:rPr>
            </w:pPr>
            <w:r>
              <w:rPr>
                <w:sz w:val="22"/>
              </w:rPr>
              <w:t>80</w:t>
            </w:r>
            <w:r>
              <w:rPr>
                <w:spacing w:val="5"/>
                <w:sz w:val="22"/>
              </w:rPr>
              <w:t> </w:t>
            </w:r>
            <w:r>
              <w:rPr>
                <w:spacing w:val="-5"/>
                <w:sz w:val="22"/>
              </w:rPr>
              <w:t>mg</w:t>
            </w:r>
          </w:p>
        </w:tc>
      </w:tr>
    </w:tbl>
    <w:p>
      <w:pPr>
        <w:pStyle w:val="BodyText"/>
        <w:spacing w:before="115"/>
        <w:ind w:left="0"/>
        <w:jc w:val="left"/>
      </w:pPr>
    </w:p>
    <w:p>
      <w:pPr>
        <w:spacing w:before="0"/>
        <w:ind w:left="99" w:right="0" w:firstLine="0"/>
        <w:jc w:val="both"/>
        <w:rPr>
          <w:rFonts w:ascii="Arial"/>
          <w:b/>
          <w:sz w:val="30"/>
        </w:rPr>
      </w:pPr>
      <w:r>
        <w:rPr>
          <w:rFonts w:ascii="Arial"/>
          <w:b/>
          <w:color w:val="2674AE"/>
          <w:sz w:val="30"/>
        </w:rPr>
        <w:t>Vitamin</w:t>
      </w:r>
      <w:r>
        <w:rPr>
          <w:rFonts w:ascii="Arial"/>
          <w:b/>
          <w:color w:val="2674AE"/>
          <w:spacing w:val="-6"/>
          <w:sz w:val="30"/>
        </w:rPr>
        <w:t> </w:t>
      </w:r>
      <w:r>
        <w:rPr>
          <w:rFonts w:ascii="Arial"/>
          <w:b/>
          <w:color w:val="2674AE"/>
          <w:spacing w:val="-10"/>
          <w:sz w:val="30"/>
        </w:rPr>
        <w:t>D</w:t>
      </w:r>
    </w:p>
    <w:p>
      <w:pPr>
        <w:pStyle w:val="BodyText"/>
        <w:spacing w:line="249" w:lineRule="auto" w:before="167"/>
        <w:ind w:right="99"/>
      </w:pPr>
      <w:r>
        <w:rPr/>
        <w:t>Changes in vitamin D and calcium metabolism accompany aging and contribute</w:t>
      </w:r>
      <w:r>
        <w:rPr>
          <w:spacing w:val="-2"/>
        </w:rPr>
        <w:t> </w:t>
      </w:r>
      <w:r>
        <w:rPr/>
        <w:t>to</w:t>
      </w:r>
      <w:r>
        <w:rPr>
          <w:spacing w:val="-2"/>
        </w:rPr>
        <w:t> </w:t>
      </w:r>
      <w:r>
        <w:rPr/>
        <w:t>the</w:t>
      </w:r>
      <w:r>
        <w:rPr>
          <w:spacing w:val="-2"/>
        </w:rPr>
        <w:t> </w:t>
      </w:r>
      <w:r>
        <w:rPr/>
        <w:t>aging-related</w:t>
      </w:r>
      <w:r>
        <w:rPr>
          <w:spacing w:val="-2"/>
        </w:rPr>
        <w:t> </w:t>
      </w:r>
      <w:r>
        <w:rPr/>
        <w:t>increase</w:t>
      </w:r>
      <w:r>
        <w:rPr>
          <w:spacing w:val="-2"/>
        </w:rPr>
        <w:t> </w:t>
      </w:r>
      <w:r>
        <w:rPr/>
        <w:t>in</w:t>
      </w:r>
      <w:r>
        <w:rPr>
          <w:spacing w:val="-2"/>
        </w:rPr>
        <w:t> </w:t>
      </w:r>
      <w:r>
        <w:rPr/>
        <w:t>skeletal</w:t>
      </w:r>
      <w:r>
        <w:rPr>
          <w:spacing w:val="-2"/>
        </w:rPr>
        <w:t> </w:t>
      </w:r>
      <w:r>
        <w:rPr/>
        <w:t>fragility.</w:t>
      </w:r>
      <w:r>
        <w:rPr>
          <w:vertAlign w:val="superscript"/>
        </w:rPr>
        <w:t>198,199</w:t>
      </w:r>
      <w:r>
        <w:rPr>
          <w:vertAlign w:val="baseline"/>
        </w:rPr>
        <w:t> There is </w:t>
      </w:r>
      <w:r>
        <w:rPr>
          <w:vertAlign w:val="baseline"/>
        </w:rPr>
        <w:t>an age-related decrease in the ability of tissues to convert the major circulating form of vitamin D, 25-hydroxyvitamin D, to the active form of vitamin D (1,25-dihydroxycholecalciferol, better known as 1,25-dihydroxyvitamin D), and there is a decrease in the ability of the intestine to absorb dietary vitamin</w:t>
      </w:r>
      <w:r>
        <w:rPr>
          <w:spacing w:val="-3"/>
          <w:vertAlign w:val="baseline"/>
        </w:rPr>
        <w:t> </w:t>
      </w:r>
      <w:r>
        <w:rPr>
          <w:vertAlign w:val="baseline"/>
        </w:rPr>
        <w:t>D.</w:t>
      </w:r>
      <w:r>
        <w:rPr>
          <w:spacing w:val="-3"/>
          <w:vertAlign w:val="baseline"/>
        </w:rPr>
        <w:t> </w:t>
      </w:r>
      <w:r>
        <w:rPr>
          <w:vertAlign w:val="baseline"/>
        </w:rPr>
        <w:t>Exposure of the skin to ultraviolet rays in sunlight stimulates the formation</w:t>
      </w:r>
      <w:r>
        <w:rPr>
          <w:spacing w:val="77"/>
          <w:w w:val="150"/>
          <w:vertAlign w:val="baseline"/>
        </w:rPr>
        <w:t> </w:t>
      </w:r>
      <w:r>
        <w:rPr>
          <w:vertAlign w:val="baseline"/>
        </w:rPr>
        <w:t>of</w:t>
      </w:r>
      <w:r>
        <w:rPr>
          <w:spacing w:val="78"/>
          <w:w w:val="150"/>
          <w:vertAlign w:val="baseline"/>
        </w:rPr>
        <w:t> </w:t>
      </w:r>
      <w:r>
        <w:rPr>
          <w:vertAlign w:val="baseline"/>
        </w:rPr>
        <w:t>cholecalciferol</w:t>
      </w:r>
      <w:r>
        <w:rPr>
          <w:spacing w:val="77"/>
          <w:w w:val="150"/>
          <w:vertAlign w:val="baseline"/>
        </w:rPr>
        <w:t> </w:t>
      </w:r>
      <w:r>
        <w:rPr>
          <w:vertAlign w:val="baseline"/>
        </w:rPr>
        <w:t>(vitamin</w:t>
      </w:r>
      <w:r>
        <w:rPr>
          <w:spacing w:val="78"/>
          <w:w w:val="150"/>
          <w:vertAlign w:val="baseline"/>
        </w:rPr>
        <w:t> </w:t>
      </w:r>
      <w:r>
        <w:rPr>
          <w:vertAlign w:val="baseline"/>
        </w:rPr>
        <w:t>D</w:t>
      </w:r>
      <w:r>
        <w:rPr>
          <w:vertAlign w:val="subscript"/>
        </w:rPr>
        <w:t>3</w:t>
      </w:r>
      <w:r>
        <w:rPr>
          <w:vertAlign w:val="baseline"/>
        </w:rPr>
        <w:t>).</w:t>
      </w:r>
      <w:r>
        <w:rPr>
          <w:spacing w:val="66"/>
          <w:w w:val="150"/>
          <w:vertAlign w:val="baseline"/>
        </w:rPr>
        <w:t> </w:t>
      </w:r>
      <w:r>
        <w:rPr>
          <w:vertAlign w:val="baseline"/>
        </w:rPr>
        <w:t>One</w:t>
      </w:r>
      <w:r>
        <w:rPr>
          <w:spacing w:val="22"/>
          <w:vertAlign w:val="baseline"/>
        </w:rPr>
        <w:t>  </w:t>
      </w:r>
      <w:r>
        <w:rPr>
          <w:vertAlign w:val="baseline"/>
        </w:rPr>
        <w:t>dose</w:t>
      </w:r>
      <w:r>
        <w:rPr>
          <w:spacing w:val="22"/>
          <w:vertAlign w:val="baseline"/>
        </w:rPr>
        <w:t>  </w:t>
      </w:r>
      <w:r>
        <w:rPr>
          <w:vertAlign w:val="baseline"/>
        </w:rPr>
        <w:t>of</w:t>
      </w:r>
      <w:r>
        <w:rPr>
          <w:spacing w:val="22"/>
          <w:vertAlign w:val="baseline"/>
        </w:rPr>
        <w:t>  </w:t>
      </w:r>
      <w:r>
        <w:rPr>
          <w:vertAlign w:val="baseline"/>
        </w:rPr>
        <w:t>sunlight</w:t>
      </w:r>
      <w:r>
        <w:rPr>
          <w:spacing w:val="22"/>
          <w:vertAlign w:val="baseline"/>
        </w:rPr>
        <w:t>  </w:t>
      </w:r>
      <w:r>
        <w:rPr>
          <w:spacing w:val="-4"/>
          <w:vertAlign w:val="baseline"/>
        </w:rPr>
        <w:t>that</w:t>
      </w:r>
    </w:p>
    <w:p>
      <w:pPr>
        <w:pStyle w:val="BodyText"/>
        <w:spacing w:line="249" w:lineRule="auto" w:before="55"/>
        <w:ind w:right="98"/>
      </w:pPr>
      <w:r>
        <w:rPr/>
        <w:t>produces erythema is equivalent to 10,000 to 25,000 IU of vitamin </w:t>
      </w:r>
      <w:r>
        <w:rPr/>
        <w:t>D. Excessive exposure to sunlight cannot cause toxic levels of vitamin D because any excess in vitamin D</w:t>
      </w:r>
      <w:r>
        <w:rPr>
          <w:vertAlign w:val="subscript"/>
        </w:rPr>
        <w:t>3</w:t>
      </w:r>
      <w:r>
        <w:rPr>
          <w:vertAlign w:val="baseline"/>
        </w:rPr>
        <w:t> is inactivated by ultraviolet radiation.</w:t>
      </w:r>
    </w:p>
    <w:p>
      <w:pPr>
        <w:pStyle w:val="BodyText"/>
        <w:spacing w:line="259" w:lineRule="auto" w:before="48"/>
        <w:ind w:right="97" w:firstLine="450"/>
      </w:pPr>
      <w:r>
        <w:rPr/>
        <w:t>Vitamin D</w:t>
      </w:r>
      <w:r>
        <w:rPr>
          <w:vertAlign w:val="subscript"/>
        </w:rPr>
        <w:t>2</w:t>
      </w:r>
      <w:r>
        <w:rPr>
          <w:vertAlign w:val="baseline"/>
        </w:rPr>
        <w:t> (ergocalciferol) in commercial supplements has been replaced</w:t>
      </w:r>
      <w:r>
        <w:rPr>
          <w:spacing w:val="-5"/>
          <w:vertAlign w:val="baseline"/>
        </w:rPr>
        <w:t> </w:t>
      </w:r>
      <w:r>
        <w:rPr>
          <w:vertAlign w:val="baseline"/>
        </w:rPr>
        <w:t>with</w:t>
      </w:r>
      <w:r>
        <w:rPr>
          <w:spacing w:val="-5"/>
          <w:vertAlign w:val="baseline"/>
        </w:rPr>
        <w:t> </w:t>
      </w:r>
      <w:r>
        <w:rPr>
          <w:vertAlign w:val="baseline"/>
        </w:rPr>
        <w:t>the</w:t>
      </w:r>
      <w:r>
        <w:rPr>
          <w:spacing w:val="-5"/>
          <w:vertAlign w:val="baseline"/>
        </w:rPr>
        <w:t> </w:t>
      </w:r>
      <w:r>
        <w:rPr>
          <w:vertAlign w:val="baseline"/>
        </w:rPr>
        <w:t>more</w:t>
      </w:r>
      <w:r>
        <w:rPr>
          <w:spacing w:val="-5"/>
          <w:vertAlign w:val="baseline"/>
        </w:rPr>
        <w:t> </w:t>
      </w:r>
      <w:r>
        <w:rPr>
          <w:vertAlign w:val="baseline"/>
        </w:rPr>
        <w:t>effective</w:t>
      </w:r>
      <w:r>
        <w:rPr>
          <w:spacing w:val="-5"/>
          <w:vertAlign w:val="baseline"/>
        </w:rPr>
        <w:t> </w:t>
      </w:r>
      <w:r>
        <w:rPr>
          <w:vertAlign w:val="baseline"/>
        </w:rPr>
        <w:t>vitamin</w:t>
      </w:r>
      <w:r>
        <w:rPr>
          <w:spacing w:val="-5"/>
          <w:vertAlign w:val="baseline"/>
        </w:rPr>
        <w:t> </w:t>
      </w:r>
      <w:r>
        <w:rPr>
          <w:vertAlign w:val="baseline"/>
        </w:rPr>
        <w:t>D</w:t>
      </w:r>
      <w:r>
        <w:rPr>
          <w:vertAlign w:val="subscript"/>
        </w:rPr>
        <w:t>3</w:t>
      </w:r>
      <w:r>
        <w:rPr>
          <w:spacing w:val="-6"/>
          <w:vertAlign w:val="baseline"/>
        </w:rPr>
        <w:t> </w:t>
      </w:r>
      <w:r>
        <w:rPr>
          <w:vertAlign w:val="baseline"/>
        </w:rPr>
        <w:t>(cholecalciferol),</w:t>
      </w:r>
      <w:r>
        <w:rPr>
          <w:spacing w:val="-5"/>
          <w:vertAlign w:val="baseline"/>
        </w:rPr>
        <w:t> </w:t>
      </w:r>
      <w:r>
        <w:rPr>
          <w:vertAlign w:val="baseline"/>
        </w:rPr>
        <w:t>which</w:t>
      </w:r>
      <w:r>
        <w:rPr>
          <w:spacing w:val="-5"/>
          <w:vertAlign w:val="baseline"/>
        </w:rPr>
        <w:t> </w:t>
      </w:r>
      <w:r>
        <w:rPr>
          <w:vertAlign w:val="baseline"/>
        </w:rPr>
        <w:t>is</w:t>
      </w:r>
      <w:r>
        <w:rPr>
          <w:spacing w:val="-5"/>
          <w:vertAlign w:val="baseline"/>
        </w:rPr>
        <w:t> </w:t>
      </w:r>
      <w:r>
        <w:rPr>
          <w:vertAlign w:val="baseline"/>
        </w:rPr>
        <w:t>more than</w:t>
      </w:r>
      <w:r>
        <w:rPr>
          <w:spacing w:val="-3"/>
          <w:vertAlign w:val="baseline"/>
        </w:rPr>
        <w:t> </w:t>
      </w:r>
      <w:r>
        <w:rPr>
          <w:vertAlign w:val="baseline"/>
        </w:rPr>
        <w:t>3</w:t>
      </w:r>
      <w:r>
        <w:rPr>
          <w:spacing w:val="-3"/>
          <w:vertAlign w:val="baseline"/>
        </w:rPr>
        <w:t> </w:t>
      </w:r>
      <w:r>
        <w:rPr>
          <w:vertAlign w:val="baseline"/>
        </w:rPr>
        <w:t>times</w:t>
      </w:r>
      <w:r>
        <w:rPr>
          <w:spacing w:val="-3"/>
          <w:vertAlign w:val="baseline"/>
        </w:rPr>
        <w:t> </w:t>
      </w:r>
      <w:r>
        <w:rPr>
          <w:vertAlign w:val="baseline"/>
        </w:rPr>
        <w:t>the</w:t>
      </w:r>
      <w:r>
        <w:rPr>
          <w:spacing w:val="-3"/>
          <w:vertAlign w:val="baseline"/>
        </w:rPr>
        <w:t> </w:t>
      </w:r>
      <w:r>
        <w:rPr>
          <w:vertAlign w:val="baseline"/>
        </w:rPr>
        <w:t>potency</w:t>
      </w:r>
      <w:r>
        <w:rPr>
          <w:spacing w:val="-3"/>
          <w:vertAlign w:val="baseline"/>
        </w:rPr>
        <w:t> </w:t>
      </w:r>
      <w:r>
        <w:rPr>
          <w:vertAlign w:val="baseline"/>
        </w:rPr>
        <w:t>of</w:t>
      </w:r>
      <w:r>
        <w:rPr>
          <w:spacing w:val="-3"/>
          <w:vertAlign w:val="baseline"/>
        </w:rPr>
        <w:t> </w:t>
      </w:r>
      <w:r>
        <w:rPr>
          <w:vertAlign w:val="baseline"/>
        </w:rPr>
        <w:t>vitamin</w:t>
      </w:r>
      <w:r>
        <w:rPr>
          <w:spacing w:val="-3"/>
          <w:vertAlign w:val="baseline"/>
        </w:rPr>
        <w:t> </w:t>
      </w:r>
      <w:r>
        <w:rPr>
          <w:vertAlign w:val="baseline"/>
        </w:rPr>
        <w:t>D</w:t>
      </w:r>
      <w:r>
        <w:rPr>
          <w:position w:val="-7"/>
          <w:sz w:val="17"/>
          <w:vertAlign w:val="baseline"/>
        </w:rPr>
        <w:t>2</w:t>
      </w:r>
      <w:r>
        <w:rPr>
          <w:vertAlign w:val="baseline"/>
        </w:rPr>
        <w:t>.</w:t>
      </w:r>
      <w:r>
        <w:rPr>
          <w:vertAlign w:val="superscript"/>
        </w:rPr>
        <w:t>200</w:t>
      </w:r>
      <w:r>
        <w:rPr>
          <w:spacing w:val="-6"/>
          <w:vertAlign w:val="baseline"/>
        </w:rPr>
        <w:t> </w:t>
      </w:r>
      <w:r>
        <w:rPr>
          <w:vertAlign w:val="baseline"/>
        </w:rPr>
        <w:t>Cholecalciferol</w:t>
      </w:r>
      <w:r>
        <w:rPr>
          <w:spacing w:val="-5"/>
          <w:vertAlign w:val="baseline"/>
        </w:rPr>
        <w:t> </w:t>
      </w:r>
      <w:r>
        <w:rPr>
          <w:vertAlign w:val="baseline"/>
        </w:rPr>
        <w:t>and</w:t>
      </w:r>
      <w:r>
        <w:rPr>
          <w:spacing w:val="-5"/>
          <w:vertAlign w:val="baseline"/>
        </w:rPr>
        <w:t> </w:t>
      </w:r>
      <w:r>
        <w:rPr>
          <w:vertAlign w:val="baseline"/>
        </w:rPr>
        <w:t>ergocalciferol are converted in the liver to calcitriol (25-hydroxyvitamin D), which is the major circulating metabolite of vitamin D, and its levels in circulation </w:t>
      </w:r>
      <w:r>
        <w:rPr>
          <w:vertAlign w:val="baseline"/>
        </w:rPr>
        <w:t>are reflective of the overall vitamin D status. The circulating level of 25-hydroxyvitamin</w:t>
      </w:r>
      <w:r>
        <w:rPr>
          <w:spacing w:val="45"/>
          <w:vertAlign w:val="baseline"/>
        </w:rPr>
        <w:t>  </w:t>
      </w:r>
      <w:r>
        <w:rPr>
          <w:vertAlign w:val="baseline"/>
        </w:rPr>
        <w:t>D</w:t>
      </w:r>
      <w:r>
        <w:rPr>
          <w:spacing w:val="45"/>
          <w:vertAlign w:val="baseline"/>
        </w:rPr>
        <w:t>  </w:t>
      </w:r>
      <w:r>
        <w:rPr>
          <w:vertAlign w:val="baseline"/>
        </w:rPr>
        <w:t>and</w:t>
      </w:r>
      <w:r>
        <w:rPr>
          <w:spacing w:val="45"/>
          <w:vertAlign w:val="baseline"/>
        </w:rPr>
        <w:t>  </w:t>
      </w:r>
      <w:r>
        <w:rPr>
          <w:vertAlign w:val="baseline"/>
        </w:rPr>
        <w:t>renal</w:t>
      </w:r>
      <w:r>
        <w:rPr>
          <w:spacing w:val="45"/>
          <w:vertAlign w:val="baseline"/>
        </w:rPr>
        <w:t>  </w:t>
      </w:r>
      <w:r>
        <w:rPr>
          <w:vertAlign w:val="baseline"/>
        </w:rPr>
        <w:t>conversion</w:t>
      </w:r>
      <w:r>
        <w:rPr>
          <w:spacing w:val="45"/>
          <w:vertAlign w:val="baseline"/>
        </w:rPr>
        <w:t>  </w:t>
      </w:r>
      <w:r>
        <w:rPr>
          <w:vertAlign w:val="baseline"/>
        </w:rPr>
        <w:t>to</w:t>
      </w:r>
      <w:r>
        <w:rPr>
          <w:spacing w:val="45"/>
          <w:vertAlign w:val="baseline"/>
        </w:rPr>
        <w:t>  </w:t>
      </w:r>
      <w:r>
        <w:rPr>
          <w:vertAlign w:val="baseline"/>
        </w:rPr>
        <w:t>its</w:t>
      </w:r>
      <w:r>
        <w:rPr>
          <w:spacing w:val="45"/>
          <w:vertAlign w:val="baseline"/>
        </w:rPr>
        <w:t>  </w:t>
      </w:r>
      <w:r>
        <w:rPr>
          <w:vertAlign w:val="baseline"/>
        </w:rPr>
        <w:t>active</w:t>
      </w:r>
      <w:r>
        <w:rPr>
          <w:spacing w:val="45"/>
          <w:vertAlign w:val="baseline"/>
        </w:rPr>
        <w:t>  </w:t>
      </w:r>
      <w:r>
        <w:rPr>
          <w:vertAlign w:val="baseline"/>
        </w:rPr>
        <w:t>form,</w:t>
      </w:r>
      <w:r>
        <w:rPr>
          <w:spacing w:val="45"/>
          <w:vertAlign w:val="baseline"/>
        </w:rPr>
        <w:t>  </w:t>
      </w:r>
      <w:r>
        <w:rPr>
          <w:spacing w:val="-2"/>
          <w:vertAlign w:val="baseline"/>
        </w:rPr>
        <w:t>1,25-</w:t>
      </w:r>
    </w:p>
    <w:p>
      <w:pPr>
        <w:pStyle w:val="BodyText"/>
        <w:spacing w:line="249" w:lineRule="auto" w:before="0"/>
        <w:ind w:right="97"/>
      </w:pPr>
      <w:r>
        <w:rPr/>
        <w:t>dihydroxyvitamin D, are regulated by calcium, phosphorous, and PTH and 1,25 dihydroxyvitamin D plays a major role in stimulation the absorption </w:t>
      </w:r>
      <w:r>
        <w:rPr/>
        <w:t>of calcium and phosphate from the gastrointestinal tract (</w:t>
      </w:r>
      <w:r>
        <w:rPr>
          <w:b/>
          <w:color w:val="256E60"/>
        </w:rPr>
        <w:t>Figure 23.12</w:t>
      </w:r>
      <w:r>
        <w:rPr/>
        <w:t>).</w:t>
      </w:r>
    </w:p>
    <w:p>
      <w:pPr>
        <w:pStyle w:val="BodyText"/>
        <w:spacing w:after="0" w:line="249" w:lineRule="auto"/>
        <w:sectPr>
          <w:pgSz w:w="12240" w:h="15840"/>
          <w:pgMar w:top="1560" w:bottom="280" w:left="1440" w:right="1440"/>
        </w:sectPr>
      </w:pPr>
    </w:p>
    <w:p>
      <w:pPr>
        <w:spacing w:line="249" w:lineRule="auto" w:before="65"/>
        <w:ind w:left="99" w:right="97" w:firstLine="450"/>
        <w:jc w:val="both"/>
        <w:rPr>
          <w:sz w:val="30"/>
        </w:rPr>
      </w:pPr>
      <w:r>
        <w:rPr>
          <w:b/>
          <w:sz w:val="30"/>
        </w:rPr>
        <w:t>The importance of optimization of vitamin D status through</w:t>
      </w:r>
      <w:r>
        <w:rPr>
          <w:b/>
          <w:spacing w:val="40"/>
          <w:sz w:val="30"/>
        </w:rPr>
        <w:t> </w:t>
      </w:r>
      <w:r>
        <w:rPr>
          <w:b/>
          <w:sz w:val="30"/>
        </w:rPr>
        <w:t>lifestyle modifications and judicious use of supplementation in aging populations cannot be minimized. For postmenopausal women, </w:t>
      </w:r>
      <w:r>
        <w:rPr>
          <w:b/>
          <w:sz w:val="30"/>
        </w:rPr>
        <w:t>the recommended daily allowance for vitamin D is 600 IU.</w:t>
      </w:r>
      <w:r>
        <w:rPr>
          <w:sz w:val="30"/>
          <w:vertAlign w:val="superscript"/>
        </w:rPr>
        <w:t>195</w:t>
      </w:r>
      <w:r>
        <w:rPr>
          <w:sz w:val="30"/>
          <w:vertAlign w:val="baseline"/>
        </w:rPr>
        <w:t> </w:t>
      </w:r>
      <w:r>
        <w:rPr>
          <w:b/>
          <w:sz w:val="30"/>
          <w:vertAlign w:val="baseline"/>
        </w:rPr>
        <w:t>However, it is important to appreciate that recommended dietary allowance (RDA) doses are inadequate to achieve correction of underlying vitamin D deficiency, and there is sufficient evidence to support safety of daily intake of 1,000 to 2,000 units of vitamin D in addition to calcium supplementation. </w:t>
      </w:r>
      <w:r>
        <w:rPr>
          <w:sz w:val="30"/>
          <w:vertAlign w:val="baseline"/>
        </w:rPr>
        <w:t>Older studies that failed to document a beneficial impact of vitamin D supplementation were handicapped by doses that were too low and in the setting of inadequate calcium intake.</w:t>
      </w:r>
      <w:r>
        <w:rPr>
          <w:sz w:val="30"/>
          <w:vertAlign w:val="superscript"/>
        </w:rPr>
        <w:t>201</w:t>
      </w:r>
      <w:r>
        <w:rPr>
          <w:sz w:val="30"/>
          <w:vertAlign w:val="baseline"/>
        </w:rPr>
        <w:t> A pooled analysis of 68,500 patients in seven major vitamin D fracture trials concluded that vitamin D in appropriate doses coupled with calcium supplementation reduced fractures at all sites in men and women.</w:t>
      </w:r>
      <w:r>
        <w:rPr>
          <w:sz w:val="30"/>
          <w:vertAlign w:val="superscript"/>
        </w:rPr>
        <w:t>202</w:t>
      </w:r>
    </w:p>
    <w:p>
      <w:pPr>
        <w:pStyle w:val="BodyText"/>
        <w:spacing w:before="0"/>
        <w:ind w:left="0"/>
        <w:jc w:val="left"/>
        <w:rPr>
          <w:sz w:val="20"/>
        </w:rPr>
      </w:pPr>
    </w:p>
    <w:p>
      <w:pPr>
        <w:pStyle w:val="BodyText"/>
        <w:spacing w:before="128"/>
        <w:ind w:left="0"/>
        <w:jc w:val="left"/>
        <w:rPr>
          <w:sz w:val="20"/>
        </w:rPr>
      </w:pPr>
      <w:r>
        <w:rPr>
          <w:sz w:val="20"/>
        </w:rPr>
        <w:drawing>
          <wp:anchor distT="0" distB="0" distL="0" distR="0" allowOverlap="1" layoutInCell="1" locked="0" behindDoc="1" simplePos="0" relativeHeight="487612928">
            <wp:simplePos x="0" y="0"/>
            <wp:positionH relativeFrom="page">
              <wp:posOffset>981075</wp:posOffset>
            </wp:positionH>
            <wp:positionV relativeFrom="paragraph">
              <wp:posOffset>242750</wp:posOffset>
            </wp:positionV>
            <wp:extent cx="5770517" cy="4039362"/>
            <wp:effectExtent l="0" t="0" r="0" b="0"/>
            <wp:wrapTopAndBottom/>
            <wp:docPr id="90" name="Image 90"/>
            <wp:cNvGraphicFramePr>
              <a:graphicFrameLocks/>
            </wp:cNvGraphicFramePr>
            <a:graphic>
              <a:graphicData uri="http://schemas.openxmlformats.org/drawingml/2006/picture">
                <pic:pic>
                  <pic:nvPicPr>
                    <pic:cNvPr id="90" name="Image 90"/>
                    <pic:cNvPicPr/>
                  </pic:nvPicPr>
                  <pic:blipFill>
                    <a:blip r:embed="rId20" cstate="print"/>
                    <a:stretch>
                      <a:fillRect/>
                    </a:stretch>
                  </pic:blipFill>
                  <pic:spPr>
                    <a:xfrm>
                      <a:off x="0" y="0"/>
                      <a:ext cx="5770517" cy="403936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13440">
                <wp:simplePos x="0" y="0"/>
                <wp:positionH relativeFrom="page">
                  <wp:posOffset>981075</wp:posOffset>
                </wp:positionH>
                <wp:positionV relativeFrom="paragraph">
                  <wp:posOffset>4500426</wp:posOffset>
                </wp:positionV>
                <wp:extent cx="932815" cy="57150"/>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932815" cy="57150"/>
                        </a:xfrm>
                        <a:custGeom>
                          <a:avLst/>
                          <a:gdLst/>
                          <a:ahLst/>
                          <a:cxnLst/>
                          <a:rect l="l" t="t" r="r" b="b"/>
                          <a:pathLst>
                            <a:path w="932815" h="57150">
                              <a:moveTo>
                                <a:pt x="32364" y="57149"/>
                              </a:moveTo>
                              <a:lnTo>
                                <a:pt x="24785" y="57149"/>
                              </a:lnTo>
                              <a:lnTo>
                                <a:pt x="21140" y="56407"/>
                              </a:lnTo>
                              <a:lnTo>
                                <a:pt x="0" y="32337"/>
                              </a:lnTo>
                              <a:lnTo>
                                <a:pt x="0" y="24745"/>
                              </a:lnTo>
                              <a:lnTo>
                                <a:pt x="24785" y="0"/>
                              </a:lnTo>
                              <a:lnTo>
                                <a:pt x="32364" y="0"/>
                              </a:lnTo>
                              <a:lnTo>
                                <a:pt x="57149" y="24745"/>
                              </a:lnTo>
                              <a:lnTo>
                                <a:pt x="57149" y="32337"/>
                              </a:lnTo>
                              <a:lnTo>
                                <a:pt x="32364" y="57149"/>
                              </a:lnTo>
                              <a:close/>
                            </a:path>
                            <a:path w="932815" h="57150">
                              <a:moveTo>
                                <a:pt x="141806" y="57149"/>
                              </a:moveTo>
                              <a:lnTo>
                                <a:pt x="134227" y="57149"/>
                              </a:lnTo>
                              <a:lnTo>
                                <a:pt x="130582" y="56407"/>
                              </a:lnTo>
                              <a:lnTo>
                                <a:pt x="109442" y="32337"/>
                              </a:lnTo>
                              <a:lnTo>
                                <a:pt x="109442" y="24745"/>
                              </a:lnTo>
                              <a:lnTo>
                                <a:pt x="134227" y="0"/>
                              </a:lnTo>
                              <a:lnTo>
                                <a:pt x="141806" y="0"/>
                              </a:lnTo>
                              <a:lnTo>
                                <a:pt x="166592" y="24745"/>
                              </a:lnTo>
                              <a:lnTo>
                                <a:pt x="166592" y="32337"/>
                              </a:lnTo>
                              <a:lnTo>
                                <a:pt x="141806" y="57149"/>
                              </a:lnTo>
                              <a:close/>
                            </a:path>
                            <a:path w="932815" h="57150">
                              <a:moveTo>
                                <a:pt x="251248" y="57149"/>
                              </a:moveTo>
                              <a:lnTo>
                                <a:pt x="243670" y="57149"/>
                              </a:lnTo>
                              <a:lnTo>
                                <a:pt x="240025" y="56407"/>
                              </a:lnTo>
                              <a:lnTo>
                                <a:pt x="218884" y="32337"/>
                              </a:lnTo>
                              <a:lnTo>
                                <a:pt x="218884" y="24745"/>
                              </a:lnTo>
                              <a:lnTo>
                                <a:pt x="243670" y="0"/>
                              </a:lnTo>
                              <a:lnTo>
                                <a:pt x="251248" y="0"/>
                              </a:lnTo>
                              <a:lnTo>
                                <a:pt x="276034" y="24745"/>
                              </a:lnTo>
                              <a:lnTo>
                                <a:pt x="276034" y="32337"/>
                              </a:lnTo>
                              <a:lnTo>
                                <a:pt x="251248" y="57149"/>
                              </a:lnTo>
                              <a:close/>
                            </a:path>
                            <a:path w="932815" h="57150">
                              <a:moveTo>
                                <a:pt x="360691" y="57149"/>
                              </a:moveTo>
                              <a:lnTo>
                                <a:pt x="353112" y="57149"/>
                              </a:lnTo>
                              <a:lnTo>
                                <a:pt x="349467" y="56407"/>
                              </a:lnTo>
                              <a:lnTo>
                                <a:pt x="328326" y="32337"/>
                              </a:lnTo>
                              <a:lnTo>
                                <a:pt x="328326" y="24745"/>
                              </a:lnTo>
                              <a:lnTo>
                                <a:pt x="353112" y="0"/>
                              </a:lnTo>
                              <a:lnTo>
                                <a:pt x="360691" y="0"/>
                              </a:lnTo>
                              <a:lnTo>
                                <a:pt x="385476" y="24745"/>
                              </a:lnTo>
                              <a:lnTo>
                                <a:pt x="385476" y="32337"/>
                              </a:lnTo>
                              <a:lnTo>
                                <a:pt x="360691" y="57149"/>
                              </a:lnTo>
                              <a:close/>
                            </a:path>
                            <a:path w="932815" h="57150">
                              <a:moveTo>
                                <a:pt x="470133" y="57149"/>
                              </a:moveTo>
                              <a:lnTo>
                                <a:pt x="462554" y="57149"/>
                              </a:lnTo>
                              <a:lnTo>
                                <a:pt x="458909" y="56407"/>
                              </a:lnTo>
                              <a:lnTo>
                                <a:pt x="437768" y="32337"/>
                              </a:lnTo>
                              <a:lnTo>
                                <a:pt x="437768" y="24745"/>
                              </a:lnTo>
                              <a:lnTo>
                                <a:pt x="462554" y="0"/>
                              </a:lnTo>
                              <a:lnTo>
                                <a:pt x="470133" y="0"/>
                              </a:lnTo>
                              <a:lnTo>
                                <a:pt x="494918" y="24745"/>
                              </a:lnTo>
                              <a:lnTo>
                                <a:pt x="494918" y="32337"/>
                              </a:lnTo>
                              <a:lnTo>
                                <a:pt x="470133" y="57149"/>
                              </a:lnTo>
                              <a:close/>
                            </a:path>
                            <a:path w="932815" h="57150">
                              <a:moveTo>
                                <a:pt x="579575" y="57149"/>
                              </a:moveTo>
                              <a:lnTo>
                                <a:pt x="571996" y="57149"/>
                              </a:lnTo>
                              <a:lnTo>
                                <a:pt x="568351" y="56407"/>
                              </a:lnTo>
                              <a:lnTo>
                                <a:pt x="547211" y="32337"/>
                              </a:lnTo>
                              <a:lnTo>
                                <a:pt x="547211" y="24745"/>
                              </a:lnTo>
                              <a:lnTo>
                                <a:pt x="571996" y="0"/>
                              </a:lnTo>
                              <a:lnTo>
                                <a:pt x="579575" y="0"/>
                              </a:lnTo>
                              <a:lnTo>
                                <a:pt x="604361" y="24745"/>
                              </a:lnTo>
                              <a:lnTo>
                                <a:pt x="604361" y="32337"/>
                              </a:lnTo>
                              <a:lnTo>
                                <a:pt x="579575" y="57149"/>
                              </a:lnTo>
                              <a:close/>
                            </a:path>
                            <a:path w="932815" h="57150">
                              <a:moveTo>
                                <a:pt x="689017" y="57149"/>
                              </a:moveTo>
                              <a:lnTo>
                                <a:pt x="681439" y="57149"/>
                              </a:lnTo>
                              <a:lnTo>
                                <a:pt x="677794" y="56407"/>
                              </a:lnTo>
                              <a:lnTo>
                                <a:pt x="656653" y="32337"/>
                              </a:lnTo>
                              <a:lnTo>
                                <a:pt x="656653" y="24745"/>
                              </a:lnTo>
                              <a:lnTo>
                                <a:pt x="681439" y="0"/>
                              </a:lnTo>
                              <a:lnTo>
                                <a:pt x="689017" y="0"/>
                              </a:lnTo>
                              <a:lnTo>
                                <a:pt x="713803" y="24745"/>
                              </a:lnTo>
                              <a:lnTo>
                                <a:pt x="713803" y="32337"/>
                              </a:lnTo>
                              <a:lnTo>
                                <a:pt x="689017" y="57149"/>
                              </a:lnTo>
                              <a:close/>
                            </a:path>
                            <a:path w="932815" h="57150">
                              <a:moveTo>
                                <a:pt x="798459" y="57149"/>
                              </a:moveTo>
                              <a:lnTo>
                                <a:pt x="790881" y="57149"/>
                              </a:lnTo>
                              <a:lnTo>
                                <a:pt x="787236" y="56407"/>
                              </a:lnTo>
                              <a:lnTo>
                                <a:pt x="766095" y="32337"/>
                              </a:lnTo>
                              <a:lnTo>
                                <a:pt x="766095" y="24745"/>
                              </a:lnTo>
                              <a:lnTo>
                                <a:pt x="790881" y="0"/>
                              </a:lnTo>
                              <a:lnTo>
                                <a:pt x="798459" y="0"/>
                              </a:lnTo>
                              <a:lnTo>
                                <a:pt x="823245" y="24745"/>
                              </a:lnTo>
                              <a:lnTo>
                                <a:pt x="823245" y="32337"/>
                              </a:lnTo>
                              <a:lnTo>
                                <a:pt x="798459" y="57149"/>
                              </a:lnTo>
                              <a:close/>
                            </a:path>
                            <a:path w="932815" h="57150">
                              <a:moveTo>
                                <a:pt x="907902" y="57149"/>
                              </a:moveTo>
                              <a:lnTo>
                                <a:pt x="900323" y="57149"/>
                              </a:lnTo>
                              <a:lnTo>
                                <a:pt x="896678" y="56407"/>
                              </a:lnTo>
                              <a:lnTo>
                                <a:pt x="875537" y="32337"/>
                              </a:lnTo>
                              <a:lnTo>
                                <a:pt x="875537" y="24745"/>
                              </a:lnTo>
                              <a:lnTo>
                                <a:pt x="900323" y="0"/>
                              </a:lnTo>
                              <a:lnTo>
                                <a:pt x="907902" y="0"/>
                              </a:lnTo>
                              <a:lnTo>
                                <a:pt x="932687" y="24745"/>
                              </a:lnTo>
                              <a:lnTo>
                                <a:pt x="932687" y="32337"/>
                              </a:lnTo>
                              <a:lnTo>
                                <a:pt x="907902" y="57149"/>
                              </a:lnTo>
                              <a:close/>
                            </a:path>
                          </a:pathLst>
                        </a:custGeom>
                        <a:solidFill>
                          <a:srgbClr val="2B816F"/>
                        </a:solidFill>
                      </wps:spPr>
                      <wps:bodyPr wrap="square" lIns="0" tIns="0" rIns="0" bIns="0" rtlCol="0">
                        <a:prstTxWarp prst="textNoShape">
                          <a:avLst/>
                        </a:prstTxWarp>
                        <a:noAutofit/>
                      </wps:bodyPr>
                    </wps:wsp>
                  </a:graphicData>
                </a:graphic>
              </wp:anchor>
            </w:drawing>
          </mc:Choice>
          <mc:Fallback>
            <w:pict>
              <v:shape style="position:absolute;margin-left:77.25pt;margin-top:354.364258pt;width:73.45pt;height:4.5pt;mso-position-horizontal-relative:page;mso-position-vertical-relative:paragraph;z-index:-15703040;mso-wrap-distance-left:0;mso-wrap-distance-right:0" id="docshape77" coordorigin="1545,7087" coordsize="1469,90" path="m1596,7177l1584,7177,1578,7176,1567,7172,1562,7168,1558,7164,1554,7160,1551,7155,1546,7144,1545,7138,1545,7126,1546,7121,1551,7110,1554,7105,1562,7096,1567,7093,1578,7088,1584,7087,1596,7087,1602,7088,1607,7091,1613,7093,1618,7096,1626,7105,1629,7110,1634,7121,1635,7126,1635,7138,1634,7144,1629,7155,1626,7160,1622,7164,1618,7168,1613,7172,1602,7176,1596,7177xm1768,7177l1756,7177,1751,7176,1740,7172,1735,7168,1731,7164,1726,7160,1723,7155,1718,7144,1717,7138,1717,7126,1718,7121,1723,7110,1726,7105,1735,7096,1740,7093,1751,7088,1756,7087,1768,7087,1774,7088,1780,7091,1785,7093,1790,7096,1798,7105,1802,7110,1806,7121,1807,7126,1807,7138,1806,7144,1802,7155,1798,7160,1794,7164,1790,7168,1785,7172,1774,7176,1768,7177xm1941,7177l1929,7177,1923,7176,1912,7172,1907,7168,1903,7164,1899,7160,1895,7155,1891,7144,1890,7138,1890,7126,1891,7121,1895,7110,1899,7105,1907,7096,1912,7093,1923,7088,1929,7087,1941,7087,1946,7088,1952,7091,1957,7093,1962,7096,1971,7105,1974,7110,1979,7121,1980,7126,1980,7138,1979,7144,1974,7155,1971,7160,1967,7164,1962,7168,1957,7172,1946,7176,1941,7177xm2113,7177l2101,7177,2095,7176,2084,7172,2079,7168,2075,7164,2071,7160,2068,7155,2063,7144,2062,7138,2062,7126,2063,7121,2068,7110,2071,7105,2079,7096,2084,7093,2095,7088,2101,7087,2113,7087,2119,7088,2124,7091,2130,7093,2135,7096,2143,7105,2146,7110,2151,7121,2152,7126,2152,7138,2151,7144,2146,7155,2143,7160,2139,7164,2135,7168,2130,7172,2119,7176,2113,7177xm2285,7177l2273,7177,2268,7176,2257,7172,2252,7168,2248,7164,2243,7160,2240,7155,2236,7144,2234,7138,2234,7126,2236,7121,2240,7110,2243,7105,2252,7096,2257,7093,2268,7088,2273,7087,2285,7087,2291,7088,2297,7091,2302,7093,2307,7096,2315,7105,2319,7110,2323,7121,2324,7126,2324,7138,2323,7144,2319,7155,2315,7160,2311,7164,2307,7168,2302,7172,2291,7176,2285,7177xm2458,7177l2446,7177,2440,7176,2429,7172,2424,7168,2420,7164,2416,7160,2412,7155,2408,7144,2407,7138,2407,7126,2408,7121,2412,7110,2416,7105,2424,7096,2429,7093,2440,7088,2446,7087,2458,7087,2463,7088,2469,7091,2474,7093,2479,7096,2488,7105,2491,7110,2496,7121,2497,7126,2497,7138,2496,7144,2491,7155,2488,7160,2484,7164,2479,7168,2474,7172,2463,7176,2458,7177xm2630,7177l2618,7177,2612,7176,2601,7172,2596,7168,2592,7164,2588,7160,2585,7155,2580,7144,2579,7138,2579,7126,2580,7121,2585,7110,2588,7105,2596,7096,2601,7093,2612,7088,2618,7087,2630,7087,2636,7088,2641,7091,2647,7093,2652,7096,2660,7105,2663,7110,2668,7121,2669,7126,2669,7138,2668,7144,2663,7155,2660,7160,2656,7164,2652,7168,2647,7172,2636,7176,2630,7177xm2802,7177l2790,7177,2785,7176,2774,7172,2769,7168,2765,7164,2760,7160,2757,7155,2753,7144,2751,7138,2751,7126,2753,7121,2757,7110,2760,7105,2769,7096,2774,7093,2785,7088,2790,7087,2802,7087,2808,7088,2814,7091,2819,7093,2824,7096,2832,7105,2836,7110,2840,7121,2841,7126,2841,7138,2840,7144,2836,7155,2832,7160,2828,7164,2824,7168,2819,7172,2808,7176,2802,7177xm2975,7177l2963,7177,2957,7176,2946,7172,2941,7168,2937,7164,2933,7160,2930,7155,2925,7144,2924,7138,2924,7126,2925,7121,2930,7110,2933,7105,2941,7096,2946,7093,2957,7088,2963,7087,2975,7087,2981,7088,2986,7091,2992,7093,2996,7096,3005,7105,3008,7110,3013,7121,3014,7126,3014,7138,3013,7144,3008,7155,3005,7160,3001,7164,2996,7168,2992,7172,2981,7176,2975,7177xe" filled="true" fillcolor="#2b816f" stroked="false">
                <v:path arrowok="t"/>
                <v:fill type="solid"/>
                <w10:wrap type="topAndBottom"/>
              </v:shape>
            </w:pict>
          </mc:Fallback>
        </mc:AlternateContent>
      </w:r>
    </w:p>
    <w:p>
      <w:pPr>
        <w:pStyle w:val="BodyText"/>
        <w:spacing w:before="89"/>
        <w:ind w:left="0"/>
        <w:jc w:val="left"/>
        <w:rPr>
          <w:sz w:val="20"/>
        </w:rPr>
      </w:pPr>
    </w:p>
    <w:p>
      <w:pPr>
        <w:spacing w:before="78"/>
        <w:ind w:left="99" w:right="0" w:firstLine="0"/>
        <w:jc w:val="left"/>
        <w:rPr>
          <w:rFonts w:ascii="Arial"/>
          <w:b/>
          <w:sz w:val="22"/>
        </w:rPr>
      </w:pPr>
      <w:r>
        <w:rPr>
          <w:rFonts w:ascii="Arial"/>
          <w:b/>
          <w:color w:val="2B816F"/>
          <w:sz w:val="22"/>
        </w:rPr>
        <w:t>FIGURE</w:t>
      </w:r>
      <w:r>
        <w:rPr>
          <w:rFonts w:ascii="Arial"/>
          <w:b/>
          <w:color w:val="2B816F"/>
          <w:spacing w:val="17"/>
          <w:sz w:val="22"/>
        </w:rPr>
        <w:t> </w:t>
      </w:r>
      <w:r>
        <w:rPr>
          <w:rFonts w:ascii="Arial"/>
          <w:b/>
          <w:color w:val="2B816F"/>
          <w:spacing w:val="-4"/>
          <w:sz w:val="22"/>
        </w:rPr>
        <w:t>23.12</w:t>
      </w:r>
    </w:p>
    <w:p>
      <w:pPr>
        <w:spacing w:after="0"/>
        <w:jc w:val="left"/>
        <w:rPr>
          <w:rFonts w:ascii="Arial"/>
          <w:b/>
          <w:sz w:val="22"/>
        </w:rPr>
        <w:sectPr>
          <w:pgSz w:w="12240" w:h="15840"/>
          <w:pgMar w:top="1380" w:bottom="280" w:left="1440" w:right="1440"/>
        </w:sectPr>
      </w:pPr>
    </w:p>
    <w:p>
      <w:pPr>
        <w:spacing w:line="249" w:lineRule="auto" w:before="65"/>
        <w:ind w:left="99" w:right="100" w:firstLine="450"/>
        <w:jc w:val="both"/>
        <w:rPr>
          <w:sz w:val="30"/>
        </w:rPr>
      </w:pPr>
      <w:r>
        <w:rPr>
          <w:sz w:val="30"/>
        </w:rPr>
        <w:t>Because adequate and active vitamin D depends on </w:t>
      </w:r>
      <w:r>
        <w:rPr>
          <w:sz w:val="30"/>
        </w:rPr>
        <w:t>cutaneous generation mediated by sun exposure, women in the winter months can easily be relatively vitamin D deficient and lose bone.</w:t>
      </w:r>
      <w:r>
        <w:rPr>
          <w:sz w:val="30"/>
          <w:vertAlign w:val="superscript"/>
        </w:rPr>
        <w:t>203</w:t>
      </w:r>
      <w:r>
        <w:rPr>
          <w:sz w:val="30"/>
          <w:vertAlign w:val="baseline"/>
        </w:rPr>
        <w:t> In far northern and southern areas, the winter sunlight is inadequate to stimulate dermal activation. But even in areas of the world where there is adequate sun exposure, inadequate dietary intake and an indoor lifestyle yield a significant number of women with abnormally low levels of circulating 25-hydroxyvitamin D.</w:t>
      </w:r>
      <w:r>
        <w:rPr>
          <w:sz w:val="30"/>
          <w:vertAlign w:val="superscript"/>
        </w:rPr>
        <w:t>204</w:t>
      </w:r>
      <w:r>
        <w:rPr>
          <w:sz w:val="30"/>
          <w:vertAlign w:val="baseline"/>
        </w:rPr>
        <w:t> The National Health and Nutrition Examination Survey (NHANES) documented a rising prevalence of vitamin D insufficiency in the United States over the last two decades.</w:t>
      </w:r>
      <w:r>
        <w:rPr>
          <w:sz w:val="30"/>
          <w:vertAlign w:val="superscript"/>
        </w:rPr>
        <w:t>205</w:t>
      </w:r>
      <w:r>
        <w:rPr>
          <w:sz w:val="30"/>
          <w:vertAlign w:val="baseline"/>
        </w:rPr>
        <w:t> </w:t>
      </w:r>
      <w:r>
        <w:rPr>
          <w:b/>
          <w:sz w:val="30"/>
          <w:vertAlign w:val="baseline"/>
        </w:rPr>
        <w:t>If uncertain regarding vitamin D supplementation, the serum level of 25-hydroxyvitamin D can be measured; although the Institute of Medicine (IOM) in the United States has lowered the threshold to define vitamin D deficiency to less than 20 ng/mL, the U.S. Endocrine Society maintains that a level below 30 ng/mL is abnormal.</w:t>
      </w:r>
      <w:r>
        <w:rPr>
          <w:sz w:val="30"/>
          <w:vertAlign w:val="superscript"/>
        </w:rPr>
        <w:t>113,206</w:t>
      </w:r>
    </w:p>
    <w:p>
      <w:pPr>
        <w:pStyle w:val="BodyText"/>
        <w:spacing w:line="249" w:lineRule="auto" w:before="18"/>
        <w:ind w:right="99" w:firstLine="450"/>
      </w:pPr>
      <w:r>
        <w:rPr/>
        <w:t>The benefit of vitamin D supplementation is clear in older postmenopausal women, and the lack of side effects encourages us </w:t>
      </w:r>
      <w:r>
        <w:rPr/>
        <w:t>to recommend vitamin D supplementation as part of the overall program for osteoporosis prevention in younger postmenopausal women. But keep in mind that effective bone response to vitamin D requires adequate calcium </w:t>
      </w:r>
      <w:r>
        <w:rPr>
          <w:spacing w:val="-2"/>
        </w:rPr>
        <w:t>intake.</w:t>
      </w:r>
    </w:p>
    <w:p>
      <w:pPr>
        <w:pStyle w:val="BodyText"/>
        <w:spacing w:line="249" w:lineRule="auto" w:before="7"/>
        <w:ind w:right="102" w:firstLine="450"/>
      </w:pPr>
      <w:r>
        <w:rPr/>
        <w:t>One caution regarding vitamins: excessive intake of vitamin A, specifically retinol, was reported to be associated with an increased rate </w:t>
      </w:r>
      <w:r>
        <w:rPr/>
        <w:t>of hip</w:t>
      </w:r>
      <w:r>
        <w:rPr>
          <w:spacing w:val="-3"/>
        </w:rPr>
        <w:t> </w:t>
      </w:r>
      <w:r>
        <w:rPr/>
        <w:t>fractures</w:t>
      </w:r>
      <w:r>
        <w:rPr>
          <w:spacing w:val="-3"/>
        </w:rPr>
        <w:t> </w:t>
      </w:r>
      <w:r>
        <w:rPr/>
        <w:t>in</w:t>
      </w:r>
      <w:r>
        <w:rPr>
          <w:spacing w:val="-3"/>
        </w:rPr>
        <w:t> </w:t>
      </w:r>
      <w:r>
        <w:rPr/>
        <w:t>the</w:t>
      </w:r>
      <w:r>
        <w:rPr>
          <w:spacing w:val="-3"/>
        </w:rPr>
        <w:t> </w:t>
      </w:r>
      <w:r>
        <w:rPr/>
        <w:t>women</w:t>
      </w:r>
      <w:r>
        <w:rPr>
          <w:spacing w:val="-3"/>
        </w:rPr>
        <w:t> </w:t>
      </w:r>
      <w:r>
        <w:rPr/>
        <w:t>not</w:t>
      </w:r>
      <w:r>
        <w:rPr>
          <w:spacing w:val="-3"/>
        </w:rPr>
        <w:t> </w:t>
      </w:r>
      <w:r>
        <w:rPr/>
        <w:t>using</w:t>
      </w:r>
      <w:r>
        <w:rPr>
          <w:spacing w:val="-3"/>
        </w:rPr>
        <w:t> </w:t>
      </w:r>
      <w:r>
        <w:rPr/>
        <w:t>hormone</w:t>
      </w:r>
      <w:r>
        <w:rPr>
          <w:spacing w:val="-3"/>
        </w:rPr>
        <w:t> </w:t>
      </w:r>
      <w:r>
        <w:rPr/>
        <w:t>therapy</w:t>
      </w:r>
      <w:r>
        <w:rPr>
          <w:spacing w:val="-3"/>
        </w:rPr>
        <w:t> </w:t>
      </w:r>
      <w:r>
        <w:rPr/>
        <w:t>in</w:t>
      </w:r>
      <w:r>
        <w:rPr>
          <w:spacing w:val="-3"/>
        </w:rPr>
        <w:t> </w:t>
      </w:r>
      <w:r>
        <w:rPr/>
        <w:t>the</w:t>
      </w:r>
      <w:r>
        <w:rPr>
          <w:spacing w:val="-3"/>
        </w:rPr>
        <w:t> </w:t>
      </w:r>
      <w:r>
        <w:rPr/>
        <w:t>Nurses’</w:t>
      </w:r>
      <w:r>
        <w:rPr>
          <w:spacing w:val="-3"/>
        </w:rPr>
        <w:t> </w:t>
      </w:r>
      <w:r>
        <w:rPr/>
        <w:t>Health Study; it would be better to avoid obtaining vitamin D by taking more than one</w:t>
      </w:r>
      <w:r>
        <w:rPr>
          <w:spacing w:val="-2"/>
        </w:rPr>
        <w:t> </w:t>
      </w:r>
      <w:r>
        <w:rPr/>
        <w:t>multivitamin</w:t>
      </w:r>
      <w:r>
        <w:rPr>
          <w:spacing w:val="-2"/>
        </w:rPr>
        <w:t> </w:t>
      </w:r>
      <w:r>
        <w:rPr/>
        <w:t>tablet</w:t>
      </w:r>
      <w:r>
        <w:rPr>
          <w:spacing w:val="-2"/>
        </w:rPr>
        <w:t> </w:t>
      </w:r>
      <w:r>
        <w:rPr/>
        <w:t>daily.</w:t>
      </w:r>
      <w:r>
        <w:rPr>
          <w:vertAlign w:val="superscript"/>
        </w:rPr>
        <w:t>207</w:t>
      </w:r>
      <w:r>
        <w:rPr>
          <w:spacing w:val="-4"/>
          <w:vertAlign w:val="baseline"/>
        </w:rPr>
        <w:t> </w:t>
      </w:r>
      <w:r>
        <w:rPr>
          <w:vertAlign w:val="baseline"/>
        </w:rPr>
        <w:t>It</w:t>
      </w:r>
      <w:r>
        <w:rPr>
          <w:spacing w:val="-4"/>
          <w:vertAlign w:val="baseline"/>
        </w:rPr>
        <w:t> </w:t>
      </w:r>
      <w:r>
        <w:rPr>
          <w:vertAlign w:val="baseline"/>
        </w:rPr>
        <w:t>has</w:t>
      </w:r>
      <w:r>
        <w:rPr>
          <w:spacing w:val="-4"/>
          <w:vertAlign w:val="baseline"/>
        </w:rPr>
        <w:t> </w:t>
      </w:r>
      <w:r>
        <w:rPr>
          <w:vertAlign w:val="baseline"/>
        </w:rPr>
        <w:t>been</w:t>
      </w:r>
      <w:r>
        <w:rPr>
          <w:spacing w:val="-4"/>
          <w:vertAlign w:val="baseline"/>
        </w:rPr>
        <w:t> </w:t>
      </w:r>
      <w:r>
        <w:rPr>
          <w:vertAlign w:val="baseline"/>
        </w:rPr>
        <w:t>argued</w:t>
      </w:r>
      <w:r>
        <w:rPr>
          <w:spacing w:val="-4"/>
          <w:vertAlign w:val="baseline"/>
        </w:rPr>
        <w:t> </w:t>
      </w:r>
      <w:r>
        <w:rPr>
          <w:vertAlign w:val="baseline"/>
        </w:rPr>
        <w:t>that</w:t>
      </w:r>
      <w:r>
        <w:rPr>
          <w:spacing w:val="-4"/>
          <w:vertAlign w:val="baseline"/>
        </w:rPr>
        <w:t> </w:t>
      </w:r>
      <w:r>
        <w:rPr>
          <w:vertAlign w:val="baseline"/>
        </w:rPr>
        <w:t>excess</w:t>
      </w:r>
      <w:r>
        <w:rPr>
          <w:spacing w:val="-4"/>
          <w:vertAlign w:val="baseline"/>
        </w:rPr>
        <w:t> </w:t>
      </w:r>
      <w:r>
        <w:rPr>
          <w:vertAlign w:val="baseline"/>
        </w:rPr>
        <w:t>retinol</w:t>
      </w:r>
      <w:r>
        <w:rPr>
          <w:spacing w:val="-4"/>
          <w:vertAlign w:val="baseline"/>
        </w:rPr>
        <w:t> </w:t>
      </w:r>
      <w:r>
        <w:rPr>
          <w:vertAlign w:val="baseline"/>
        </w:rPr>
        <w:t>intake may explain the higher rate of fractures in Scandinavia.</w:t>
      </w:r>
      <w:r>
        <w:rPr>
          <w:vertAlign w:val="superscript"/>
        </w:rPr>
        <w:t>208</w:t>
      </w:r>
    </w:p>
    <w:p>
      <w:pPr>
        <w:pStyle w:val="BodyText"/>
        <w:spacing w:line="249" w:lineRule="auto" w:before="8"/>
        <w:ind w:right="98" w:firstLine="450"/>
      </w:pPr>
      <w:r>
        <w:rPr/>
        <w:t>The WHI conducted a randomized trial of calcium and vitamin D supplementation.</w:t>
      </w:r>
      <w:r>
        <w:rPr>
          <w:vertAlign w:val="superscript"/>
        </w:rPr>
        <w:t>209</w:t>
      </w:r>
      <w:r>
        <w:rPr>
          <w:vertAlign w:val="baseline"/>
        </w:rPr>
        <w:t> The 36,282 postmenopausal women were part of </w:t>
      </w:r>
      <w:r>
        <w:rPr>
          <w:vertAlign w:val="baseline"/>
        </w:rPr>
        <w:t>the WHI clinical trials involving postmenopausal hormone therapy or dietary modification. The average follow-up was 7 years. Thirty-seven percent of the</w:t>
      </w:r>
      <w:r>
        <w:rPr>
          <w:spacing w:val="5"/>
          <w:vertAlign w:val="baseline"/>
        </w:rPr>
        <w:t> </w:t>
      </w:r>
      <w:r>
        <w:rPr>
          <w:vertAlign w:val="baseline"/>
        </w:rPr>
        <w:t>women</w:t>
      </w:r>
      <w:r>
        <w:rPr>
          <w:spacing w:val="5"/>
          <w:vertAlign w:val="baseline"/>
        </w:rPr>
        <w:t> </w:t>
      </w:r>
      <w:r>
        <w:rPr>
          <w:vertAlign w:val="baseline"/>
        </w:rPr>
        <w:t>were</w:t>
      </w:r>
      <w:r>
        <w:rPr>
          <w:spacing w:val="5"/>
          <w:vertAlign w:val="baseline"/>
        </w:rPr>
        <w:t> </w:t>
      </w:r>
      <w:r>
        <w:rPr>
          <w:vertAlign w:val="baseline"/>
        </w:rPr>
        <w:t>ages</w:t>
      </w:r>
      <w:r>
        <w:rPr>
          <w:spacing w:val="5"/>
          <w:vertAlign w:val="baseline"/>
        </w:rPr>
        <w:t> </w:t>
      </w:r>
      <w:r>
        <w:rPr>
          <w:vertAlign w:val="baseline"/>
        </w:rPr>
        <w:t>50</w:t>
      </w:r>
      <w:r>
        <w:rPr>
          <w:spacing w:val="5"/>
          <w:vertAlign w:val="baseline"/>
        </w:rPr>
        <w:t> </w:t>
      </w:r>
      <w:r>
        <w:rPr>
          <w:vertAlign w:val="baseline"/>
        </w:rPr>
        <w:t>to</w:t>
      </w:r>
      <w:r>
        <w:rPr>
          <w:spacing w:val="5"/>
          <w:vertAlign w:val="baseline"/>
        </w:rPr>
        <w:t> </w:t>
      </w:r>
      <w:r>
        <w:rPr>
          <w:vertAlign w:val="baseline"/>
        </w:rPr>
        <w:t>59,</w:t>
      </w:r>
      <w:r>
        <w:rPr>
          <w:spacing w:val="5"/>
          <w:vertAlign w:val="baseline"/>
        </w:rPr>
        <w:t> </w:t>
      </w:r>
      <w:r>
        <w:rPr>
          <w:vertAlign w:val="baseline"/>
        </w:rPr>
        <w:t>45.5%</w:t>
      </w:r>
      <w:r>
        <w:rPr>
          <w:spacing w:val="5"/>
          <w:vertAlign w:val="baseline"/>
        </w:rPr>
        <w:t> </w:t>
      </w:r>
      <w:r>
        <w:rPr>
          <w:vertAlign w:val="baseline"/>
        </w:rPr>
        <w:t>were</w:t>
      </w:r>
      <w:r>
        <w:rPr>
          <w:spacing w:val="5"/>
          <w:vertAlign w:val="baseline"/>
        </w:rPr>
        <w:t> </w:t>
      </w:r>
      <w:r>
        <w:rPr>
          <w:vertAlign w:val="baseline"/>
        </w:rPr>
        <w:t>60</w:t>
      </w:r>
      <w:r>
        <w:rPr>
          <w:spacing w:val="5"/>
          <w:vertAlign w:val="baseline"/>
        </w:rPr>
        <w:t> </w:t>
      </w:r>
      <w:r>
        <w:rPr>
          <w:vertAlign w:val="baseline"/>
        </w:rPr>
        <w:t>to</w:t>
      </w:r>
      <w:r>
        <w:rPr>
          <w:spacing w:val="5"/>
          <w:vertAlign w:val="baseline"/>
        </w:rPr>
        <w:t> </w:t>
      </w:r>
      <w:r>
        <w:rPr>
          <w:vertAlign w:val="baseline"/>
        </w:rPr>
        <w:t>59,</w:t>
      </w:r>
      <w:r>
        <w:rPr>
          <w:spacing w:val="5"/>
          <w:vertAlign w:val="baseline"/>
        </w:rPr>
        <w:t> </w:t>
      </w:r>
      <w:r>
        <w:rPr>
          <w:vertAlign w:val="baseline"/>
        </w:rPr>
        <w:t>and</w:t>
      </w:r>
      <w:r>
        <w:rPr>
          <w:spacing w:val="5"/>
          <w:vertAlign w:val="baseline"/>
        </w:rPr>
        <w:t> </w:t>
      </w:r>
      <w:r>
        <w:rPr>
          <w:vertAlign w:val="baseline"/>
        </w:rPr>
        <w:t>17.5%</w:t>
      </w:r>
      <w:r>
        <w:rPr>
          <w:spacing w:val="5"/>
          <w:vertAlign w:val="baseline"/>
        </w:rPr>
        <w:t> </w:t>
      </w:r>
      <w:r>
        <w:rPr>
          <w:vertAlign w:val="baseline"/>
        </w:rPr>
        <w:t>were</w:t>
      </w:r>
      <w:r>
        <w:rPr>
          <w:spacing w:val="5"/>
          <w:vertAlign w:val="baseline"/>
        </w:rPr>
        <w:t> </w:t>
      </w:r>
      <w:r>
        <w:rPr>
          <w:vertAlign w:val="baseline"/>
        </w:rPr>
        <w:t>70</w:t>
      </w:r>
      <w:r>
        <w:rPr>
          <w:spacing w:val="5"/>
          <w:vertAlign w:val="baseline"/>
        </w:rPr>
        <w:t> </w:t>
      </w:r>
      <w:r>
        <w:rPr>
          <w:spacing w:val="-5"/>
          <w:vertAlign w:val="baseline"/>
        </w:rPr>
        <w:t>to</w:t>
      </w:r>
    </w:p>
    <w:p>
      <w:pPr>
        <w:pStyle w:val="BodyText"/>
        <w:spacing w:line="249" w:lineRule="auto" w:before="6"/>
        <w:ind w:right="101"/>
      </w:pPr>
      <w:r>
        <w:rPr/>
        <w:t>79.</w:t>
      </w:r>
      <w:r>
        <w:rPr>
          <w:spacing w:val="-2"/>
        </w:rPr>
        <w:t> </w:t>
      </w:r>
      <w:r>
        <w:rPr/>
        <w:t>The</w:t>
      </w:r>
      <w:r>
        <w:rPr>
          <w:spacing w:val="-1"/>
        </w:rPr>
        <w:t> </w:t>
      </w:r>
      <w:r>
        <w:rPr/>
        <w:t>treated</w:t>
      </w:r>
      <w:r>
        <w:rPr>
          <w:spacing w:val="-1"/>
        </w:rPr>
        <w:t> </w:t>
      </w:r>
      <w:r>
        <w:rPr/>
        <w:t>group</w:t>
      </w:r>
      <w:r>
        <w:rPr>
          <w:spacing w:val="-1"/>
        </w:rPr>
        <w:t> </w:t>
      </w:r>
      <w:r>
        <w:rPr/>
        <w:t>was</w:t>
      </w:r>
      <w:r>
        <w:rPr>
          <w:spacing w:val="-1"/>
        </w:rPr>
        <w:t> </w:t>
      </w:r>
      <w:r>
        <w:rPr/>
        <w:t>supplemented</w:t>
      </w:r>
      <w:r>
        <w:rPr>
          <w:spacing w:val="-1"/>
        </w:rPr>
        <w:t> </w:t>
      </w:r>
      <w:r>
        <w:rPr/>
        <w:t>with</w:t>
      </w:r>
      <w:r>
        <w:rPr>
          <w:spacing w:val="-1"/>
        </w:rPr>
        <w:t> </w:t>
      </w:r>
      <w:r>
        <w:rPr/>
        <w:t>1,000</w:t>
      </w:r>
      <w:r>
        <w:rPr>
          <w:spacing w:val="-1"/>
        </w:rPr>
        <w:t> </w:t>
      </w:r>
      <w:r>
        <w:rPr/>
        <w:t>mg</w:t>
      </w:r>
      <w:r>
        <w:rPr>
          <w:spacing w:val="-1"/>
        </w:rPr>
        <w:t> </w:t>
      </w:r>
      <w:r>
        <w:rPr/>
        <w:t>calcium</w:t>
      </w:r>
      <w:r>
        <w:rPr>
          <w:spacing w:val="-1"/>
        </w:rPr>
        <w:t> </w:t>
      </w:r>
      <w:r>
        <w:rPr/>
        <w:t>and</w:t>
      </w:r>
      <w:r>
        <w:rPr>
          <w:spacing w:val="-1"/>
        </w:rPr>
        <w:t> </w:t>
      </w:r>
      <w:r>
        <w:rPr/>
        <w:t>400</w:t>
      </w:r>
      <w:r>
        <w:rPr>
          <w:spacing w:val="-1"/>
        </w:rPr>
        <w:t> </w:t>
      </w:r>
      <w:r>
        <w:rPr/>
        <w:t>IU vitamin D daily. Overall analysis indicated no significant reduction </w:t>
      </w:r>
      <w:r>
        <w:rPr/>
        <w:t>in fractures</w:t>
      </w:r>
      <w:r>
        <w:rPr>
          <w:spacing w:val="73"/>
          <w:w w:val="150"/>
        </w:rPr>
        <w:t> </w:t>
      </w:r>
      <w:r>
        <w:rPr/>
        <w:t>with</w:t>
      </w:r>
      <w:r>
        <w:rPr>
          <w:spacing w:val="74"/>
          <w:w w:val="150"/>
        </w:rPr>
        <w:t> </w:t>
      </w:r>
      <w:r>
        <w:rPr/>
        <w:t>calcium/vitamin</w:t>
      </w:r>
      <w:r>
        <w:rPr>
          <w:spacing w:val="73"/>
          <w:w w:val="150"/>
        </w:rPr>
        <w:t> </w:t>
      </w:r>
      <w:r>
        <w:rPr/>
        <w:t>D</w:t>
      </w:r>
      <w:r>
        <w:rPr>
          <w:spacing w:val="74"/>
          <w:w w:val="150"/>
        </w:rPr>
        <w:t> </w:t>
      </w:r>
      <w:r>
        <w:rPr/>
        <w:t>treatment.</w:t>
      </w:r>
      <w:r>
        <w:rPr>
          <w:spacing w:val="72"/>
          <w:w w:val="150"/>
        </w:rPr>
        <w:t> </w:t>
      </w:r>
      <w:r>
        <w:rPr/>
        <w:t>The</w:t>
      </w:r>
      <w:r>
        <w:rPr>
          <w:spacing w:val="78"/>
          <w:w w:val="150"/>
        </w:rPr>
        <w:t> </w:t>
      </w:r>
      <w:r>
        <w:rPr/>
        <w:t>women</w:t>
      </w:r>
      <w:r>
        <w:rPr>
          <w:spacing w:val="77"/>
          <w:w w:val="150"/>
        </w:rPr>
        <w:t> </w:t>
      </w:r>
      <w:r>
        <w:rPr/>
        <w:t>treated</w:t>
      </w:r>
      <w:r>
        <w:rPr>
          <w:spacing w:val="78"/>
          <w:w w:val="150"/>
        </w:rPr>
        <w:t> </w:t>
      </w:r>
      <w:r>
        <w:rPr>
          <w:spacing w:val="-4"/>
        </w:rPr>
        <w:t>with</w:t>
      </w:r>
    </w:p>
    <w:p>
      <w:pPr>
        <w:pStyle w:val="BodyText"/>
        <w:spacing w:after="0" w:line="249" w:lineRule="auto"/>
        <w:sectPr>
          <w:pgSz w:w="12240" w:h="15840"/>
          <w:pgMar w:top="1380" w:bottom="280" w:left="1440" w:right="1440"/>
        </w:sectPr>
      </w:pPr>
    </w:p>
    <w:p>
      <w:pPr>
        <w:pStyle w:val="BodyText"/>
        <w:spacing w:line="249" w:lineRule="auto"/>
        <w:jc w:val="left"/>
      </w:pPr>
      <w:r>
        <w:rPr/>
        <w:t>calcium/vitamin</w:t>
      </w:r>
      <w:r>
        <w:rPr>
          <w:spacing w:val="40"/>
        </w:rPr>
        <w:t> </w:t>
      </w:r>
      <w:r>
        <w:rPr/>
        <w:t>D</w:t>
      </w:r>
      <w:r>
        <w:rPr>
          <w:spacing w:val="40"/>
        </w:rPr>
        <w:t> </w:t>
      </w:r>
      <w:r>
        <w:rPr/>
        <w:t>had</w:t>
      </w:r>
      <w:r>
        <w:rPr>
          <w:spacing w:val="40"/>
        </w:rPr>
        <w:t> </w:t>
      </w:r>
      <w:r>
        <w:rPr/>
        <w:t>a</w:t>
      </w:r>
      <w:r>
        <w:rPr>
          <w:spacing w:val="40"/>
        </w:rPr>
        <w:t> </w:t>
      </w:r>
      <w:r>
        <w:rPr/>
        <w:t>17%</w:t>
      </w:r>
      <w:r>
        <w:rPr>
          <w:spacing w:val="40"/>
        </w:rPr>
        <w:t> </w:t>
      </w:r>
      <w:r>
        <w:rPr/>
        <w:t>greater</w:t>
      </w:r>
      <w:r>
        <w:rPr>
          <w:spacing w:val="40"/>
        </w:rPr>
        <w:t> </w:t>
      </w:r>
      <w:r>
        <w:rPr/>
        <w:t>risk</w:t>
      </w:r>
      <w:r>
        <w:rPr>
          <w:spacing w:val="40"/>
        </w:rPr>
        <w:t> </w:t>
      </w:r>
      <w:r>
        <w:rPr/>
        <w:t>of</w:t>
      </w:r>
      <w:r>
        <w:rPr>
          <w:spacing w:val="40"/>
        </w:rPr>
        <w:t> </w:t>
      </w:r>
      <w:r>
        <w:rPr/>
        <w:t>kidney</w:t>
      </w:r>
      <w:r>
        <w:rPr>
          <w:spacing w:val="40"/>
        </w:rPr>
        <w:t> </w:t>
      </w:r>
      <w:r>
        <w:rPr/>
        <w:t>stones.</w:t>
      </w:r>
      <w:r>
        <w:rPr>
          <w:spacing w:val="40"/>
        </w:rPr>
        <w:t> </w:t>
      </w:r>
      <w:r>
        <w:rPr/>
        <w:t>However,</w:t>
      </w:r>
      <w:r>
        <w:rPr>
          <w:spacing w:val="40"/>
        </w:rPr>
        <w:t> </w:t>
      </w:r>
      <w:r>
        <w:rPr/>
        <w:t>a closer look reveals some good news:</w:t>
      </w:r>
    </w:p>
    <w:p>
      <w:pPr>
        <w:pStyle w:val="ListParagraph"/>
        <w:numPr>
          <w:ilvl w:val="0"/>
          <w:numId w:val="6"/>
        </w:numPr>
        <w:tabs>
          <w:tab w:pos="399" w:val="left" w:leader="none"/>
        </w:tabs>
        <w:spacing w:line="261" w:lineRule="auto" w:before="257" w:after="0"/>
        <w:ind w:left="399" w:right="102" w:hanging="280"/>
        <w:jc w:val="both"/>
        <w:rPr>
          <w:sz w:val="30"/>
        </w:rPr>
      </w:pPr>
      <w:r>
        <w:rPr>
          <w:sz w:val="30"/>
        </w:rPr>
        <w:t>Correcting for compliance by analyzing just those women who </w:t>
      </w:r>
      <w:r>
        <w:rPr>
          <w:sz w:val="30"/>
        </w:rPr>
        <w:t>continued their medication revealed a statistically significant 29% reduction in risk for hip fractures. Only 59% of the treated women at the end of the trial were taking the intended dose.</w:t>
      </w:r>
    </w:p>
    <w:p>
      <w:pPr>
        <w:pStyle w:val="ListParagraph"/>
        <w:numPr>
          <w:ilvl w:val="0"/>
          <w:numId w:val="6"/>
        </w:numPr>
        <w:tabs>
          <w:tab w:pos="399" w:val="left" w:leader="none"/>
        </w:tabs>
        <w:spacing w:line="280" w:lineRule="auto" w:before="26" w:after="0"/>
        <w:ind w:left="399" w:right="106" w:hanging="280"/>
        <w:jc w:val="both"/>
        <w:rPr>
          <w:sz w:val="30"/>
        </w:rPr>
      </w:pPr>
      <w:r>
        <w:rPr>
          <w:sz w:val="30"/>
        </w:rPr>
        <w:t>Women who were 60 years and older had a 21% significant reduction </w:t>
      </w:r>
      <w:r>
        <w:rPr>
          <w:sz w:val="30"/>
        </w:rPr>
        <w:t>in hip fractures.</w:t>
      </w:r>
    </w:p>
    <w:p>
      <w:pPr>
        <w:pStyle w:val="ListParagraph"/>
        <w:numPr>
          <w:ilvl w:val="0"/>
          <w:numId w:val="6"/>
        </w:numPr>
        <w:tabs>
          <w:tab w:pos="399" w:val="left" w:leader="none"/>
        </w:tabs>
        <w:spacing w:line="266" w:lineRule="auto" w:before="3" w:after="0"/>
        <w:ind w:left="399" w:right="107" w:hanging="280"/>
        <w:jc w:val="both"/>
        <w:rPr>
          <w:sz w:val="30"/>
        </w:rPr>
      </w:pPr>
      <w:r>
        <w:rPr>
          <w:sz w:val="30"/>
        </w:rPr>
        <w:t>The reduction in hip fractures was greatest (42%) in those women </w:t>
      </w:r>
      <w:r>
        <w:rPr>
          <w:sz w:val="30"/>
        </w:rPr>
        <w:t>who combined calcium/vitamin D supplementation with postmenopausal hormone therapy.</w:t>
      </w:r>
    </w:p>
    <w:p>
      <w:pPr>
        <w:pStyle w:val="BodyText"/>
        <w:spacing w:line="249" w:lineRule="auto" w:before="186"/>
        <w:ind w:right="97" w:firstLine="450"/>
      </w:pPr>
      <w:r>
        <w:rPr/>
        <w:t>The population at greatest risk for fractures (the oldest women in the WHI study) actually benefited, and the study confirmed something </w:t>
      </w:r>
      <w:r>
        <w:rPr/>
        <w:t>already known: that hormone therapy combined with calcium/vitamin D supplementation achieves the best results. Keep in mind that the women in this study were not at high risk for fractures. Indeed, whole-body and spinal bone density increased in the placebo group. This is hard to explain; the average postmenopausal untreated woman loses spinal bone density. In this study, only hip bone density demonstrated a loss, and thus, it is not surprising that significant benefits were demonstrated only with hip fractures. The fact that most of these women were overweight probably contributed to the protection against bone loss in the spine. In a population of women losing bone density in both the hip and spine, and in women with other risk factors for fractures, calcium/vitamin D supplementation should yield even better results than those reported by the WHI, including a reduction in spinal and arm fractures. Degenerative joint disease and the resulting osteophytes can convey false reassurance of improved bone density on radiologic imaging including DXA, and this may have contributed to the improved spine bone density observed in the WHI placebo group.</w:t>
      </w:r>
    </w:p>
    <w:p>
      <w:pPr>
        <w:pStyle w:val="BodyText"/>
        <w:spacing w:line="249" w:lineRule="auto" w:before="23"/>
        <w:ind w:right="98" w:firstLine="450"/>
      </w:pPr>
      <w:r>
        <w:rPr/>
        <w:t>What about the kidney stones? The women in the WHI trial </w:t>
      </w:r>
      <w:r>
        <w:rPr/>
        <w:t>were allowed to continue their own programs of supplementation. Thus, many took calcium and multivitamins (which contain 400 IU vitamin D). The average</w:t>
      </w:r>
      <w:r>
        <w:rPr>
          <w:spacing w:val="46"/>
        </w:rPr>
        <w:t> </w:t>
      </w:r>
      <w:r>
        <w:rPr/>
        <w:t>daily</w:t>
      </w:r>
      <w:r>
        <w:rPr>
          <w:spacing w:val="46"/>
        </w:rPr>
        <w:t> </w:t>
      </w:r>
      <w:r>
        <w:rPr/>
        <w:t>calcium</w:t>
      </w:r>
      <w:r>
        <w:rPr>
          <w:spacing w:val="46"/>
        </w:rPr>
        <w:t> </w:t>
      </w:r>
      <w:r>
        <w:rPr/>
        <w:t>intake</w:t>
      </w:r>
      <w:r>
        <w:rPr>
          <w:spacing w:val="46"/>
        </w:rPr>
        <w:t> </w:t>
      </w:r>
      <w:r>
        <w:rPr/>
        <w:t>of</w:t>
      </w:r>
      <w:r>
        <w:rPr>
          <w:spacing w:val="46"/>
        </w:rPr>
        <w:t> </w:t>
      </w:r>
      <w:r>
        <w:rPr/>
        <w:t>the</w:t>
      </w:r>
      <w:r>
        <w:rPr>
          <w:spacing w:val="46"/>
        </w:rPr>
        <w:t> </w:t>
      </w:r>
      <w:r>
        <w:rPr/>
        <w:t>study</w:t>
      </w:r>
      <w:r>
        <w:rPr>
          <w:spacing w:val="46"/>
        </w:rPr>
        <w:t> </w:t>
      </w:r>
      <w:r>
        <w:rPr/>
        <w:t>population</w:t>
      </w:r>
      <w:r>
        <w:rPr>
          <w:spacing w:val="46"/>
        </w:rPr>
        <w:t> </w:t>
      </w:r>
      <w:r>
        <w:rPr/>
        <w:t>was</w:t>
      </w:r>
      <w:r>
        <w:rPr>
          <w:spacing w:val="46"/>
        </w:rPr>
        <w:t> </w:t>
      </w:r>
      <w:r>
        <w:rPr/>
        <w:t>1,100</w:t>
      </w:r>
      <w:r>
        <w:rPr>
          <w:spacing w:val="46"/>
        </w:rPr>
        <w:t> </w:t>
      </w:r>
      <w:r>
        <w:rPr/>
        <w:t>to</w:t>
      </w:r>
      <w:r>
        <w:rPr>
          <w:spacing w:val="46"/>
        </w:rPr>
        <w:t> </w:t>
      </w:r>
      <w:r>
        <w:rPr>
          <w:spacing w:val="-2"/>
        </w:rPr>
        <w:t>1,200</w:t>
      </w:r>
    </w:p>
    <w:p>
      <w:pPr>
        <w:pStyle w:val="BodyText"/>
        <w:spacing w:after="0" w:line="249" w:lineRule="auto"/>
        <w:sectPr>
          <w:pgSz w:w="12240" w:h="15840"/>
          <w:pgMar w:top="1380" w:bottom="280" w:left="1440" w:right="1440"/>
        </w:sectPr>
      </w:pPr>
    </w:p>
    <w:p>
      <w:pPr>
        <w:pStyle w:val="BodyText"/>
        <w:spacing w:line="249" w:lineRule="auto"/>
        <w:ind w:right="97"/>
      </w:pPr>
      <w:r>
        <w:rPr/>
        <w:t>mg, 2-fold higher than the average American woman. The WHI does </w:t>
      </w:r>
      <w:r>
        <w:rPr/>
        <w:t>not provide</w:t>
      </w:r>
      <w:r>
        <w:rPr>
          <w:spacing w:val="-2"/>
        </w:rPr>
        <w:t> </w:t>
      </w:r>
      <w:r>
        <w:rPr/>
        <w:t>data</w:t>
      </w:r>
      <w:r>
        <w:rPr>
          <w:spacing w:val="-2"/>
        </w:rPr>
        <w:t> </w:t>
      </w:r>
      <w:r>
        <w:rPr/>
        <w:t>to</w:t>
      </w:r>
      <w:r>
        <w:rPr>
          <w:spacing w:val="-2"/>
        </w:rPr>
        <w:t> </w:t>
      </w:r>
      <w:r>
        <w:rPr/>
        <w:t>answer</w:t>
      </w:r>
      <w:r>
        <w:rPr>
          <w:spacing w:val="-2"/>
        </w:rPr>
        <w:t> </w:t>
      </w:r>
      <w:r>
        <w:rPr/>
        <w:t>this</w:t>
      </w:r>
      <w:r>
        <w:rPr>
          <w:spacing w:val="-2"/>
        </w:rPr>
        <w:t> </w:t>
      </w:r>
      <w:r>
        <w:rPr/>
        <w:t>most</w:t>
      </w:r>
      <w:r>
        <w:rPr>
          <w:spacing w:val="-2"/>
        </w:rPr>
        <w:t> </w:t>
      </w:r>
      <w:r>
        <w:rPr/>
        <w:t>important</w:t>
      </w:r>
      <w:r>
        <w:rPr>
          <w:spacing w:val="-2"/>
        </w:rPr>
        <w:t> </w:t>
      </w:r>
      <w:r>
        <w:rPr/>
        <w:t>question:</w:t>
      </w:r>
      <w:r>
        <w:rPr>
          <w:spacing w:val="-2"/>
        </w:rPr>
        <w:t> </w:t>
      </w:r>
      <w:r>
        <w:rPr/>
        <w:t>Was</w:t>
      </w:r>
      <w:r>
        <w:rPr>
          <w:spacing w:val="-2"/>
        </w:rPr>
        <w:t> </w:t>
      </w:r>
      <w:r>
        <w:rPr/>
        <w:t>the</w:t>
      </w:r>
      <w:r>
        <w:rPr>
          <w:spacing w:val="-2"/>
        </w:rPr>
        <w:t> </w:t>
      </w:r>
      <w:r>
        <w:rPr/>
        <w:t>small</w:t>
      </w:r>
      <w:r>
        <w:rPr>
          <w:spacing w:val="-2"/>
        </w:rPr>
        <w:t> </w:t>
      </w:r>
      <w:r>
        <w:rPr/>
        <w:t>increase in kidney stones observed in women taking excessive amounts of calcium and vitamin D?</w:t>
      </w:r>
    </w:p>
    <w:p>
      <w:pPr>
        <w:pStyle w:val="BodyText"/>
        <w:spacing w:line="249" w:lineRule="auto" w:before="5"/>
        <w:ind w:right="97" w:firstLine="450"/>
      </w:pPr>
      <w:r>
        <w:rPr/>
        <w:t>The WHI has published multiple findings from the calcium/vitamin D randomized trial. The conclusions are uniformly negative, summarized </w:t>
      </w:r>
      <w:r>
        <w:rPr/>
        <w:t>as </w:t>
      </w:r>
      <w:r>
        <w:rPr>
          <w:spacing w:val="-2"/>
        </w:rPr>
        <w:t>follows:</w:t>
      </w:r>
    </w:p>
    <w:p>
      <w:pPr>
        <w:pStyle w:val="ListParagraph"/>
        <w:numPr>
          <w:ilvl w:val="0"/>
          <w:numId w:val="6"/>
        </w:numPr>
        <w:tabs>
          <w:tab w:pos="399" w:val="left" w:leader="none"/>
        </w:tabs>
        <w:spacing w:line="266" w:lineRule="auto" w:before="258" w:after="0"/>
        <w:ind w:left="399" w:right="110" w:hanging="280"/>
        <w:jc w:val="both"/>
        <w:rPr>
          <w:sz w:val="30"/>
        </w:rPr>
      </w:pPr>
      <w:r>
        <w:rPr>
          <w:sz w:val="30"/>
        </w:rPr>
        <w:t>The incidence of invasive breast cancer was similar in the treated </w:t>
      </w:r>
      <w:r>
        <w:rPr>
          <w:sz w:val="30"/>
        </w:rPr>
        <w:t>and placebo groups. The risk of breast cancer was not associated with baseline 25-hydroxyvitamin D levels.</w:t>
      </w:r>
      <w:r>
        <w:rPr>
          <w:sz w:val="30"/>
          <w:vertAlign w:val="superscript"/>
        </w:rPr>
        <w:t>210</w:t>
      </w:r>
    </w:p>
    <w:p>
      <w:pPr>
        <w:pStyle w:val="ListParagraph"/>
        <w:numPr>
          <w:ilvl w:val="0"/>
          <w:numId w:val="6"/>
        </w:numPr>
        <w:tabs>
          <w:tab w:pos="399" w:val="left" w:leader="none"/>
        </w:tabs>
        <w:spacing w:line="280" w:lineRule="auto" w:before="22" w:after="0"/>
        <w:ind w:left="399" w:right="103" w:hanging="280"/>
        <w:jc w:val="both"/>
        <w:rPr>
          <w:sz w:val="30"/>
        </w:rPr>
      </w:pPr>
      <w:r>
        <w:rPr>
          <w:sz w:val="30"/>
        </w:rPr>
        <w:t>Calcium and vitamin D supplementation did not protect against a </w:t>
      </w:r>
      <w:r>
        <w:rPr>
          <w:sz w:val="30"/>
        </w:rPr>
        <w:t>decline in physical functioning or performance.</w:t>
      </w:r>
      <w:r>
        <w:rPr>
          <w:sz w:val="30"/>
          <w:vertAlign w:val="superscript"/>
        </w:rPr>
        <w:t>211</w:t>
      </w:r>
    </w:p>
    <w:p>
      <w:pPr>
        <w:pStyle w:val="ListParagraph"/>
        <w:numPr>
          <w:ilvl w:val="0"/>
          <w:numId w:val="6"/>
        </w:numPr>
        <w:tabs>
          <w:tab w:pos="399" w:val="left" w:leader="none"/>
        </w:tabs>
        <w:spacing w:line="280" w:lineRule="auto" w:before="2" w:after="0"/>
        <w:ind w:left="399" w:right="109" w:hanging="280"/>
        <w:jc w:val="both"/>
        <w:rPr>
          <w:sz w:val="30"/>
        </w:rPr>
      </w:pPr>
      <w:r>
        <w:rPr>
          <w:sz w:val="30"/>
        </w:rPr>
        <w:t>The incidence of newly diagnosed diabetes was the same in the treated and placebo groups.</w:t>
      </w:r>
      <w:r>
        <w:rPr>
          <w:sz w:val="30"/>
          <w:vertAlign w:val="superscript"/>
        </w:rPr>
        <w:t>212</w:t>
      </w:r>
    </w:p>
    <w:p>
      <w:pPr>
        <w:pStyle w:val="ListParagraph"/>
        <w:numPr>
          <w:ilvl w:val="0"/>
          <w:numId w:val="6"/>
        </w:numPr>
        <w:tabs>
          <w:tab w:pos="399" w:val="left" w:leader="none"/>
        </w:tabs>
        <w:spacing w:line="280" w:lineRule="auto" w:before="3" w:after="0"/>
        <w:ind w:left="399" w:right="101" w:hanging="280"/>
        <w:jc w:val="both"/>
        <w:rPr>
          <w:sz w:val="30"/>
        </w:rPr>
      </w:pPr>
      <w:r>
        <w:rPr>
          <w:sz w:val="30"/>
        </w:rPr>
        <w:t>Myocardial infarction and stroke events were similar in the treated </w:t>
      </w:r>
      <w:r>
        <w:rPr>
          <w:sz w:val="30"/>
        </w:rPr>
        <w:t>and placebo groups.</w:t>
      </w:r>
      <w:r>
        <w:rPr>
          <w:sz w:val="30"/>
          <w:vertAlign w:val="superscript"/>
        </w:rPr>
        <w:t>213</w:t>
      </w:r>
    </w:p>
    <w:p>
      <w:pPr>
        <w:pStyle w:val="ListParagraph"/>
        <w:numPr>
          <w:ilvl w:val="0"/>
          <w:numId w:val="6"/>
        </w:numPr>
        <w:tabs>
          <w:tab w:pos="399" w:val="left" w:leader="none"/>
        </w:tabs>
        <w:spacing w:line="280" w:lineRule="auto" w:before="3" w:after="0"/>
        <w:ind w:left="399" w:right="99" w:hanging="280"/>
        <w:jc w:val="both"/>
        <w:rPr>
          <w:sz w:val="30"/>
        </w:rPr>
      </w:pPr>
      <w:r>
        <w:rPr>
          <w:sz w:val="30"/>
        </w:rPr>
        <w:t>Calcium and vitamin D supplementation had no effect on blood </w:t>
      </w:r>
      <w:r>
        <w:rPr>
          <w:sz w:val="30"/>
        </w:rPr>
        <w:t>pressure or the risk of developing hypertension.</w:t>
      </w:r>
      <w:r>
        <w:rPr>
          <w:sz w:val="30"/>
          <w:vertAlign w:val="superscript"/>
        </w:rPr>
        <w:t>214</w:t>
      </w:r>
    </w:p>
    <w:p>
      <w:pPr>
        <w:pStyle w:val="BodyText"/>
        <w:spacing w:line="249" w:lineRule="auto" w:before="168"/>
        <w:ind w:right="99" w:firstLine="450"/>
      </w:pPr>
      <w:r>
        <w:rPr/>
        <w:t>The WHI also reported the effects on overall mortality in </w:t>
      </w:r>
      <w:r>
        <w:rPr/>
        <w:t>their randomized trial of calcium and vitamin D supplementation.</w:t>
      </w:r>
      <w:r>
        <w:rPr>
          <w:vertAlign w:val="superscript"/>
        </w:rPr>
        <w:t>215</w:t>
      </w:r>
      <w:r>
        <w:rPr>
          <w:vertAlign w:val="baseline"/>
        </w:rPr>
        <w:t> After an average follow-up of 7 years, there was no impact on total mortality (744 deaths in treated women and 807 deaths in the placebo group). There was a nonsignificant reduction (about 10%) in risks for stroke and cancer mortality. Comparing the women older than age 70 to those younger than age 70, there was a lower risk for mortality in the younger group, but this did not achieve statistical significance. When analysis was restricted to those participants who were adherent to therapy, the results for overall mortality and for the younger women were essentially unchanged.</w:t>
      </w:r>
      <w:r>
        <w:rPr>
          <w:spacing w:val="40"/>
          <w:vertAlign w:val="baseline"/>
        </w:rPr>
        <w:t> </w:t>
      </w:r>
      <w:r>
        <w:rPr>
          <w:vertAlign w:val="baseline"/>
        </w:rPr>
        <w:t>However, a nested case-control study assessed the results according to serum 25-hydroxyvitamin D levels at baseline; the results indicated that women with the lowest levels had a higher risk for death. The WHI investigators concluded that their results weakly support the hypothesis that calcium</w:t>
      </w:r>
      <w:r>
        <w:rPr>
          <w:spacing w:val="63"/>
          <w:w w:val="150"/>
          <w:vertAlign w:val="baseline"/>
        </w:rPr>
        <w:t> </w:t>
      </w:r>
      <w:r>
        <w:rPr>
          <w:vertAlign w:val="baseline"/>
        </w:rPr>
        <w:t>and</w:t>
      </w:r>
      <w:r>
        <w:rPr>
          <w:spacing w:val="66"/>
          <w:w w:val="150"/>
          <w:vertAlign w:val="baseline"/>
        </w:rPr>
        <w:t> </w:t>
      </w:r>
      <w:r>
        <w:rPr>
          <w:vertAlign w:val="baseline"/>
        </w:rPr>
        <w:t>vitamin</w:t>
      </w:r>
      <w:r>
        <w:rPr>
          <w:spacing w:val="65"/>
          <w:w w:val="150"/>
          <w:vertAlign w:val="baseline"/>
        </w:rPr>
        <w:t> </w:t>
      </w:r>
      <w:r>
        <w:rPr>
          <w:vertAlign w:val="baseline"/>
        </w:rPr>
        <w:t>D</w:t>
      </w:r>
      <w:r>
        <w:rPr>
          <w:spacing w:val="66"/>
          <w:w w:val="150"/>
          <w:vertAlign w:val="baseline"/>
        </w:rPr>
        <w:t> </w:t>
      </w:r>
      <w:r>
        <w:rPr>
          <w:vertAlign w:val="baseline"/>
        </w:rPr>
        <w:t>supplementation</w:t>
      </w:r>
      <w:r>
        <w:rPr>
          <w:spacing w:val="65"/>
          <w:w w:val="150"/>
          <w:vertAlign w:val="baseline"/>
        </w:rPr>
        <w:t> </w:t>
      </w:r>
      <w:r>
        <w:rPr>
          <w:vertAlign w:val="baseline"/>
        </w:rPr>
        <w:t>modestly</w:t>
      </w:r>
      <w:r>
        <w:rPr>
          <w:spacing w:val="66"/>
          <w:w w:val="150"/>
          <w:vertAlign w:val="baseline"/>
        </w:rPr>
        <w:t> </w:t>
      </w:r>
      <w:r>
        <w:rPr>
          <w:vertAlign w:val="baseline"/>
        </w:rPr>
        <w:t>reduces</w:t>
      </w:r>
      <w:r>
        <w:rPr>
          <w:spacing w:val="65"/>
          <w:w w:val="150"/>
          <w:vertAlign w:val="baseline"/>
        </w:rPr>
        <w:t> </w:t>
      </w:r>
      <w:r>
        <w:rPr>
          <w:vertAlign w:val="baseline"/>
        </w:rPr>
        <w:t>cancer</w:t>
      </w:r>
      <w:r>
        <w:rPr>
          <w:spacing w:val="66"/>
          <w:w w:val="150"/>
          <w:vertAlign w:val="baseline"/>
        </w:rPr>
        <w:t> </w:t>
      </w:r>
      <w:r>
        <w:rPr>
          <w:spacing w:val="-5"/>
          <w:vertAlign w:val="baseline"/>
        </w:rPr>
        <w:t>and</w:t>
      </w:r>
    </w:p>
    <w:p>
      <w:pPr>
        <w:pStyle w:val="BodyText"/>
        <w:spacing w:after="0" w:line="249" w:lineRule="auto"/>
        <w:sectPr>
          <w:pgSz w:w="12240" w:h="15840"/>
          <w:pgMar w:top="1380" w:bottom="280" w:left="1440" w:right="1440"/>
        </w:sectPr>
      </w:pPr>
    </w:p>
    <w:p>
      <w:pPr>
        <w:pStyle w:val="BodyText"/>
        <w:spacing w:line="249" w:lineRule="auto"/>
        <w:ind w:right="102"/>
      </w:pPr>
      <w:r>
        <w:rPr/>
        <w:t>cardiovascular mortality. Overall, the results indicated no major benefit </w:t>
      </w:r>
      <w:r>
        <w:rPr/>
        <w:t>of calcium and vitamin D supplementation on the risk of death due to cancer</w:t>
      </w:r>
      <w:r>
        <w:rPr>
          <w:spacing w:val="40"/>
        </w:rPr>
        <w:t> </w:t>
      </w:r>
      <w:r>
        <w:rPr/>
        <w:t>or cardiovascular disease.</w:t>
      </w:r>
    </w:p>
    <w:p>
      <w:pPr>
        <w:pStyle w:val="BodyText"/>
        <w:spacing w:line="249" w:lineRule="auto" w:before="3"/>
        <w:ind w:right="100" w:firstLine="450"/>
      </w:pPr>
      <w:r>
        <w:rPr/>
        <w:t>Smaller trials and observational studies of vitamin D supplementation have demonstrated reductions in total mortality, reductions in </w:t>
      </w:r>
      <w:r>
        <w:rPr/>
        <w:t>blood pressure and cholesterol levels, and reduced risks of stroke and coronary heart disease (CHD). Vitamin D insufficiency has been linked to a wide spectrum of problems, including an increase in autoimmune diseases such as rheumatoid arthritis, upper respiratory tract infections, diabetes mellitus, multiple sclerosis, cancer, and cardiovascular disease. Low levels of serum 25-hydroxyvitamin D have been reported to be associated with higher all-cause mortality, greater prevalence of breast cancer, peripheral arterial disease, and higher cardiovascular mortality.</w:t>
      </w:r>
      <w:r>
        <w:rPr>
          <w:vertAlign w:val="superscript"/>
        </w:rPr>
        <w:t>216-220</w:t>
      </w:r>
      <w:r>
        <w:rPr>
          <w:vertAlign w:val="baseline"/>
        </w:rPr>
        <w:t> It is proposed that many tissues produce locally the active 1,25-dihydroxyvitamin D that exerts beneficial effects on cell regulation and differentiation before being inactivated</w:t>
      </w:r>
      <w:r>
        <w:rPr>
          <w:spacing w:val="-2"/>
          <w:vertAlign w:val="baseline"/>
        </w:rPr>
        <w:t> </w:t>
      </w:r>
      <w:r>
        <w:rPr>
          <w:vertAlign w:val="baseline"/>
        </w:rPr>
        <w:t>within</w:t>
      </w:r>
      <w:r>
        <w:rPr>
          <w:spacing w:val="-2"/>
          <w:vertAlign w:val="baseline"/>
        </w:rPr>
        <w:t> </w:t>
      </w:r>
      <w:r>
        <w:rPr>
          <w:vertAlign w:val="baseline"/>
        </w:rPr>
        <w:t>cells</w:t>
      </w:r>
      <w:r>
        <w:rPr>
          <w:spacing w:val="-2"/>
          <w:vertAlign w:val="baseline"/>
        </w:rPr>
        <w:t> </w:t>
      </w:r>
      <w:r>
        <w:rPr>
          <w:vertAlign w:val="baseline"/>
        </w:rPr>
        <w:t>without</w:t>
      </w:r>
      <w:r>
        <w:rPr>
          <w:spacing w:val="-2"/>
          <w:vertAlign w:val="baseline"/>
        </w:rPr>
        <w:t> </w:t>
      </w:r>
      <w:r>
        <w:rPr>
          <w:vertAlign w:val="baseline"/>
        </w:rPr>
        <w:t>reaching</w:t>
      </w:r>
      <w:r>
        <w:rPr>
          <w:spacing w:val="-2"/>
          <w:vertAlign w:val="baseline"/>
        </w:rPr>
        <w:t> </w:t>
      </w:r>
      <w:r>
        <w:rPr>
          <w:vertAlign w:val="baseline"/>
        </w:rPr>
        <w:t>the</w:t>
      </w:r>
      <w:r>
        <w:rPr>
          <w:spacing w:val="-2"/>
          <w:vertAlign w:val="baseline"/>
        </w:rPr>
        <w:t> </w:t>
      </w:r>
      <w:r>
        <w:rPr>
          <w:vertAlign w:val="baseline"/>
        </w:rPr>
        <w:t>circulation</w:t>
      </w:r>
      <w:r>
        <w:rPr>
          <w:spacing w:val="-2"/>
          <w:vertAlign w:val="baseline"/>
        </w:rPr>
        <w:t> </w:t>
      </w:r>
      <w:r>
        <w:rPr>
          <w:vertAlign w:val="baseline"/>
        </w:rPr>
        <w:t>and</w:t>
      </w:r>
      <w:r>
        <w:rPr>
          <w:spacing w:val="-2"/>
          <w:vertAlign w:val="baseline"/>
        </w:rPr>
        <w:t> </w:t>
      </w:r>
      <w:r>
        <w:rPr>
          <w:vertAlign w:val="baseline"/>
        </w:rPr>
        <w:t>interfering</w:t>
      </w:r>
      <w:r>
        <w:rPr>
          <w:spacing w:val="-2"/>
          <w:vertAlign w:val="baseline"/>
        </w:rPr>
        <w:t> </w:t>
      </w:r>
      <w:r>
        <w:rPr>
          <w:vertAlign w:val="baseline"/>
        </w:rPr>
        <w:t>with calcium metabolism.</w:t>
      </w:r>
      <w:r>
        <w:rPr>
          <w:vertAlign w:val="superscript"/>
        </w:rPr>
        <w:t>199</w:t>
      </w:r>
    </w:p>
    <w:p>
      <w:pPr>
        <w:pStyle w:val="BodyText"/>
        <w:spacing w:line="249" w:lineRule="auto" w:before="18"/>
        <w:ind w:right="99" w:firstLine="450"/>
      </w:pPr>
      <w:r>
        <w:rPr/>
        <w:t>What could explain the lack of strong agreement between the WHI results and the rest of the literature? The answer can be found in </w:t>
      </w:r>
      <w:r>
        <w:rPr/>
        <w:t>the characteristics of the women in the WHI and the doses of calcium and vitamin D used for supplementation. The women in the WHI were not at high risk for fractures, and most of the women were overweight. Only one-third of the participants had a low calcium intake at entry to the study, and 29%</w:t>
      </w:r>
      <w:r>
        <w:rPr>
          <w:spacing w:val="-4"/>
        </w:rPr>
        <w:t> </w:t>
      </w:r>
      <w:r>
        <w:rPr/>
        <w:t>were</w:t>
      </w:r>
      <w:r>
        <w:rPr>
          <w:spacing w:val="-4"/>
        </w:rPr>
        <w:t> </w:t>
      </w:r>
      <w:r>
        <w:rPr/>
        <w:t>already</w:t>
      </w:r>
      <w:r>
        <w:rPr>
          <w:spacing w:val="-4"/>
        </w:rPr>
        <w:t> </w:t>
      </w:r>
      <w:r>
        <w:rPr/>
        <w:t>taking</w:t>
      </w:r>
      <w:r>
        <w:rPr>
          <w:spacing w:val="-4"/>
        </w:rPr>
        <w:t> </w:t>
      </w:r>
      <w:r>
        <w:rPr/>
        <w:t>calcium</w:t>
      </w:r>
      <w:r>
        <w:rPr>
          <w:spacing w:val="-4"/>
        </w:rPr>
        <w:t> </w:t>
      </w:r>
      <w:r>
        <w:rPr/>
        <w:t>supplementation.</w:t>
      </w:r>
      <w:r>
        <w:rPr>
          <w:spacing w:val="-5"/>
        </w:rPr>
        <w:t> </w:t>
      </w:r>
      <w:r>
        <w:rPr/>
        <w:t>As</w:t>
      </w:r>
      <w:r>
        <w:rPr>
          <w:spacing w:val="-4"/>
        </w:rPr>
        <w:t> </w:t>
      </w:r>
      <w:r>
        <w:rPr/>
        <w:t>previously</w:t>
      </w:r>
      <w:r>
        <w:rPr>
          <w:spacing w:val="-4"/>
        </w:rPr>
        <w:t> </w:t>
      </w:r>
      <w:r>
        <w:rPr/>
        <w:t>noted,</w:t>
      </w:r>
      <w:r>
        <w:rPr>
          <w:spacing w:val="-4"/>
        </w:rPr>
        <w:t> </w:t>
      </w:r>
      <w:r>
        <w:rPr/>
        <w:t>the average daily calcium intake of the study population was 1,100 to 1,200</w:t>
      </w:r>
      <w:r>
        <w:rPr>
          <w:spacing w:val="40"/>
        </w:rPr>
        <w:t> </w:t>
      </w:r>
      <w:r>
        <w:rPr/>
        <w:t>mg, 2-fold higher than the average American woman.</w:t>
      </w:r>
      <w:r>
        <w:rPr>
          <w:vertAlign w:val="superscript"/>
        </w:rPr>
        <w:t>209</w:t>
      </w:r>
      <w:r>
        <w:rPr>
          <w:vertAlign w:val="baseline"/>
        </w:rPr>
        <w:t> Low serum levels of 25-hydroxyvitamin D were found in only 25% of the women in whom it was measured.</w:t>
      </w:r>
    </w:p>
    <w:p>
      <w:pPr>
        <w:spacing w:line="249" w:lineRule="auto" w:before="13"/>
        <w:ind w:left="99" w:right="98" w:firstLine="450"/>
        <w:jc w:val="both"/>
        <w:rPr>
          <w:b/>
          <w:sz w:val="30"/>
        </w:rPr>
      </w:pPr>
      <w:r>
        <w:rPr>
          <w:sz w:val="30"/>
        </w:rPr>
        <w:t>The negative publicity associated with the WHI publications </w:t>
      </w:r>
      <w:r>
        <w:rPr>
          <w:sz w:val="30"/>
        </w:rPr>
        <w:t>has obscured</w:t>
      </w:r>
      <w:r>
        <w:rPr>
          <w:spacing w:val="-3"/>
          <w:sz w:val="30"/>
        </w:rPr>
        <w:t> </w:t>
      </w:r>
      <w:r>
        <w:rPr>
          <w:sz w:val="30"/>
        </w:rPr>
        <w:t>the</w:t>
      </w:r>
      <w:r>
        <w:rPr>
          <w:spacing w:val="-3"/>
          <w:sz w:val="30"/>
        </w:rPr>
        <w:t> </w:t>
      </w:r>
      <w:r>
        <w:rPr>
          <w:sz w:val="30"/>
        </w:rPr>
        <w:t>importance</w:t>
      </w:r>
      <w:r>
        <w:rPr>
          <w:spacing w:val="-3"/>
          <w:sz w:val="30"/>
        </w:rPr>
        <w:t> </w:t>
      </w:r>
      <w:r>
        <w:rPr>
          <w:sz w:val="30"/>
        </w:rPr>
        <w:t>of</w:t>
      </w:r>
      <w:r>
        <w:rPr>
          <w:spacing w:val="-3"/>
          <w:sz w:val="30"/>
        </w:rPr>
        <w:t> </w:t>
      </w:r>
      <w:r>
        <w:rPr>
          <w:sz w:val="30"/>
        </w:rPr>
        <w:t>fracture</w:t>
      </w:r>
      <w:r>
        <w:rPr>
          <w:spacing w:val="-3"/>
          <w:sz w:val="30"/>
        </w:rPr>
        <w:t> </w:t>
      </w:r>
      <w:r>
        <w:rPr>
          <w:sz w:val="30"/>
        </w:rPr>
        <w:t>risk</w:t>
      </w:r>
      <w:r>
        <w:rPr>
          <w:spacing w:val="-3"/>
          <w:sz w:val="30"/>
        </w:rPr>
        <w:t> </w:t>
      </w:r>
      <w:r>
        <w:rPr>
          <w:sz w:val="30"/>
        </w:rPr>
        <w:t>in</w:t>
      </w:r>
      <w:r>
        <w:rPr>
          <w:spacing w:val="-3"/>
          <w:sz w:val="30"/>
        </w:rPr>
        <w:t> </w:t>
      </w:r>
      <w:r>
        <w:rPr>
          <w:sz w:val="30"/>
        </w:rPr>
        <w:t>women.</w:t>
      </w:r>
      <w:r>
        <w:rPr>
          <w:spacing w:val="-4"/>
          <w:sz w:val="30"/>
        </w:rPr>
        <w:t> </w:t>
      </w:r>
      <w:r>
        <w:rPr>
          <w:sz w:val="30"/>
        </w:rPr>
        <w:t>In</w:t>
      </w:r>
      <w:r>
        <w:rPr>
          <w:spacing w:val="-3"/>
          <w:sz w:val="30"/>
        </w:rPr>
        <w:t> </w:t>
      </w:r>
      <w:r>
        <w:rPr>
          <w:sz w:val="30"/>
        </w:rPr>
        <w:t>the</w:t>
      </w:r>
      <w:r>
        <w:rPr>
          <w:spacing w:val="-3"/>
          <w:sz w:val="30"/>
        </w:rPr>
        <w:t> </w:t>
      </w:r>
      <w:r>
        <w:rPr>
          <w:sz w:val="30"/>
        </w:rPr>
        <w:t>observational</w:t>
      </w:r>
      <w:r>
        <w:rPr>
          <w:spacing w:val="-3"/>
          <w:sz w:val="30"/>
        </w:rPr>
        <w:t> </w:t>
      </w:r>
      <w:r>
        <w:rPr>
          <w:sz w:val="30"/>
        </w:rPr>
        <w:t>arm of the WHI, the risk of fracture was compared to the risks of cardiovascular events and breast cancer in a prospective cohort of 83,724 women, aged 70 to 79.</w:t>
      </w:r>
      <w:r>
        <w:rPr>
          <w:sz w:val="30"/>
          <w:vertAlign w:val="superscript"/>
        </w:rPr>
        <w:t>221</w:t>
      </w:r>
      <w:r>
        <w:rPr>
          <w:sz w:val="30"/>
          <w:vertAlign w:val="baseline"/>
        </w:rPr>
        <w:t> </w:t>
      </w:r>
      <w:r>
        <w:rPr>
          <w:b/>
          <w:sz w:val="30"/>
          <w:vertAlign w:val="baseline"/>
        </w:rPr>
        <w:t>The recorded events indicated that the number of women who experienced a fracture in 1 year’s time exceeded the combined number of</w:t>
      </w:r>
      <w:r>
        <w:rPr>
          <w:b/>
          <w:spacing w:val="-6"/>
          <w:sz w:val="30"/>
          <w:vertAlign w:val="baseline"/>
        </w:rPr>
        <w:t> </w:t>
      </w:r>
      <w:r>
        <w:rPr>
          <w:b/>
          <w:sz w:val="30"/>
          <w:vertAlign w:val="baseline"/>
        </w:rPr>
        <w:t>women</w:t>
      </w:r>
      <w:r>
        <w:rPr>
          <w:b/>
          <w:spacing w:val="-6"/>
          <w:sz w:val="30"/>
          <w:vertAlign w:val="baseline"/>
        </w:rPr>
        <w:t> </w:t>
      </w:r>
      <w:r>
        <w:rPr>
          <w:b/>
          <w:sz w:val="30"/>
          <w:vertAlign w:val="baseline"/>
        </w:rPr>
        <w:t>experiencing</w:t>
      </w:r>
      <w:r>
        <w:rPr>
          <w:b/>
          <w:spacing w:val="-6"/>
          <w:sz w:val="30"/>
          <w:vertAlign w:val="baseline"/>
        </w:rPr>
        <w:t> </w:t>
      </w:r>
      <w:r>
        <w:rPr>
          <w:b/>
          <w:sz w:val="30"/>
          <w:vertAlign w:val="baseline"/>
        </w:rPr>
        <w:t>invasive</w:t>
      </w:r>
      <w:r>
        <w:rPr>
          <w:b/>
          <w:spacing w:val="-6"/>
          <w:sz w:val="30"/>
          <w:vertAlign w:val="baseline"/>
        </w:rPr>
        <w:t> </w:t>
      </w:r>
      <w:r>
        <w:rPr>
          <w:b/>
          <w:sz w:val="30"/>
          <w:vertAlign w:val="baseline"/>
        </w:rPr>
        <w:t>breast</w:t>
      </w:r>
      <w:r>
        <w:rPr>
          <w:b/>
          <w:spacing w:val="-6"/>
          <w:sz w:val="30"/>
          <w:vertAlign w:val="baseline"/>
        </w:rPr>
        <w:t> </w:t>
      </w:r>
      <w:r>
        <w:rPr>
          <w:b/>
          <w:sz w:val="30"/>
          <w:vertAlign w:val="baseline"/>
        </w:rPr>
        <w:t>cancer</w:t>
      </w:r>
      <w:r>
        <w:rPr>
          <w:b/>
          <w:spacing w:val="-6"/>
          <w:sz w:val="30"/>
          <w:vertAlign w:val="baseline"/>
        </w:rPr>
        <w:t> </w:t>
      </w:r>
      <w:r>
        <w:rPr>
          <w:b/>
          <w:sz w:val="30"/>
          <w:vertAlign w:val="baseline"/>
        </w:rPr>
        <w:t>or</w:t>
      </w:r>
      <w:r>
        <w:rPr>
          <w:b/>
          <w:spacing w:val="-6"/>
          <w:sz w:val="30"/>
          <w:vertAlign w:val="baseline"/>
        </w:rPr>
        <w:t> </w:t>
      </w:r>
      <w:r>
        <w:rPr>
          <w:b/>
          <w:sz w:val="30"/>
          <w:vertAlign w:val="baseline"/>
        </w:rPr>
        <w:t>cardiovascular</w:t>
      </w:r>
      <w:r>
        <w:rPr>
          <w:b/>
          <w:spacing w:val="-6"/>
          <w:sz w:val="30"/>
          <w:vertAlign w:val="baseline"/>
        </w:rPr>
        <w:t> </w:t>
      </w:r>
      <w:r>
        <w:rPr>
          <w:b/>
          <w:sz w:val="30"/>
          <w:vertAlign w:val="baseline"/>
        </w:rPr>
        <w:t>disease (except</w:t>
      </w:r>
      <w:r>
        <w:rPr>
          <w:b/>
          <w:spacing w:val="56"/>
          <w:sz w:val="30"/>
          <w:vertAlign w:val="baseline"/>
        </w:rPr>
        <w:t> </w:t>
      </w:r>
      <w:r>
        <w:rPr>
          <w:b/>
          <w:sz w:val="30"/>
          <w:vertAlign w:val="baseline"/>
        </w:rPr>
        <w:t>in</w:t>
      </w:r>
      <w:r>
        <w:rPr>
          <w:b/>
          <w:spacing w:val="58"/>
          <w:sz w:val="30"/>
          <w:vertAlign w:val="baseline"/>
        </w:rPr>
        <w:t> </w:t>
      </w:r>
      <w:r>
        <w:rPr>
          <w:b/>
          <w:sz w:val="30"/>
          <w:vertAlign w:val="baseline"/>
        </w:rPr>
        <w:t>Black</w:t>
      </w:r>
      <w:r>
        <w:rPr>
          <w:b/>
          <w:spacing w:val="58"/>
          <w:sz w:val="30"/>
          <w:vertAlign w:val="baseline"/>
        </w:rPr>
        <w:t> </w:t>
      </w:r>
      <w:r>
        <w:rPr>
          <w:b/>
          <w:sz w:val="30"/>
          <w:vertAlign w:val="baseline"/>
        </w:rPr>
        <w:t>women</w:t>
      </w:r>
      <w:r>
        <w:rPr>
          <w:b/>
          <w:spacing w:val="58"/>
          <w:sz w:val="30"/>
          <w:vertAlign w:val="baseline"/>
        </w:rPr>
        <w:t> </w:t>
      </w:r>
      <w:r>
        <w:rPr>
          <w:b/>
          <w:sz w:val="30"/>
          <w:vertAlign w:val="baseline"/>
        </w:rPr>
        <w:t>in</w:t>
      </w:r>
      <w:r>
        <w:rPr>
          <w:b/>
          <w:spacing w:val="58"/>
          <w:sz w:val="30"/>
          <w:vertAlign w:val="baseline"/>
        </w:rPr>
        <w:t> </w:t>
      </w:r>
      <w:r>
        <w:rPr>
          <w:b/>
          <w:sz w:val="30"/>
          <w:vertAlign w:val="baseline"/>
        </w:rPr>
        <w:t>whom</w:t>
      </w:r>
      <w:r>
        <w:rPr>
          <w:b/>
          <w:spacing w:val="58"/>
          <w:sz w:val="30"/>
          <w:vertAlign w:val="baseline"/>
        </w:rPr>
        <w:t> </w:t>
      </w:r>
      <w:r>
        <w:rPr>
          <w:b/>
          <w:sz w:val="30"/>
          <w:vertAlign w:val="baseline"/>
        </w:rPr>
        <w:t>cardiovascular</w:t>
      </w:r>
      <w:r>
        <w:rPr>
          <w:b/>
          <w:spacing w:val="58"/>
          <w:sz w:val="30"/>
          <w:vertAlign w:val="baseline"/>
        </w:rPr>
        <w:t> </w:t>
      </w:r>
      <w:r>
        <w:rPr>
          <w:b/>
          <w:sz w:val="30"/>
          <w:vertAlign w:val="baseline"/>
        </w:rPr>
        <w:t>events</w:t>
      </w:r>
      <w:r>
        <w:rPr>
          <w:b/>
          <w:spacing w:val="58"/>
          <w:sz w:val="30"/>
          <w:vertAlign w:val="baseline"/>
        </w:rPr>
        <w:t> </w:t>
      </w:r>
      <w:r>
        <w:rPr>
          <w:b/>
          <w:spacing w:val="-2"/>
          <w:sz w:val="30"/>
          <w:vertAlign w:val="baseline"/>
        </w:rPr>
        <w:t>dominated).</w:t>
      </w:r>
    </w:p>
    <w:p>
      <w:pPr>
        <w:spacing w:after="0" w:line="249" w:lineRule="auto"/>
        <w:jc w:val="both"/>
        <w:rPr>
          <w:b/>
          <w:sz w:val="30"/>
        </w:rPr>
        <w:sectPr>
          <w:pgSz w:w="12240" w:h="15840"/>
          <w:pgMar w:top="1380" w:bottom="280" w:left="1440" w:right="1440"/>
        </w:sectPr>
      </w:pPr>
    </w:p>
    <w:p>
      <w:pPr>
        <w:pStyle w:val="BodyText"/>
        <w:spacing w:line="249" w:lineRule="auto"/>
        <w:ind w:right="101"/>
      </w:pPr>
      <w:r>
        <w:rPr/>
        <w:t>And don’t forget that in the WHI, the women adherent to their calcium/vitamin D supplementation had a 29% reduction in risk for hip fractures, and the reduction in hip fractures (42%) was greatest in those women who combined calcium/vitamin D supplementation with </w:t>
      </w:r>
      <w:r>
        <w:rPr/>
        <w:t>hormone </w:t>
      </w:r>
      <w:r>
        <w:rPr>
          <w:spacing w:val="-2"/>
        </w:rPr>
        <w:t>therapy.</w:t>
      </w:r>
      <w:r>
        <w:rPr>
          <w:spacing w:val="-2"/>
          <w:vertAlign w:val="superscript"/>
        </w:rPr>
        <w:t>209</w:t>
      </w:r>
    </w:p>
    <w:p>
      <w:pPr>
        <w:pStyle w:val="BodyText"/>
        <w:spacing w:line="249" w:lineRule="auto" w:before="6"/>
        <w:ind w:right="103" w:firstLine="450"/>
      </w:pPr>
      <w:r>
        <w:rPr/>
        <w:t>Because 60% of individuals who live in northern latitudes have </w:t>
      </w:r>
      <w:r>
        <w:rPr/>
        <w:t>low serum levels of 25-hydroxyvitamin D, the WHI results do not rule out the possibility of beneficial effects of adequate supplementation in a large segment of our population.</w:t>
      </w:r>
      <w:r>
        <w:rPr>
          <w:vertAlign w:val="superscript"/>
        </w:rPr>
        <w:t>222</w:t>
      </w:r>
      <w:r>
        <w:rPr>
          <w:vertAlign w:val="baseline"/>
        </w:rPr>
        <w:t> The WHI nested case-control study documented</w:t>
      </w:r>
      <w:r>
        <w:rPr>
          <w:spacing w:val="-3"/>
          <w:vertAlign w:val="baseline"/>
        </w:rPr>
        <w:t> </w:t>
      </w:r>
      <w:r>
        <w:rPr>
          <w:vertAlign w:val="baseline"/>
        </w:rPr>
        <w:t>that</w:t>
      </w:r>
      <w:r>
        <w:rPr>
          <w:spacing w:val="-3"/>
          <w:vertAlign w:val="baseline"/>
        </w:rPr>
        <w:t> </w:t>
      </w:r>
      <w:r>
        <w:rPr>
          <w:vertAlign w:val="baseline"/>
        </w:rPr>
        <w:t>the</w:t>
      </w:r>
      <w:r>
        <w:rPr>
          <w:spacing w:val="-3"/>
          <w:vertAlign w:val="baseline"/>
        </w:rPr>
        <w:t> </w:t>
      </w:r>
      <w:r>
        <w:rPr>
          <w:vertAlign w:val="baseline"/>
        </w:rPr>
        <w:t>risk</w:t>
      </w:r>
      <w:r>
        <w:rPr>
          <w:spacing w:val="-3"/>
          <w:vertAlign w:val="baseline"/>
        </w:rPr>
        <w:t> </w:t>
      </w:r>
      <w:r>
        <w:rPr>
          <w:vertAlign w:val="baseline"/>
        </w:rPr>
        <w:t>of</w:t>
      </w:r>
      <w:r>
        <w:rPr>
          <w:spacing w:val="-3"/>
          <w:vertAlign w:val="baseline"/>
        </w:rPr>
        <w:t> </w:t>
      </w:r>
      <w:r>
        <w:rPr>
          <w:vertAlign w:val="baseline"/>
        </w:rPr>
        <w:t>hip</w:t>
      </w:r>
      <w:r>
        <w:rPr>
          <w:spacing w:val="-3"/>
          <w:vertAlign w:val="baseline"/>
        </w:rPr>
        <w:t> </w:t>
      </w:r>
      <w:r>
        <w:rPr>
          <w:vertAlign w:val="baseline"/>
        </w:rPr>
        <w:t>fracture</w:t>
      </w:r>
      <w:r>
        <w:rPr>
          <w:spacing w:val="-3"/>
          <w:vertAlign w:val="baseline"/>
        </w:rPr>
        <w:t> </w:t>
      </w:r>
      <w:r>
        <w:rPr>
          <w:vertAlign w:val="baseline"/>
        </w:rPr>
        <w:t>steadily</w:t>
      </w:r>
      <w:r>
        <w:rPr>
          <w:spacing w:val="-3"/>
          <w:vertAlign w:val="baseline"/>
        </w:rPr>
        <w:t> </w:t>
      </w:r>
      <w:r>
        <w:rPr>
          <w:vertAlign w:val="baseline"/>
        </w:rPr>
        <w:t>increases</w:t>
      </w:r>
      <w:r>
        <w:rPr>
          <w:spacing w:val="-3"/>
          <w:vertAlign w:val="baseline"/>
        </w:rPr>
        <w:t> </w:t>
      </w:r>
      <w:r>
        <w:rPr>
          <w:vertAlign w:val="baseline"/>
        </w:rPr>
        <w:t>in</w:t>
      </w:r>
      <w:r>
        <w:rPr>
          <w:spacing w:val="-3"/>
          <w:vertAlign w:val="baseline"/>
        </w:rPr>
        <w:t> </w:t>
      </w:r>
      <w:r>
        <w:rPr>
          <w:vertAlign w:val="baseline"/>
        </w:rPr>
        <w:t>women</w:t>
      </w:r>
      <w:r>
        <w:rPr>
          <w:spacing w:val="-3"/>
          <w:vertAlign w:val="baseline"/>
        </w:rPr>
        <w:t> </w:t>
      </w:r>
      <w:r>
        <w:rPr>
          <w:vertAlign w:val="baseline"/>
        </w:rPr>
        <w:t>as</w:t>
      </w:r>
      <w:r>
        <w:rPr>
          <w:spacing w:val="-3"/>
          <w:vertAlign w:val="baseline"/>
        </w:rPr>
        <w:t> </w:t>
      </w:r>
      <w:r>
        <w:rPr>
          <w:vertAlign w:val="baseline"/>
        </w:rPr>
        <w:t>their serum levels of 25-hydroxyvitamin D decrease.</w:t>
      </w:r>
      <w:r>
        <w:rPr>
          <w:vertAlign w:val="superscript"/>
        </w:rPr>
        <w:t>223</w:t>
      </w:r>
    </w:p>
    <w:p>
      <w:pPr>
        <w:spacing w:line="249" w:lineRule="auto" w:before="7"/>
        <w:ind w:left="99" w:right="97" w:firstLine="450"/>
        <w:jc w:val="both"/>
        <w:rPr>
          <w:b/>
          <w:sz w:val="30"/>
        </w:rPr>
      </w:pPr>
      <w:r>
        <w:rPr>
          <w:b/>
          <w:sz w:val="30"/>
        </w:rPr>
        <w:t>Vitamin D is essential for adequate calcium absorption and maximal bone protection, but remember that supplemental vitamin D requires adequate calcium intake.</w:t>
      </w:r>
      <w:r>
        <w:rPr>
          <w:sz w:val="30"/>
          <w:vertAlign w:val="superscript"/>
        </w:rPr>
        <w:t>201,202</w:t>
      </w:r>
      <w:r>
        <w:rPr>
          <w:sz w:val="30"/>
          <w:vertAlign w:val="baseline"/>
        </w:rPr>
        <w:t> Calcium absorption decreases </w:t>
      </w:r>
      <w:r>
        <w:rPr>
          <w:sz w:val="30"/>
          <w:vertAlign w:val="baseline"/>
        </w:rPr>
        <w:t>and PTH increases as the levels of 25-hydroxyvitamin D fall below 30 ng/mL. Multiple studies have demonstrated that vitamin D together with calcium supplementation in older men and women reduces the rate of fractures.</w:t>
      </w:r>
      <w:r>
        <w:rPr>
          <w:sz w:val="30"/>
          <w:vertAlign w:val="superscript"/>
        </w:rPr>
        <w:t>189,224,225</w:t>
      </w:r>
      <w:r>
        <w:rPr>
          <w:sz w:val="30"/>
          <w:vertAlign w:val="baseline"/>
        </w:rPr>
        <w:t> Normal vitamin D levels are important for muscle functioning; vitamin D supplementation alone and in combination with calcium lowers the risk of falling and improves lower extremity function in older men and women.</w:t>
      </w:r>
      <w:r>
        <w:rPr>
          <w:sz w:val="30"/>
          <w:vertAlign w:val="superscript"/>
        </w:rPr>
        <w:t>226,227</w:t>
      </w:r>
      <w:r>
        <w:rPr>
          <w:sz w:val="30"/>
          <w:vertAlign w:val="baseline"/>
        </w:rPr>
        <w:t> </w:t>
      </w:r>
      <w:r>
        <w:rPr>
          <w:b/>
          <w:sz w:val="30"/>
          <w:vertAlign w:val="baseline"/>
        </w:rPr>
        <w:t>We believe that vitamin D and calcium supplementation are simple yet critical strategies that offer risk reduction against fragility fractures through mechanisms that include positive effects on BMD, on bone quality, and possibly on muscular function. Supplementation strategies must utilize dietary sources as well as supplements, and dosing regimens should be individualized to the needs of the population at risk.</w:t>
      </w:r>
    </w:p>
    <w:p>
      <w:pPr>
        <w:pStyle w:val="BodyText"/>
        <w:spacing w:before="0"/>
        <w:ind w:left="0"/>
        <w:jc w:val="left"/>
        <w:rPr>
          <w:b/>
          <w:sz w:val="20"/>
        </w:rPr>
      </w:pPr>
    </w:p>
    <w:p>
      <w:pPr>
        <w:pStyle w:val="BodyText"/>
        <w:spacing w:before="131"/>
        <w:ind w:left="0"/>
        <w:jc w:val="left"/>
        <w:rPr>
          <w:b/>
          <w:sz w:val="20"/>
        </w:rPr>
      </w:pPr>
      <w:r>
        <w:rPr>
          <w:b/>
          <w:sz w:val="20"/>
        </w:rPr>
        <mc:AlternateContent>
          <mc:Choice Requires="wps">
            <w:drawing>
              <wp:anchor distT="0" distB="0" distL="0" distR="0" allowOverlap="1" layoutInCell="1" locked="0" behindDoc="1" simplePos="0" relativeHeight="487613952">
                <wp:simplePos x="0" y="0"/>
                <wp:positionH relativeFrom="page">
                  <wp:posOffset>981074</wp:posOffset>
                </wp:positionH>
                <wp:positionV relativeFrom="paragraph">
                  <wp:posOffset>244462</wp:posOffset>
                </wp:positionV>
                <wp:extent cx="5810250" cy="1676400"/>
                <wp:effectExtent l="0" t="0" r="0" b="0"/>
                <wp:wrapTopAndBottom/>
                <wp:docPr id="92" name="Group 92"/>
                <wp:cNvGraphicFramePr>
                  <a:graphicFrameLocks/>
                </wp:cNvGraphicFramePr>
                <a:graphic>
                  <a:graphicData uri="http://schemas.microsoft.com/office/word/2010/wordprocessingGroup">
                    <wpg:wgp>
                      <wpg:cNvPr id="92" name="Group 92"/>
                      <wpg:cNvGrpSpPr/>
                      <wpg:grpSpPr>
                        <a:xfrm>
                          <a:off x="0" y="0"/>
                          <a:ext cx="5810250" cy="1676400"/>
                          <a:chExt cx="5810250" cy="1676400"/>
                        </a:xfrm>
                      </wpg:grpSpPr>
                      <wps:wsp>
                        <wps:cNvPr id="93" name="Graphic 93"/>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D5E699"/>
                          </a:solidFill>
                        </wps:spPr>
                        <wps:bodyPr wrap="square" lIns="0" tIns="0" rIns="0" bIns="0" rtlCol="0">
                          <a:prstTxWarp prst="textNoShape">
                            <a:avLst/>
                          </a:prstTxWarp>
                          <a:noAutofit/>
                        </wps:bodyPr>
                      </wps:wsp>
                      <wps:wsp>
                        <wps:cNvPr id="94" name="Graphic 94"/>
                        <wps:cNvSpPr/>
                        <wps:spPr>
                          <a:xfrm>
                            <a:off x="0" y="742949"/>
                            <a:ext cx="5810250" cy="933450"/>
                          </a:xfrm>
                          <a:custGeom>
                            <a:avLst/>
                            <a:gdLst/>
                            <a:ahLst/>
                            <a:cxnLst/>
                            <a:rect l="l" t="t" r="r" b="b"/>
                            <a:pathLst>
                              <a:path w="5810250" h="933450">
                                <a:moveTo>
                                  <a:pt x="0" y="933422"/>
                                </a:moveTo>
                                <a:lnTo>
                                  <a:pt x="5810249" y="933422"/>
                                </a:lnTo>
                                <a:lnTo>
                                  <a:pt x="5810249" y="0"/>
                                </a:lnTo>
                                <a:lnTo>
                                  <a:pt x="0" y="0"/>
                                </a:lnTo>
                                <a:lnTo>
                                  <a:pt x="0" y="933422"/>
                                </a:lnTo>
                                <a:close/>
                              </a:path>
                            </a:pathLst>
                          </a:custGeom>
                          <a:solidFill>
                            <a:srgbClr val="E9F1CD"/>
                          </a:solidFill>
                        </wps:spPr>
                        <wps:bodyPr wrap="square" lIns="0" tIns="0" rIns="0" bIns="0" rtlCol="0">
                          <a:prstTxWarp prst="textNoShape">
                            <a:avLst/>
                          </a:prstTxWarp>
                          <a:noAutofit/>
                        </wps:bodyPr>
                      </wps:wsp>
                      <wps:wsp>
                        <wps:cNvPr id="95" name="Graphic 95"/>
                        <wps:cNvSpPr/>
                        <wps:spPr>
                          <a:xfrm>
                            <a:off x="0" y="57149"/>
                            <a:ext cx="5810250" cy="685800"/>
                          </a:xfrm>
                          <a:custGeom>
                            <a:avLst/>
                            <a:gdLst/>
                            <a:ahLst/>
                            <a:cxnLst/>
                            <a:rect l="l" t="t" r="r" b="b"/>
                            <a:pathLst>
                              <a:path w="5810250" h="685800">
                                <a:moveTo>
                                  <a:pt x="5810249" y="685799"/>
                                </a:moveTo>
                                <a:lnTo>
                                  <a:pt x="0" y="685799"/>
                                </a:lnTo>
                                <a:lnTo>
                                  <a:pt x="0" y="0"/>
                                </a:lnTo>
                                <a:lnTo>
                                  <a:pt x="5810249" y="0"/>
                                </a:lnTo>
                                <a:lnTo>
                                  <a:pt x="5810249" y="685799"/>
                                </a:lnTo>
                                <a:close/>
                              </a:path>
                            </a:pathLst>
                          </a:custGeom>
                          <a:solidFill>
                            <a:srgbClr val="2B816F"/>
                          </a:solidFill>
                        </wps:spPr>
                        <wps:bodyPr wrap="square" lIns="0" tIns="0" rIns="0" bIns="0" rtlCol="0">
                          <a:prstTxWarp prst="textNoShape">
                            <a:avLst/>
                          </a:prstTxWarp>
                          <a:noAutofit/>
                        </wps:bodyPr>
                      </wps:wsp>
                      <wps:wsp>
                        <wps:cNvPr id="96" name="Graphic 96"/>
                        <wps:cNvSpPr/>
                        <wps:spPr>
                          <a:xfrm>
                            <a:off x="209550" y="228614"/>
                            <a:ext cx="371475" cy="57150"/>
                          </a:xfrm>
                          <a:custGeom>
                            <a:avLst/>
                            <a:gdLst/>
                            <a:ahLst/>
                            <a:cxnLst/>
                            <a:rect l="l" t="t" r="r" b="b"/>
                            <a:pathLst>
                              <a:path w="371475" h="57150">
                                <a:moveTo>
                                  <a:pt x="32364" y="57111"/>
                                </a:moveTo>
                                <a:lnTo>
                                  <a:pt x="24785" y="57111"/>
                                </a:lnTo>
                                <a:lnTo>
                                  <a:pt x="21140" y="56368"/>
                                </a:lnTo>
                                <a:lnTo>
                                  <a:pt x="0" y="32337"/>
                                </a:lnTo>
                                <a:lnTo>
                                  <a:pt x="0" y="24745"/>
                                </a:lnTo>
                                <a:lnTo>
                                  <a:pt x="725" y="21059"/>
                                </a:lnTo>
                                <a:lnTo>
                                  <a:pt x="3625" y="14068"/>
                                </a:lnTo>
                                <a:lnTo>
                                  <a:pt x="5689" y="10972"/>
                                </a:lnTo>
                                <a:lnTo>
                                  <a:pt x="8369" y="8334"/>
                                </a:lnTo>
                                <a:lnTo>
                                  <a:pt x="11048" y="5657"/>
                                </a:lnTo>
                                <a:lnTo>
                                  <a:pt x="14138" y="3609"/>
                                </a:lnTo>
                                <a:lnTo>
                                  <a:pt x="21140" y="704"/>
                                </a:lnTo>
                                <a:lnTo>
                                  <a:pt x="24785" y="0"/>
                                </a:lnTo>
                                <a:lnTo>
                                  <a:pt x="32364" y="0"/>
                                </a:lnTo>
                                <a:lnTo>
                                  <a:pt x="36009" y="704"/>
                                </a:lnTo>
                                <a:lnTo>
                                  <a:pt x="43011" y="3609"/>
                                </a:lnTo>
                                <a:lnTo>
                                  <a:pt x="46101" y="5657"/>
                                </a:lnTo>
                                <a:lnTo>
                                  <a:pt x="48780" y="8334"/>
                                </a:lnTo>
                                <a:lnTo>
                                  <a:pt x="51459" y="10972"/>
                                </a:lnTo>
                                <a:lnTo>
                                  <a:pt x="53524" y="14068"/>
                                </a:lnTo>
                                <a:lnTo>
                                  <a:pt x="56424" y="21059"/>
                                </a:lnTo>
                                <a:lnTo>
                                  <a:pt x="57149" y="24745"/>
                                </a:lnTo>
                                <a:lnTo>
                                  <a:pt x="57149" y="32337"/>
                                </a:lnTo>
                                <a:lnTo>
                                  <a:pt x="36009" y="56368"/>
                                </a:lnTo>
                                <a:lnTo>
                                  <a:pt x="32364" y="57111"/>
                                </a:lnTo>
                                <a:close/>
                              </a:path>
                              <a:path w="371475" h="57150">
                                <a:moveTo>
                                  <a:pt x="137044" y="57111"/>
                                </a:moveTo>
                                <a:lnTo>
                                  <a:pt x="129465" y="57111"/>
                                </a:lnTo>
                                <a:lnTo>
                                  <a:pt x="125820" y="56368"/>
                                </a:lnTo>
                                <a:lnTo>
                                  <a:pt x="104679" y="32337"/>
                                </a:lnTo>
                                <a:lnTo>
                                  <a:pt x="104679" y="24745"/>
                                </a:lnTo>
                                <a:lnTo>
                                  <a:pt x="105404" y="21059"/>
                                </a:lnTo>
                                <a:lnTo>
                                  <a:pt x="108304" y="14068"/>
                                </a:lnTo>
                                <a:lnTo>
                                  <a:pt x="110369" y="10972"/>
                                </a:lnTo>
                                <a:lnTo>
                                  <a:pt x="113049" y="8334"/>
                                </a:lnTo>
                                <a:lnTo>
                                  <a:pt x="115728" y="5657"/>
                                </a:lnTo>
                                <a:lnTo>
                                  <a:pt x="118818" y="3609"/>
                                </a:lnTo>
                                <a:lnTo>
                                  <a:pt x="125820" y="704"/>
                                </a:lnTo>
                                <a:lnTo>
                                  <a:pt x="129465" y="0"/>
                                </a:lnTo>
                                <a:lnTo>
                                  <a:pt x="137044" y="0"/>
                                </a:lnTo>
                                <a:lnTo>
                                  <a:pt x="140689" y="704"/>
                                </a:lnTo>
                                <a:lnTo>
                                  <a:pt x="147690" y="3609"/>
                                </a:lnTo>
                                <a:lnTo>
                                  <a:pt x="150780" y="5657"/>
                                </a:lnTo>
                                <a:lnTo>
                                  <a:pt x="153460" y="8334"/>
                                </a:lnTo>
                                <a:lnTo>
                                  <a:pt x="156139" y="10972"/>
                                </a:lnTo>
                                <a:lnTo>
                                  <a:pt x="158204" y="14068"/>
                                </a:lnTo>
                                <a:lnTo>
                                  <a:pt x="161104" y="21059"/>
                                </a:lnTo>
                                <a:lnTo>
                                  <a:pt x="161829" y="24745"/>
                                </a:lnTo>
                                <a:lnTo>
                                  <a:pt x="161829" y="32337"/>
                                </a:lnTo>
                                <a:lnTo>
                                  <a:pt x="140689" y="56368"/>
                                </a:lnTo>
                                <a:lnTo>
                                  <a:pt x="137044" y="57111"/>
                                </a:lnTo>
                                <a:close/>
                              </a:path>
                              <a:path w="371475" h="57150">
                                <a:moveTo>
                                  <a:pt x="241723" y="57111"/>
                                </a:moveTo>
                                <a:lnTo>
                                  <a:pt x="234145" y="57111"/>
                                </a:lnTo>
                                <a:lnTo>
                                  <a:pt x="230500" y="56368"/>
                                </a:lnTo>
                                <a:lnTo>
                                  <a:pt x="209359" y="32337"/>
                                </a:lnTo>
                                <a:lnTo>
                                  <a:pt x="209359" y="24745"/>
                                </a:lnTo>
                                <a:lnTo>
                                  <a:pt x="210084" y="21059"/>
                                </a:lnTo>
                                <a:lnTo>
                                  <a:pt x="212984" y="14068"/>
                                </a:lnTo>
                                <a:lnTo>
                                  <a:pt x="215049" y="10972"/>
                                </a:lnTo>
                                <a:lnTo>
                                  <a:pt x="217728" y="8334"/>
                                </a:lnTo>
                                <a:lnTo>
                                  <a:pt x="220408" y="5657"/>
                                </a:lnTo>
                                <a:lnTo>
                                  <a:pt x="223498" y="3609"/>
                                </a:lnTo>
                                <a:lnTo>
                                  <a:pt x="230500" y="704"/>
                                </a:lnTo>
                                <a:lnTo>
                                  <a:pt x="234145" y="0"/>
                                </a:lnTo>
                                <a:lnTo>
                                  <a:pt x="241723" y="0"/>
                                </a:lnTo>
                                <a:lnTo>
                                  <a:pt x="245368" y="704"/>
                                </a:lnTo>
                                <a:lnTo>
                                  <a:pt x="252370" y="3609"/>
                                </a:lnTo>
                                <a:lnTo>
                                  <a:pt x="255460" y="5657"/>
                                </a:lnTo>
                                <a:lnTo>
                                  <a:pt x="258140" y="8334"/>
                                </a:lnTo>
                                <a:lnTo>
                                  <a:pt x="260819" y="10972"/>
                                </a:lnTo>
                                <a:lnTo>
                                  <a:pt x="262884" y="14068"/>
                                </a:lnTo>
                                <a:lnTo>
                                  <a:pt x="265784" y="21059"/>
                                </a:lnTo>
                                <a:lnTo>
                                  <a:pt x="266509" y="24745"/>
                                </a:lnTo>
                                <a:lnTo>
                                  <a:pt x="266509" y="32337"/>
                                </a:lnTo>
                                <a:lnTo>
                                  <a:pt x="245368" y="56368"/>
                                </a:lnTo>
                                <a:lnTo>
                                  <a:pt x="241723" y="57111"/>
                                </a:lnTo>
                                <a:close/>
                              </a:path>
                              <a:path w="371475" h="57150">
                                <a:moveTo>
                                  <a:pt x="346403" y="57111"/>
                                </a:moveTo>
                                <a:lnTo>
                                  <a:pt x="338824" y="57111"/>
                                </a:lnTo>
                                <a:lnTo>
                                  <a:pt x="335179" y="56368"/>
                                </a:lnTo>
                                <a:lnTo>
                                  <a:pt x="314039" y="32337"/>
                                </a:lnTo>
                                <a:lnTo>
                                  <a:pt x="314039" y="24745"/>
                                </a:lnTo>
                                <a:lnTo>
                                  <a:pt x="314764" y="21059"/>
                                </a:lnTo>
                                <a:lnTo>
                                  <a:pt x="317664" y="14068"/>
                                </a:lnTo>
                                <a:lnTo>
                                  <a:pt x="319729" y="10972"/>
                                </a:lnTo>
                                <a:lnTo>
                                  <a:pt x="322408" y="8334"/>
                                </a:lnTo>
                                <a:lnTo>
                                  <a:pt x="325088" y="5657"/>
                                </a:lnTo>
                                <a:lnTo>
                                  <a:pt x="328178" y="3609"/>
                                </a:lnTo>
                                <a:lnTo>
                                  <a:pt x="335179" y="704"/>
                                </a:lnTo>
                                <a:lnTo>
                                  <a:pt x="338824" y="0"/>
                                </a:lnTo>
                                <a:lnTo>
                                  <a:pt x="346403" y="0"/>
                                </a:lnTo>
                                <a:lnTo>
                                  <a:pt x="350048" y="704"/>
                                </a:lnTo>
                                <a:lnTo>
                                  <a:pt x="357050" y="3609"/>
                                </a:lnTo>
                                <a:lnTo>
                                  <a:pt x="360140" y="5657"/>
                                </a:lnTo>
                                <a:lnTo>
                                  <a:pt x="362819" y="8334"/>
                                </a:lnTo>
                                <a:lnTo>
                                  <a:pt x="365499" y="10972"/>
                                </a:lnTo>
                                <a:lnTo>
                                  <a:pt x="367563" y="14068"/>
                                </a:lnTo>
                                <a:lnTo>
                                  <a:pt x="370464" y="21059"/>
                                </a:lnTo>
                                <a:lnTo>
                                  <a:pt x="371189" y="24745"/>
                                </a:lnTo>
                                <a:lnTo>
                                  <a:pt x="371189" y="32337"/>
                                </a:lnTo>
                                <a:lnTo>
                                  <a:pt x="350048" y="56368"/>
                                </a:lnTo>
                                <a:lnTo>
                                  <a:pt x="346403" y="57111"/>
                                </a:lnTo>
                                <a:close/>
                              </a:path>
                            </a:pathLst>
                          </a:custGeom>
                          <a:solidFill>
                            <a:srgbClr val="D0E399"/>
                          </a:solidFill>
                        </wps:spPr>
                        <wps:bodyPr wrap="square" lIns="0" tIns="0" rIns="0" bIns="0" rtlCol="0">
                          <a:prstTxWarp prst="textNoShape">
                            <a:avLst/>
                          </a:prstTxWarp>
                          <a:noAutofit/>
                        </wps:bodyPr>
                      </wps:wsp>
                      <wps:wsp>
                        <wps:cNvPr id="97" name="Graphic 97"/>
                        <wps:cNvSpPr/>
                        <wps:spPr>
                          <a:xfrm>
                            <a:off x="133350" y="1000124"/>
                            <a:ext cx="47625" cy="47625"/>
                          </a:xfrm>
                          <a:custGeom>
                            <a:avLst/>
                            <a:gdLst/>
                            <a:ahLst/>
                            <a:cxnLst/>
                            <a:rect l="l" t="t" r="r" b="b"/>
                            <a:pathLst>
                              <a:path w="47625" h="47625">
                                <a:moveTo>
                                  <a:pt x="26970" y="47624"/>
                                </a:moveTo>
                                <a:lnTo>
                                  <a:pt x="20654" y="47624"/>
                                </a:lnTo>
                                <a:lnTo>
                                  <a:pt x="17617" y="46996"/>
                                </a:lnTo>
                                <a:lnTo>
                                  <a:pt x="0" y="26936"/>
                                </a:lnTo>
                                <a:lnTo>
                                  <a:pt x="0" y="20650"/>
                                </a:lnTo>
                                <a:lnTo>
                                  <a:pt x="20654" y="0"/>
                                </a:lnTo>
                                <a:lnTo>
                                  <a:pt x="26970" y="0"/>
                                </a:lnTo>
                                <a:lnTo>
                                  <a:pt x="47625" y="23812"/>
                                </a:lnTo>
                                <a:lnTo>
                                  <a:pt x="47624" y="26936"/>
                                </a:lnTo>
                                <a:lnTo>
                                  <a:pt x="26970" y="47624"/>
                                </a:lnTo>
                                <a:close/>
                              </a:path>
                            </a:pathLst>
                          </a:custGeom>
                          <a:solidFill>
                            <a:srgbClr val="2B816F"/>
                          </a:solidFill>
                        </wps:spPr>
                        <wps:bodyPr wrap="square" lIns="0" tIns="0" rIns="0" bIns="0" rtlCol="0">
                          <a:prstTxWarp prst="textNoShape">
                            <a:avLst/>
                          </a:prstTxWarp>
                          <a:noAutofit/>
                        </wps:bodyPr>
                      </wps:wsp>
                      <wps:wsp>
                        <wps:cNvPr id="98" name="Textbox 98"/>
                        <wps:cNvSpPr txBox="1"/>
                        <wps:spPr>
                          <a:xfrm>
                            <a:off x="0" y="742949"/>
                            <a:ext cx="5810250" cy="933450"/>
                          </a:xfrm>
                          <a:prstGeom prst="rect">
                            <a:avLst/>
                          </a:prstGeom>
                        </wps:spPr>
                        <wps:txbx>
                          <w:txbxContent>
                            <w:p>
                              <w:pPr>
                                <w:spacing w:line="240" w:lineRule="auto" w:before="51"/>
                                <w:rPr>
                                  <w:b/>
                                  <w:sz w:val="22"/>
                                </w:rPr>
                              </w:pPr>
                            </w:p>
                            <w:p>
                              <w:pPr>
                                <w:spacing w:line="256" w:lineRule="auto" w:before="0"/>
                                <w:ind w:left="444" w:right="750" w:firstLine="0"/>
                                <w:jc w:val="both"/>
                                <w:rPr>
                                  <w:sz w:val="22"/>
                                </w:rPr>
                              </w:pPr>
                              <w:r>
                                <w:rPr>
                                  <w:sz w:val="22"/>
                                </w:rPr>
                                <w:t>Clinicians should be vigilant toward identifying populations at risk for vitamin D deficiency and be more aggressive in confirming their impression through monitoring serum levels of 25-hydroxyvitamin D. While a level less than 20 ng/mL is a definitive indication</w:t>
                              </w:r>
                              <w:r>
                                <w:rPr>
                                  <w:spacing w:val="25"/>
                                  <w:sz w:val="22"/>
                                </w:rPr>
                                <w:t> </w:t>
                              </w:r>
                              <w:r>
                                <w:rPr>
                                  <w:sz w:val="22"/>
                                </w:rPr>
                                <w:t>of</w:t>
                              </w:r>
                              <w:r>
                                <w:rPr>
                                  <w:spacing w:val="25"/>
                                  <w:sz w:val="22"/>
                                </w:rPr>
                                <w:t> </w:t>
                              </w:r>
                              <w:r>
                                <w:rPr>
                                  <w:sz w:val="22"/>
                                </w:rPr>
                                <w:t>vitamin</w:t>
                              </w:r>
                              <w:r>
                                <w:rPr>
                                  <w:spacing w:val="25"/>
                                  <w:sz w:val="22"/>
                                </w:rPr>
                                <w:t> </w:t>
                              </w:r>
                              <w:r>
                                <w:rPr>
                                  <w:sz w:val="22"/>
                                </w:rPr>
                                <w:t>D</w:t>
                              </w:r>
                              <w:r>
                                <w:rPr>
                                  <w:spacing w:val="25"/>
                                  <w:sz w:val="22"/>
                                </w:rPr>
                                <w:t> </w:t>
                              </w:r>
                              <w:r>
                                <w:rPr>
                                  <w:sz w:val="22"/>
                                </w:rPr>
                                <w:t>deficiency,</w:t>
                              </w:r>
                              <w:r>
                                <w:rPr>
                                  <w:spacing w:val="25"/>
                                  <w:sz w:val="22"/>
                                </w:rPr>
                                <w:t> </w:t>
                              </w:r>
                              <w:r>
                                <w:rPr>
                                  <w:sz w:val="22"/>
                                </w:rPr>
                                <w:t>any</w:t>
                              </w:r>
                              <w:r>
                                <w:rPr>
                                  <w:spacing w:val="26"/>
                                  <w:sz w:val="22"/>
                                </w:rPr>
                                <w:t> </w:t>
                              </w:r>
                              <w:r>
                                <w:rPr>
                                  <w:sz w:val="22"/>
                                </w:rPr>
                                <w:t>value</w:t>
                              </w:r>
                              <w:r>
                                <w:rPr>
                                  <w:spacing w:val="25"/>
                                  <w:sz w:val="22"/>
                                </w:rPr>
                                <w:t> </w:t>
                              </w:r>
                              <w:r>
                                <w:rPr>
                                  <w:sz w:val="22"/>
                                </w:rPr>
                                <w:t>less</w:t>
                              </w:r>
                              <w:r>
                                <w:rPr>
                                  <w:spacing w:val="25"/>
                                  <w:sz w:val="22"/>
                                </w:rPr>
                                <w:t> </w:t>
                              </w:r>
                              <w:r>
                                <w:rPr>
                                  <w:sz w:val="22"/>
                                </w:rPr>
                                <w:t>than</w:t>
                              </w:r>
                              <w:r>
                                <w:rPr>
                                  <w:spacing w:val="25"/>
                                  <w:sz w:val="22"/>
                                </w:rPr>
                                <w:t> </w:t>
                              </w:r>
                              <w:r>
                                <w:rPr>
                                  <w:sz w:val="22"/>
                                </w:rPr>
                                <w:t>30</w:t>
                              </w:r>
                              <w:r>
                                <w:rPr>
                                  <w:spacing w:val="25"/>
                                  <w:sz w:val="22"/>
                                </w:rPr>
                                <w:t> </w:t>
                              </w:r>
                              <w:r>
                                <w:rPr>
                                  <w:sz w:val="22"/>
                                </w:rPr>
                                <w:t>ng/mL</w:t>
                              </w:r>
                              <w:r>
                                <w:rPr>
                                  <w:spacing w:val="26"/>
                                  <w:sz w:val="22"/>
                                </w:rPr>
                                <w:t> </w:t>
                              </w:r>
                              <w:r>
                                <w:rPr>
                                  <w:sz w:val="22"/>
                                </w:rPr>
                                <w:t>is</w:t>
                              </w:r>
                              <w:r>
                                <w:rPr>
                                  <w:spacing w:val="25"/>
                                  <w:sz w:val="22"/>
                                </w:rPr>
                                <w:t> </w:t>
                              </w:r>
                              <w:r>
                                <w:rPr>
                                  <w:sz w:val="22"/>
                                </w:rPr>
                                <w:t>below</w:t>
                              </w:r>
                              <w:r>
                                <w:rPr>
                                  <w:spacing w:val="25"/>
                                  <w:sz w:val="22"/>
                                </w:rPr>
                                <w:t> </w:t>
                              </w:r>
                              <w:r>
                                <w:rPr>
                                  <w:sz w:val="22"/>
                                </w:rPr>
                                <w:t>normal</w:t>
                              </w:r>
                              <w:r>
                                <w:rPr>
                                  <w:spacing w:val="25"/>
                                  <w:sz w:val="22"/>
                                </w:rPr>
                                <w:t> </w:t>
                              </w:r>
                              <w:r>
                                <w:rPr>
                                  <w:spacing w:val="-5"/>
                                  <w:sz w:val="22"/>
                                </w:rPr>
                                <w:t>and</w:t>
                              </w:r>
                            </w:p>
                          </w:txbxContent>
                        </wps:txbx>
                        <wps:bodyPr wrap="square" lIns="0" tIns="0" rIns="0" bIns="0" rtlCol="0">
                          <a:noAutofit/>
                        </wps:bodyPr>
                      </wps:wsp>
                      <wps:wsp>
                        <wps:cNvPr id="99" name="Textbox 99"/>
                        <wps:cNvSpPr txBox="1"/>
                        <wps:spPr>
                          <a:xfrm>
                            <a:off x="0" y="57149"/>
                            <a:ext cx="5810250" cy="685800"/>
                          </a:xfrm>
                          <a:prstGeom prst="rect">
                            <a:avLst/>
                          </a:prstGeom>
                        </wps:spPr>
                        <wps:txbx>
                          <w:txbxContent>
                            <w:p>
                              <w:pPr>
                                <w:spacing w:before="350"/>
                                <w:ind w:left="332" w:right="0" w:firstLine="0"/>
                                <w:jc w:val="left"/>
                                <w:rPr>
                                  <w:rFonts w:ascii="Arial"/>
                                  <w:sz w:val="33"/>
                                </w:rPr>
                              </w:pPr>
                              <w:r>
                                <w:rPr>
                                  <w:rFonts w:ascii="Arial"/>
                                  <w:color w:val="FFFFFF"/>
                                  <w:sz w:val="33"/>
                                </w:rPr>
                                <w:t>Key</w:t>
                              </w:r>
                              <w:r>
                                <w:rPr>
                                  <w:rFonts w:ascii="Arial"/>
                                  <w:color w:val="FFFFFF"/>
                                  <w:spacing w:val="17"/>
                                  <w:sz w:val="33"/>
                                </w:rPr>
                                <w:t> </w:t>
                              </w:r>
                              <w:r>
                                <w:rPr>
                                  <w:rFonts w:ascii="Arial"/>
                                  <w:color w:val="FFFFFF"/>
                                  <w:sz w:val="33"/>
                                </w:rPr>
                                <w:t>Points:</w:t>
                              </w:r>
                              <w:r>
                                <w:rPr>
                                  <w:rFonts w:ascii="Arial"/>
                                  <w:color w:val="FFFFFF"/>
                                  <w:spacing w:val="18"/>
                                  <w:sz w:val="33"/>
                                </w:rPr>
                                <w:t> </w:t>
                              </w:r>
                              <w:r>
                                <w:rPr>
                                  <w:rFonts w:ascii="Arial"/>
                                  <w:color w:val="FFFFFF"/>
                                  <w:sz w:val="33"/>
                                </w:rPr>
                                <w:t>Vitamin</w:t>
                              </w:r>
                              <w:r>
                                <w:rPr>
                                  <w:rFonts w:ascii="Arial"/>
                                  <w:color w:val="FFFFFF"/>
                                  <w:spacing w:val="17"/>
                                  <w:sz w:val="33"/>
                                </w:rPr>
                                <w:t> </w:t>
                              </w:r>
                              <w:r>
                                <w:rPr>
                                  <w:rFonts w:ascii="Arial"/>
                                  <w:color w:val="FFFFFF"/>
                                  <w:spacing w:val="-10"/>
                                  <w:sz w:val="33"/>
                                </w:rPr>
                                <w:t>D</w:t>
                              </w:r>
                            </w:p>
                          </w:txbxContent>
                        </wps:txbx>
                        <wps:bodyPr wrap="square" lIns="0" tIns="0" rIns="0" bIns="0" rtlCol="0">
                          <a:noAutofit/>
                        </wps:bodyPr>
                      </wps:wsp>
                    </wpg:wgp>
                  </a:graphicData>
                </a:graphic>
              </wp:anchor>
            </w:drawing>
          </mc:Choice>
          <mc:Fallback>
            <w:pict>
              <v:group style="position:absolute;margin-left:77.249992pt;margin-top:19.249023pt;width:457.5pt;height:132pt;mso-position-horizontal-relative:page;mso-position-vertical-relative:paragraph;z-index:-15702528;mso-wrap-distance-left:0;mso-wrap-distance-right:0" id="docshapegroup78" coordorigin="1545,385" coordsize="9150,2640">
                <v:rect style="position:absolute;left:1545;top:384;width:9150;height:30" id="docshape79" filled="true" fillcolor="#d5e699" stroked="false">
                  <v:fill type="solid"/>
                </v:rect>
                <v:rect style="position:absolute;left:1545;top:1554;width:9150;height:1470" id="docshape80" filled="true" fillcolor="#e9f1cd" stroked="false">
                  <v:fill type="solid"/>
                </v:rect>
                <v:rect style="position:absolute;left:1545;top:474;width:9150;height:1080" id="docshape81" filled="true" fillcolor="#2b816f" stroked="false">
                  <v:fill type="solid"/>
                </v:rect>
                <v:shape style="position:absolute;left:1875;top:745;width:585;height:90" id="docshape82" coordorigin="1875,745" coordsize="585,90" path="m1926,835l1914,835,1908,834,1897,829,1892,826,1884,818,1881,813,1876,802,1875,796,1875,784,1876,778,1881,767,1884,762,1888,758,1892,754,1897,751,1908,746,1914,745,1926,745,1932,746,1943,751,1948,754,1952,758,1956,762,1959,767,1964,778,1965,784,1965,796,1964,802,1959,813,1956,818,1948,826,1943,829,1932,834,1926,835xm2091,835l2079,835,2073,834,2062,829,2057,826,2049,818,2046,813,2041,802,2040,796,2040,784,2041,778,2046,767,2049,762,2053,758,2057,754,2062,751,2073,746,2079,745,2091,745,2097,746,2108,751,2112,754,2117,758,2121,762,2124,767,2129,778,2130,784,2130,796,2129,802,2124,813,2121,818,2112,826,2108,829,2097,834,2091,835xm2256,835l2244,835,2238,834,2227,829,2222,826,2214,818,2210,813,2206,802,2205,796,2205,784,2206,778,2210,767,2214,762,2218,758,2222,754,2227,751,2238,746,2244,745,2256,745,2261,746,2272,751,2277,754,2282,758,2286,762,2289,767,2294,778,2295,784,2295,796,2294,802,2289,813,2286,818,2277,826,2272,829,2261,834,2256,835xm2421,835l2409,835,2403,834,2392,829,2387,826,2379,818,2375,813,2371,802,2370,796,2370,784,2371,778,2375,767,2379,762,2383,758,2387,754,2392,751,2403,746,2409,745,2421,745,2426,746,2437,751,2442,754,2446,758,2451,762,2454,767,2458,778,2460,784,2460,796,2458,802,2454,813,2451,818,2442,826,2437,829,2426,834,2421,835xe" filled="true" fillcolor="#d0e399" stroked="false">
                  <v:path arrowok="t"/>
                  <v:fill type="solid"/>
                </v:shape>
                <v:shape style="position:absolute;left:1755;top:1959;width:75;height:75" id="docshape83" coordorigin="1755,1960" coordsize="75,75" path="m1797,2035l1788,2035,1783,2034,1755,2002,1755,1993,1788,1960,1797,1960,1830,1997,1830,2002,1797,2035xe" filled="true" fillcolor="#2b816f" stroked="false">
                  <v:path arrowok="t"/>
                  <v:fill type="solid"/>
                </v:shape>
                <v:shape style="position:absolute;left:1545;top:1554;width:9150;height:1470" type="#_x0000_t202" id="docshape84" filled="false" stroked="false">
                  <v:textbox inset="0,0,0,0">
                    <w:txbxContent>
                      <w:p>
                        <w:pPr>
                          <w:spacing w:line="240" w:lineRule="auto" w:before="51"/>
                          <w:rPr>
                            <w:b/>
                            <w:sz w:val="22"/>
                          </w:rPr>
                        </w:pPr>
                      </w:p>
                      <w:p>
                        <w:pPr>
                          <w:spacing w:line="256" w:lineRule="auto" w:before="0"/>
                          <w:ind w:left="444" w:right="750" w:firstLine="0"/>
                          <w:jc w:val="both"/>
                          <w:rPr>
                            <w:sz w:val="22"/>
                          </w:rPr>
                        </w:pPr>
                        <w:r>
                          <w:rPr>
                            <w:sz w:val="22"/>
                          </w:rPr>
                          <w:t>Clinicians should be vigilant toward identifying populations at risk for vitamin D deficiency and be more aggressive in confirming their impression through monitoring serum levels of 25-hydroxyvitamin D. While a level less than 20 ng/mL is a definitive indication</w:t>
                        </w:r>
                        <w:r>
                          <w:rPr>
                            <w:spacing w:val="25"/>
                            <w:sz w:val="22"/>
                          </w:rPr>
                          <w:t> </w:t>
                        </w:r>
                        <w:r>
                          <w:rPr>
                            <w:sz w:val="22"/>
                          </w:rPr>
                          <w:t>of</w:t>
                        </w:r>
                        <w:r>
                          <w:rPr>
                            <w:spacing w:val="25"/>
                            <w:sz w:val="22"/>
                          </w:rPr>
                          <w:t> </w:t>
                        </w:r>
                        <w:r>
                          <w:rPr>
                            <w:sz w:val="22"/>
                          </w:rPr>
                          <w:t>vitamin</w:t>
                        </w:r>
                        <w:r>
                          <w:rPr>
                            <w:spacing w:val="25"/>
                            <w:sz w:val="22"/>
                          </w:rPr>
                          <w:t> </w:t>
                        </w:r>
                        <w:r>
                          <w:rPr>
                            <w:sz w:val="22"/>
                          </w:rPr>
                          <w:t>D</w:t>
                        </w:r>
                        <w:r>
                          <w:rPr>
                            <w:spacing w:val="25"/>
                            <w:sz w:val="22"/>
                          </w:rPr>
                          <w:t> </w:t>
                        </w:r>
                        <w:r>
                          <w:rPr>
                            <w:sz w:val="22"/>
                          </w:rPr>
                          <w:t>deficiency,</w:t>
                        </w:r>
                        <w:r>
                          <w:rPr>
                            <w:spacing w:val="25"/>
                            <w:sz w:val="22"/>
                          </w:rPr>
                          <w:t> </w:t>
                        </w:r>
                        <w:r>
                          <w:rPr>
                            <w:sz w:val="22"/>
                          </w:rPr>
                          <w:t>any</w:t>
                        </w:r>
                        <w:r>
                          <w:rPr>
                            <w:spacing w:val="26"/>
                            <w:sz w:val="22"/>
                          </w:rPr>
                          <w:t> </w:t>
                        </w:r>
                        <w:r>
                          <w:rPr>
                            <w:sz w:val="22"/>
                          </w:rPr>
                          <w:t>value</w:t>
                        </w:r>
                        <w:r>
                          <w:rPr>
                            <w:spacing w:val="25"/>
                            <w:sz w:val="22"/>
                          </w:rPr>
                          <w:t> </w:t>
                        </w:r>
                        <w:r>
                          <w:rPr>
                            <w:sz w:val="22"/>
                          </w:rPr>
                          <w:t>less</w:t>
                        </w:r>
                        <w:r>
                          <w:rPr>
                            <w:spacing w:val="25"/>
                            <w:sz w:val="22"/>
                          </w:rPr>
                          <w:t> </w:t>
                        </w:r>
                        <w:r>
                          <w:rPr>
                            <w:sz w:val="22"/>
                          </w:rPr>
                          <w:t>than</w:t>
                        </w:r>
                        <w:r>
                          <w:rPr>
                            <w:spacing w:val="25"/>
                            <w:sz w:val="22"/>
                          </w:rPr>
                          <w:t> </w:t>
                        </w:r>
                        <w:r>
                          <w:rPr>
                            <w:sz w:val="22"/>
                          </w:rPr>
                          <w:t>30</w:t>
                        </w:r>
                        <w:r>
                          <w:rPr>
                            <w:spacing w:val="25"/>
                            <w:sz w:val="22"/>
                          </w:rPr>
                          <w:t> </w:t>
                        </w:r>
                        <w:r>
                          <w:rPr>
                            <w:sz w:val="22"/>
                          </w:rPr>
                          <w:t>ng/mL</w:t>
                        </w:r>
                        <w:r>
                          <w:rPr>
                            <w:spacing w:val="26"/>
                            <w:sz w:val="22"/>
                          </w:rPr>
                          <w:t> </w:t>
                        </w:r>
                        <w:r>
                          <w:rPr>
                            <w:sz w:val="22"/>
                          </w:rPr>
                          <w:t>is</w:t>
                        </w:r>
                        <w:r>
                          <w:rPr>
                            <w:spacing w:val="25"/>
                            <w:sz w:val="22"/>
                          </w:rPr>
                          <w:t> </w:t>
                        </w:r>
                        <w:r>
                          <w:rPr>
                            <w:sz w:val="22"/>
                          </w:rPr>
                          <w:t>below</w:t>
                        </w:r>
                        <w:r>
                          <w:rPr>
                            <w:spacing w:val="25"/>
                            <w:sz w:val="22"/>
                          </w:rPr>
                          <w:t> </w:t>
                        </w:r>
                        <w:r>
                          <w:rPr>
                            <w:sz w:val="22"/>
                          </w:rPr>
                          <w:t>normal</w:t>
                        </w:r>
                        <w:r>
                          <w:rPr>
                            <w:spacing w:val="25"/>
                            <w:sz w:val="22"/>
                          </w:rPr>
                          <w:t> </w:t>
                        </w:r>
                        <w:r>
                          <w:rPr>
                            <w:spacing w:val="-5"/>
                            <w:sz w:val="22"/>
                          </w:rPr>
                          <w:t>and</w:t>
                        </w:r>
                      </w:p>
                    </w:txbxContent>
                  </v:textbox>
                  <w10:wrap type="none"/>
                </v:shape>
                <v:shape style="position:absolute;left:1545;top:474;width:9150;height:1080" type="#_x0000_t202" id="docshape85" filled="false" stroked="false">
                  <v:textbox inset="0,0,0,0">
                    <w:txbxContent>
                      <w:p>
                        <w:pPr>
                          <w:spacing w:before="350"/>
                          <w:ind w:left="332" w:right="0" w:firstLine="0"/>
                          <w:jc w:val="left"/>
                          <w:rPr>
                            <w:rFonts w:ascii="Arial"/>
                            <w:sz w:val="33"/>
                          </w:rPr>
                        </w:pPr>
                        <w:r>
                          <w:rPr>
                            <w:rFonts w:ascii="Arial"/>
                            <w:color w:val="FFFFFF"/>
                            <w:sz w:val="33"/>
                          </w:rPr>
                          <w:t>Key</w:t>
                        </w:r>
                        <w:r>
                          <w:rPr>
                            <w:rFonts w:ascii="Arial"/>
                            <w:color w:val="FFFFFF"/>
                            <w:spacing w:val="17"/>
                            <w:sz w:val="33"/>
                          </w:rPr>
                          <w:t> </w:t>
                        </w:r>
                        <w:r>
                          <w:rPr>
                            <w:rFonts w:ascii="Arial"/>
                            <w:color w:val="FFFFFF"/>
                            <w:sz w:val="33"/>
                          </w:rPr>
                          <w:t>Points:</w:t>
                        </w:r>
                        <w:r>
                          <w:rPr>
                            <w:rFonts w:ascii="Arial"/>
                            <w:color w:val="FFFFFF"/>
                            <w:spacing w:val="18"/>
                            <w:sz w:val="33"/>
                          </w:rPr>
                          <w:t> </w:t>
                        </w:r>
                        <w:r>
                          <w:rPr>
                            <w:rFonts w:ascii="Arial"/>
                            <w:color w:val="FFFFFF"/>
                            <w:sz w:val="33"/>
                          </w:rPr>
                          <w:t>Vitamin</w:t>
                        </w:r>
                        <w:r>
                          <w:rPr>
                            <w:rFonts w:ascii="Arial"/>
                            <w:color w:val="FFFFFF"/>
                            <w:spacing w:val="17"/>
                            <w:sz w:val="33"/>
                          </w:rPr>
                          <w:t> </w:t>
                        </w:r>
                        <w:r>
                          <w:rPr>
                            <w:rFonts w:ascii="Arial"/>
                            <w:color w:val="FFFFFF"/>
                            <w:spacing w:val="-10"/>
                            <w:sz w:val="33"/>
                          </w:rPr>
                          <w:t>D</w:t>
                        </w:r>
                      </w:p>
                    </w:txbxContent>
                  </v:textbox>
                  <w10:wrap type="none"/>
                </v:shape>
                <w10:wrap type="topAndBottom"/>
              </v:group>
            </w:pict>
          </mc:Fallback>
        </mc:AlternateContent>
      </w:r>
    </w:p>
    <w:p>
      <w:pPr>
        <w:pStyle w:val="BodyText"/>
        <w:spacing w:after="0"/>
        <w:jc w:val="left"/>
        <w:rPr>
          <w:b/>
          <w:sz w:val="20"/>
        </w:rPr>
        <w:sectPr>
          <w:pgSz w:w="12240" w:h="15840"/>
          <w:pgMar w:top="1380" w:bottom="280" w:left="1440" w:right="1440"/>
        </w:sectPr>
      </w:pPr>
    </w:p>
    <w:p>
      <w:pPr>
        <w:spacing w:line="240" w:lineRule="auto"/>
        <w:ind w:left="105" w:right="0" w:firstLine="0"/>
        <w:rPr>
          <w:sz w:val="20"/>
        </w:rPr>
      </w:pPr>
      <w:r>
        <w:rPr>
          <w:sz w:val="20"/>
        </w:rPr>
        <mc:AlternateContent>
          <mc:Choice Requires="wps">
            <w:drawing>
              <wp:inline distT="0" distB="0" distL="0" distR="0">
                <wp:extent cx="5810250" cy="2095500"/>
                <wp:effectExtent l="0" t="0" r="0" b="0"/>
                <wp:docPr id="100" name="Group 100"/>
                <wp:cNvGraphicFramePr>
                  <a:graphicFrameLocks/>
                </wp:cNvGraphicFramePr>
                <a:graphic>
                  <a:graphicData uri="http://schemas.microsoft.com/office/word/2010/wordprocessingGroup">
                    <wpg:wgp>
                      <wpg:cNvPr id="100" name="Group 100"/>
                      <wpg:cNvGrpSpPr/>
                      <wpg:grpSpPr>
                        <a:xfrm>
                          <a:off x="0" y="0"/>
                          <a:ext cx="5810250" cy="2095500"/>
                          <a:chExt cx="5810250" cy="2095500"/>
                        </a:xfrm>
                      </wpg:grpSpPr>
                      <wps:wsp>
                        <wps:cNvPr id="101" name="Graphic 101"/>
                        <wps:cNvSpPr/>
                        <wps:spPr>
                          <a:xfrm>
                            <a:off x="0" y="0"/>
                            <a:ext cx="5810250" cy="2095500"/>
                          </a:xfrm>
                          <a:custGeom>
                            <a:avLst/>
                            <a:gdLst/>
                            <a:ahLst/>
                            <a:cxnLst/>
                            <a:rect l="l" t="t" r="r" b="b"/>
                            <a:pathLst>
                              <a:path w="5810250" h="2095500">
                                <a:moveTo>
                                  <a:pt x="5810249" y="2095486"/>
                                </a:moveTo>
                                <a:lnTo>
                                  <a:pt x="0" y="2095486"/>
                                </a:lnTo>
                                <a:lnTo>
                                  <a:pt x="0" y="0"/>
                                </a:lnTo>
                                <a:lnTo>
                                  <a:pt x="5810249" y="0"/>
                                </a:lnTo>
                                <a:lnTo>
                                  <a:pt x="5810249" y="2095486"/>
                                </a:lnTo>
                                <a:close/>
                              </a:path>
                            </a:pathLst>
                          </a:custGeom>
                          <a:solidFill>
                            <a:srgbClr val="E9F1CD"/>
                          </a:solidFill>
                        </wps:spPr>
                        <wps:bodyPr wrap="square" lIns="0" tIns="0" rIns="0" bIns="0" rtlCol="0">
                          <a:prstTxWarp prst="textNoShape">
                            <a:avLst/>
                          </a:prstTxWarp>
                          <a:noAutofit/>
                        </wps:bodyPr>
                      </wps:wsp>
                      <wps:wsp>
                        <wps:cNvPr id="102" name="Graphic 102"/>
                        <wps:cNvSpPr/>
                        <wps:spPr>
                          <a:xfrm>
                            <a:off x="133337" y="409579"/>
                            <a:ext cx="47625" cy="904875"/>
                          </a:xfrm>
                          <a:custGeom>
                            <a:avLst/>
                            <a:gdLst/>
                            <a:ahLst/>
                            <a:cxnLst/>
                            <a:rect l="l" t="t" r="r" b="b"/>
                            <a:pathLst>
                              <a:path w="47625" h="904875">
                                <a:moveTo>
                                  <a:pt x="47625" y="877862"/>
                                </a:moveTo>
                                <a:lnTo>
                                  <a:pt x="26974" y="857250"/>
                                </a:lnTo>
                                <a:lnTo>
                                  <a:pt x="20662" y="857250"/>
                                </a:lnTo>
                                <a:lnTo>
                                  <a:pt x="0" y="877862"/>
                                </a:lnTo>
                                <a:lnTo>
                                  <a:pt x="0" y="884186"/>
                                </a:lnTo>
                                <a:lnTo>
                                  <a:pt x="20662" y="904875"/>
                                </a:lnTo>
                                <a:lnTo>
                                  <a:pt x="26974" y="904875"/>
                                </a:lnTo>
                                <a:lnTo>
                                  <a:pt x="47625" y="884186"/>
                                </a:lnTo>
                                <a:lnTo>
                                  <a:pt x="47625" y="881062"/>
                                </a:lnTo>
                                <a:lnTo>
                                  <a:pt x="47625" y="877862"/>
                                </a:lnTo>
                                <a:close/>
                              </a:path>
                              <a:path w="47625" h="904875">
                                <a:moveTo>
                                  <a:pt x="47625" y="20612"/>
                                </a:moveTo>
                                <a:lnTo>
                                  <a:pt x="26974" y="0"/>
                                </a:lnTo>
                                <a:lnTo>
                                  <a:pt x="20662" y="0"/>
                                </a:lnTo>
                                <a:lnTo>
                                  <a:pt x="0" y="20612"/>
                                </a:lnTo>
                                <a:lnTo>
                                  <a:pt x="0" y="26974"/>
                                </a:lnTo>
                                <a:lnTo>
                                  <a:pt x="20662" y="47586"/>
                                </a:lnTo>
                                <a:lnTo>
                                  <a:pt x="26974" y="47586"/>
                                </a:lnTo>
                                <a:lnTo>
                                  <a:pt x="47625" y="26974"/>
                                </a:lnTo>
                                <a:lnTo>
                                  <a:pt x="47625" y="23812"/>
                                </a:lnTo>
                                <a:lnTo>
                                  <a:pt x="47625" y="20612"/>
                                </a:lnTo>
                                <a:close/>
                              </a:path>
                            </a:pathLst>
                          </a:custGeom>
                          <a:solidFill>
                            <a:srgbClr val="2B816F"/>
                          </a:solidFill>
                        </wps:spPr>
                        <wps:bodyPr wrap="square" lIns="0" tIns="0" rIns="0" bIns="0" rtlCol="0">
                          <a:prstTxWarp prst="textNoShape">
                            <a:avLst/>
                          </a:prstTxWarp>
                          <a:noAutofit/>
                        </wps:bodyPr>
                      </wps:wsp>
                      <wps:wsp>
                        <wps:cNvPr id="103" name="Textbox 103"/>
                        <wps:cNvSpPr txBox="1"/>
                        <wps:spPr>
                          <a:xfrm>
                            <a:off x="0" y="0"/>
                            <a:ext cx="5810250" cy="2095500"/>
                          </a:xfrm>
                          <a:prstGeom prst="rect">
                            <a:avLst/>
                          </a:prstGeom>
                        </wps:spPr>
                        <wps:txbx>
                          <w:txbxContent>
                            <w:p>
                              <w:pPr>
                                <w:spacing w:line="256" w:lineRule="auto" w:before="4"/>
                                <w:ind w:left="444" w:right="751" w:firstLine="0"/>
                                <w:jc w:val="both"/>
                                <w:rPr>
                                  <w:sz w:val="22"/>
                                </w:rPr>
                              </w:pPr>
                              <w:r>
                                <w:rPr>
                                  <w:sz w:val="22"/>
                                </w:rPr>
                                <w:t>must be interpreted in the context of the overall picture. We believe that this</w:t>
                              </w:r>
                              <w:r>
                                <w:rPr>
                                  <w:spacing w:val="80"/>
                                  <w:sz w:val="22"/>
                                </w:rPr>
                                <w:t> </w:t>
                              </w:r>
                              <w:r>
                                <w:rPr>
                                  <w:sz w:val="22"/>
                                </w:rPr>
                                <w:t>measurement should be part of every older individual’s annual medical assessment.</w:t>
                              </w:r>
                            </w:p>
                            <w:p>
                              <w:pPr>
                                <w:spacing w:line="256" w:lineRule="auto" w:before="0"/>
                                <w:ind w:left="444" w:right="744" w:firstLine="0"/>
                                <w:jc w:val="both"/>
                                <w:rPr>
                                  <w:sz w:val="22"/>
                                </w:rPr>
                              </w:pPr>
                              <w:r>
                                <w:rPr>
                                  <w:sz w:val="22"/>
                                </w:rPr>
                                <w:t>The choice of vitamin D supplementation dose and regimen should be dictated by the severity of deficiency, and periodic surveillance is advised to ensure effectiveness of chosen regimen and to safeguard against a small but real risk of overdosing. It </w:t>
                              </w:r>
                              <w:r>
                                <w:rPr>
                                  <w:sz w:val="22"/>
                                </w:rPr>
                                <w:t>takes</w:t>
                              </w:r>
                              <w:r>
                                <w:rPr>
                                  <w:spacing w:val="80"/>
                                  <w:sz w:val="22"/>
                                </w:rPr>
                                <w:t> </w:t>
                              </w:r>
                              <w:r>
                                <w:rPr>
                                  <w:sz w:val="22"/>
                                </w:rPr>
                                <w:t>about</w:t>
                              </w:r>
                              <w:r>
                                <w:rPr>
                                  <w:spacing w:val="40"/>
                                  <w:sz w:val="22"/>
                                </w:rPr>
                                <w:t> </w:t>
                              </w:r>
                              <w:r>
                                <w:rPr>
                                  <w:sz w:val="22"/>
                                </w:rPr>
                                <w:t>3</w:t>
                              </w:r>
                              <w:r>
                                <w:rPr>
                                  <w:spacing w:val="40"/>
                                  <w:sz w:val="22"/>
                                </w:rPr>
                                <w:t> </w:t>
                              </w:r>
                              <w:r>
                                <w:rPr>
                                  <w:sz w:val="22"/>
                                </w:rPr>
                                <w:t>months</w:t>
                              </w:r>
                              <w:r>
                                <w:rPr>
                                  <w:spacing w:val="40"/>
                                  <w:sz w:val="22"/>
                                </w:rPr>
                                <w:t> </w:t>
                              </w:r>
                              <w:r>
                                <w:rPr>
                                  <w:sz w:val="22"/>
                                </w:rPr>
                                <w:t>after</w:t>
                              </w:r>
                              <w:r>
                                <w:rPr>
                                  <w:spacing w:val="40"/>
                                  <w:sz w:val="22"/>
                                </w:rPr>
                                <w:t> </w:t>
                              </w:r>
                              <w:r>
                                <w:rPr>
                                  <w:sz w:val="22"/>
                                </w:rPr>
                                <w:t>initiation</w:t>
                              </w:r>
                              <w:r>
                                <w:rPr>
                                  <w:spacing w:val="40"/>
                                  <w:sz w:val="22"/>
                                </w:rPr>
                                <w:t> </w:t>
                              </w:r>
                              <w:r>
                                <w:rPr>
                                  <w:sz w:val="22"/>
                                </w:rPr>
                                <w:t>of</w:t>
                              </w:r>
                              <w:r>
                                <w:rPr>
                                  <w:spacing w:val="40"/>
                                  <w:sz w:val="22"/>
                                </w:rPr>
                                <w:t> </w:t>
                              </w:r>
                              <w:r>
                                <w:rPr>
                                  <w:sz w:val="22"/>
                                </w:rPr>
                                <w:t>supplementation</w:t>
                              </w:r>
                              <w:r>
                                <w:rPr>
                                  <w:spacing w:val="40"/>
                                  <w:sz w:val="22"/>
                                </w:rPr>
                                <w:t> </w:t>
                              </w:r>
                              <w:r>
                                <w:rPr>
                                  <w:sz w:val="22"/>
                                </w:rPr>
                                <w:t>for</w:t>
                              </w:r>
                              <w:r>
                                <w:rPr>
                                  <w:spacing w:val="40"/>
                                  <w:sz w:val="22"/>
                                </w:rPr>
                                <w:t> </w:t>
                              </w:r>
                              <w:r>
                                <w:rPr>
                                  <w:sz w:val="22"/>
                                </w:rPr>
                                <w:t>serum</w:t>
                              </w:r>
                              <w:r>
                                <w:rPr>
                                  <w:spacing w:val="40"/>
                                  <w:sz w:val="22"/>
                                </w:rPr>
                                <w:t> </w:t>
                              </w:r>
                              <w:r>
                                <w:rPr>
                                  <w:sz w:val="22"/>
                                </w:rPr>
                                <w:t>levels</w:t>
                              </w:r>
                              <w:r>
                                <w:rPr>
                                  <w:spacing w:val="40"/>
                                  <w:sz w:val="22"/>
                                </w:rPr>
                                <w:t> </w:t>
                              </w:r>
                              <w:r>
                                <w:rPr>
                                  <w:sz w:val="22"/>
                                </w:rPr>
                                <w:t>of</w:t>
                              </w:r>
                              <w:r>
                                <w:rPr>
                                  <w:spacing w:val="40"/>
                                  <w:sz w:val="22"/>
                                </w:rPr>
                                <w:t> </w:t>
                              </w:r>
                              <w:r>
                                <w:rPr>
                                  <w:sz w:val="22"/>
                                </w:rPr>
                                <w:t>25-hydroxyvitamin D to reach a new steady state after a change in dose.</w:t>
                              </w:r>
                            </w:p>
                            <w:p>
                              <w:pPr>
                                <w:spacing w:line="256" w:lineRule="auto" w:before="0"/>
                                <w:ind w:left="444" w:right="753" w:firstLine="0"/>
                                <w:jc w:val="both"/>
                                <w:rPr>
                                  <w:sz w:val="22"/>
                                </w:rPr>
                              </w:pPr>
                              <w:r>
                                <w:rPr>
                                  <w:sz w:val="22"/>
                                </w:rPr>
                                <w:t>Patients who lose bone despite adequate treatment for bone loss must have serum </w:t>
                              </w:r>
                              <w:r>
                                <w:rPr>
                                  <w:sz w:val="22"/>
                                </w:rPr>
                                <w:t>25-hydroxyvitamin</w:t>
                              </w:r>
                              <w:r>
                                <w:rPr>
                                  <w:spacing w:val="27"/>
                                  <w:sz w:val="22"/>
                                </w:rPr>
                                <w:t> </w:t>
                              </w:r>
                              <w:r>
                                <w:rPr>
                                  <w:sz w:val="22"/>
                                </w:rPr>
                                <w:t>D</w:t>
                              </w:r>
                              <w:r>
                                <w:rPr>
                                  <w:spacing w:val="27"/>
                                  <w:sz w:val="22"/>
                                </w:rPr>
                                <w:t> </w:t>
                              </w:r>
                              <w:r>
                                <w:rPr>
                                  <w:sz w:val="22"/>
                                </w:rPr>
                                <w:t>and</w:t>
                              </w:r>
                              <w:r>
                                <w:rPr>
                                  <w:spacing w:val="27"/>
                                  <w:sz w:val="22"/>
                                </w:rPr>
                                <w:t> </w:t>
                              </w:r>
                              <w:r>
                                <w:rPr>
                                  <w:sz w:val="22"/>
                                </w:rPr>
                                <w:t>calcium</w:t>
                              </w:r>
                              <w:r>
                                <w:rPr>
                                  <w:spacing w:val="27"/>
                                  <w:sz w:val="22"/>
                                </w:rPr>
                                <w:t> </w:t>
                              </w:r>
                              <w:r>
                                <w:rPr>
                                  <w:sz w:val="22"/>
                                </w:rPr>
                                <w:t>measurements</w:t>
                              </w:r>
                              <w:r>
                                <w:rPr>
                                  <w:spacing w:val="27"/>
                                  <w:sz w:val="22"/>
                                </w:rPr>
                                <w:t> </w:t>
                              </w:r>
                              <w:r>
                                <w:rPr>
                                  <w:sz w:val="22"/>
                                </w:rPr>
                                <w:t>because</w:t>
                              </w:r>
                              <w:r>
                                <w:rPr>
                                  <w:spacing w:val="27"/>
                                  <w:sz w:val="22"/>
                                </w:rPr>
                                <w:t> </w:t>
                              </w:r>
                              <w:r>
                                <w:rPr>
                                  <w:sz w:val="22"/>
                                </w:rPr>
                                <w:t>inadequate</w:t>
                              </w:r>
                              <w:r>
                                <w:rPr>
                                  <w:spacing w:val="27"/>
                                  <w:sz w:val="22"/>
                                </w:rPr>
                                <w:t> </w:t>
                              </w:r>
                              <w:r>
                                <w:rPr>
                                  <w:sz w:val="22"/>
                                </w:rPr>
                                <w:t>calcium</w:t>
                              </w:r>
                              <w:r>
                                <w:rPr>
                                  <w:spacing w:val="27"/>
                                  <w:sz w:val="22"/>
                                </w:rPr>
                                <w:t> </w:t>
                              </w:r>
                              <w:r>
                                <w:rPr>
                                  <w:sz w:val="22"/>
                                </w:rPr>
                                <w:t>and</w:t>
                              </w:r>
                              <w:r>
                                <w:rPr>
                                  <w:spacing w:val="27"/>
                                  <w:sz w:val="22"/>
                                </w:rPr>
                                <w:t> </w:t>
                              </w:r>
                              <w:r>
                                <w:rPr>
                                  <w:sz w:val="22"/>
                                </w:rPr>
                                <w:t>vitamin D can be an easily correctable reason for suboptimal response to effective regimens.</w:t>
                              </w:r>
                            </w:p>
                          </w:txbxContent>
                        </wps:txbx>
                        <wps:bodyPr wrap="square" lIns="0" tIns="0" rIns="0" bIns="0" rtlCol="0">
                          <a:noAutofit/>
                        </wps:bodyPr>
                      </wps:wsp>
                    </wpg:wgp>
                  </a:graphicData>
                </a:graphic>
              </wp:inline>
            </w:drawing>
          </mc:Choice>
          <mc:Fallback>
            <w:pict>
              <v:group style="width:457.5pt;height:165pt;mso-position-horizontal-relative:char;mso-position-vertical-relative:line" id="docshapegroup86" coordorigin="0,0" coordsize="9150,3300">
                <v:rect style="position:absolute;left:0;top:0;width:9150;height:3300" id="docshape87" filled="true" fillcolor="#e9f1cd" stroked="false">
                  <v:fill type="solid"/>
                </v:rect>
                <v:shape style="position:absolute;left:209;top:645;width:75;height:1425" id="docshape88" coordorigin="210,645" coordsize="75,1425" path="m285,2027l284,2023,280,2013,278,2009,271,2002,266,2000,257,1996,252,1995,243,1995,238,1996,229,2000,224,2002,217,2009,215,2013,211,2023,210,2027,210,2037,211,2042,215,2051,217,2055,224,2063,229,2065,238,2069,243,2070,252,2070,257,2069,266,2065,271,2063,278,2055,280,2051,284,2042,285,2037,285,2033,285,2027xm285,677l284,673,280,664,278,659,271,652,266,650,257,646,252,645,243,645,238,646,229,650,224,652,217,659,215,664,211,673,210,677,210,687,211,692,215,701,217,705,224,712,229,715,238,719,243,720,252,720,257,719,266,715,271,712,278,705,280,701,284,692,285,687,285,683,285,677xe" filled="true" fillcolor="#2b816f" stroked="false">
                  <v:path arrowok="t"/>
                  <v:fill type="solid"/>
                </v:shape>
                <v:shape style="position:absolute;left:0;top:0;width:9150;height:3300" type="#_x0000_t202" id="docshape89" filled="false" stroked="false">
                  <v:textbox inset="0,0,0,0">
                    <w:txbxContent>
                      <w:p>
                        <w:pPr>
                          <w:spacing w:line="256" w:lineRule="auto" w:before="4"/>
                          <w:ind w:left="444" w:right="751" w:firstLine="0"/>
                          <w:jc w:val="both"/>
                          <w:rPr>
                            <w:sz w:val="22"/>
                          </w:rPr>
                        </w:pPr>
                        <w:r>
                          <w:rPr>
                            <w:sz w:val="22"/>
                          </w:rPr>
                          <w:t>must be interpreted in the context of the overall picture. We believe that this</w:t>
                        </w:r>
                        <w:r>
                          <w:rPr>
                            <w:spacing w:val="80"/>
                            <w:sz w:val="22"/>
                          </w:rPr>
                          <w:t> </w:t>
                        </w:r>
                        <w:r>
                          <w:rPr>
                            <w:sz w:val="22"/>
                          </w:rPr>
                          <w:t>measurement should be part of every older individual’s annual medical assessment.</w:t>
                        </w:r>
                      </w:p>
                      <w:p>
                        <w:pPr>
                          <w:spacing w:line="256" w:lineRule="auto" w:before="0"/>
                          <w:ind w:left="444" w:right="744" w:firstLine="0"/>
                          <w:jc w:val="both"/>
                          <w:rPr>
                            <w:sz w:val="22"/>
                          </w:rPr>
                        </w:pPr>
                        <w:r>
                          <w:rPr>
                            <w:sz w:val="22"/>
                          </w:rPr>
                          <w:t>The choice of vitamin D supplementation dose and regimen should be dictated by the severity of deficiency, and periodic surveillance is advised to ensure effectiveness of chosen regimen and to safeguard against a small but real risk of overdosing. It </w:t>
                        </w:r>
                        <w:r>
                          <w:rPr>
                            <w:sz w:val="22"/>
                          </w:rPr>
                          <w:t>takes</w:t>
                        </w:r>
                        <w:r>
                          <w:rPr>
                            <w:spacing w:val="80"/>
                            <w:sz w:val="22"/>
                          </w:rPr>
                          <w:t> </w:t>
                        </w:r>
                        <w:r>
                          <w:rPr>
                            <w:sz w:val="22"/>
                          </w:rPr>
                          <w:t>about</w:t>
                        </w:r>
                        <w:r>
                          <w:rPr>
                            <w:spacing w:val="40"/>
                            <w:sz w:val="22"/>
                          </w:rPr>
                          <w:t> </w:t>
                        </w:r>
                        <w:r>
                          <w:rPr>
                            <w:sz w:val="22"/>
                          </w:rPr>
                          <w:t>3</w:t>
                        </w:r>
                        <w:r>
                          <w:rPr>
                            <w:spacing w:val="40"/>
                            <w:sz w:val="22"/>
                          </w:rPr>
                          <w:t> </w:t>
                        </w:r>
                        <w:r>
                          <w:rPr>
                            <w:sz w:val="22"/>
                          </w:rPr>
                          <w:t>months</w:t>
                        </w:r>
                        <w:r>
                          <w:rPr>
                            <w:spacing w:val="40"/>
                            <w:sz w:val="22"/>
                          </w:rPr>
                          <w:t> </w:t>
                        </w:r>
                        <w:r>
                          <w:rPr>
                            <w:sz w:val="22"/>
                          </w:rPr>
                          <w:t>after</w:t>
                        </w:r>
                        <w:r>
                          <w:rPr>
                            <w:spacing w:val="40"/>
                            <w:sz w:val="22"/>
                          </w:rPr>
                          <w:t> </w:t>
                        </w:r>
                        <w:r>
                          <w:rPr>
                            <w:sz w:val="22"/>
                          </w:rPr>
                          <w:t>initiation</w:t>
                        </w:r>
                        <w:r>
                          <w:rPr>
                            <w:spacing w:val="40"/>
                            <w:sz w:val="22"/>
                          </w:rPr>
                          <w:t> </w:t>
                        </w:r>
                        <w:r>
                          <w:rPr>
                            <w:sz w:val="22"/>
                          </w:rPr>
                          <w:t>of</w:t>
                        </w:r>
                        <w:r>
                          <w:rPr>
                            <w:spacing w:val="40"/>
                            <w:sz w:val="22"/>
                          </w:rPr>
                          <w:t> </w:t>
                        </w:r>
                        <w:r>
                          <w:rPr>
                            <w:sz w:val="22"/>
                          </w:rPr>
                          <w:t>supplementation</w:t>
                        </w:r>
                        <w:r>
                          <w:rPr>
                            <w:spacing w:val="40"/>
                            <w:sz w:val="22"/>
                          </w:rPr>
                          <w:t> </w:t>
                        </w:r>
                        <w:r>
                          <w:rPr>
                            <w:sz w:val="22"/>
                          </w:rPr>
                          <w:t>for</w:t>
                        </w:r>
                        <w:r>
                          <w:rPr>
                            <w:spacing w:val="40"/>
                            <w:sz w:val="22"/>
                          </w:rPr>
                          <w:t> </w:t>
                        </w:r>
                        <w:r>
                          <w:rPr>
                            <w:sz w:val="22"/>
                          </w:rPr>
                          <w:t>serum</w:t>
                        </w:r>
                        <w:r>
                          <w:rPr>
                            <w:spacing w:val="40"/>
                            <w:sz w:val="22"/>
                          </w:rPr>
                          <w:t> </w:t>
                        </w:r>
                        <w:r>
                          <w:rPr>
                            <w:sz w:val="22"/>
                          </w:rPr>
                          <w:t>levels</w:t>
                        </w:r>
                        <w:r>
                          <w:rPr>
                            <w:spacing w:val="40"/>
                            <w:sz w:val="22"/>
                          </w:rPr>
                          <w:t> </w:t>
                        </w:r>
                        <w:r>
                          <w:rPr>
                            <w:sz w:val="22"/>
                          </w:rPr>
                          <w:t>of</w:t>
                        </w:r>
                        <w:r>
                          <w:rPr>
                            <w:spacing w:val="40"/>
                            <w:sz w:val="22"/>
                          </w:rPr>
                          <w:t> </w:t>
                        </w:r>
                        <w:r>
                          <w:rPr>
                            <w:sz w:val="22"/>
                          </w:rPr>
                          <w:t>25-hydroxyvitamin D to reach a new steady state after a change in dose.</w:t>
                        </w:r>
                      </w:p>
                      <w:p>
                        <w:pPr>
                          <w:spacing w:line="256" w:lineRule="auto" w:before="0"/>
                          <w:ind w:left="444" w:right="753" w:firstLine="0"/>
                          <w:jc w:val="both"/>
                          <w:rPr>
                            <w:sz w:val="22"/>
                          </w:rPr>
                        </w:pPr>
                        <w:r>
                          <w:rPr>
                            <w:sz w:val="22"/>
                          </w:rPr>
                          <w:t>Patients who lose bone despite adequate treatment for bone loss must have serum </w:t>
                        </w:r>
                        <w:r>
                          <w:rPr>
                            <w:sz w:val="22"/>
                          </w:rPr>
                          <w:t>25-hydroxyvitamin</w:t>
                        </w:r>
                        <w:r>
                          <w:rPr>
                            <w:spacing w:val="27"/>
                            <w:sz w:val="22"/>
                          </w:rPr>
                          <w:t> </w:t>
                        </w:r>
                        <w:r>
                          <w:rPr>
                            <w:sz w:val="22"/>
                          </w:rPr>
                          <w:t>D</w:t>
                        </w:r>
                        <w:r>
                          <w:rPr>
                            <w:spacing w:val="27"/>
                            <w:sz w:val="22"/>
                          </w:rPr>
                          <w:t> </w:t>
                        </w:r>
                        <w:r>
                          <w:rPr>
                            <w:sz w:val="22"/>
                          </w:rPr>
                          <w:t>and</w:t>
                        </w:r>
                        <w:r>
                          <w:rPr>
                            <w:spacing w:val="27"/>
                            <w:sz w:val="22"/>
                          </w:rPr>
                          <w:t> </w:t>
                        </w:r>
                        <w:r>
                          <w:rPr>
                            <w:sz w:val="22"/>
                          </w:rPr>
                          <w:t>calcium</w:t>
                        </w:r>
                        <w:r>
                          <w:rPr>
                            <w:spacing w:val="27"/>
                            <w:sz w:val="22"/>
                          </w:rPr>
                          <w:t> </w:t>
                        </w:r>
                        <w:r>
                          <w:rPr>
                            <w:sz w:val="22"/>
                          </w:rPr>
                          <w:t>measurements</w:t>
                        </w:r>
                        <w:r>
                          <w:rPr>
                            <w:spacing w:val="27"/>
                            <w:sz w:val="22"/>
                          </w:rPr>
                          <w:t> </w:t>
                        </w:r>
                        <w:r>
                          <w:rPr>
                            <w:sz w:val="22"/>
                          </w:rPr>
                          <w:t>because</w:t>
                        </w:r>
                        <w:r>
                          <w:rPr>
                            <w:spacing w:val="27"/>
                            <w:sz w:val="22"/>
                          </w:rPr>
                          <w:t> </w:t>
                        </w:r>
                        <w:r>
                          <w:rPr>
                            <w:sz w:val="22"/>
                          </w:rPr>
                          <w:t>inadequate</w:t>
                        </w:r>
                        <w:r>
                          <w:rPr>
                            <w:spacing w:val="27"/>
                            <w:sz w:val="22"/>
                          </w:rPr>
                          <w:t> </w:t>
                        </w:r>
                        <w:r>
                          <w:rPr>
                            <w:sz w:val="22"/>
                          </w:rPr>
                          <w:t>calcium</w:t>
                        </w:r>
                        <w:r>
                          <w:rPr>
                            <w:spacing w:val="27"/>
                            <w:sz w:val="22"/>
                          </w:rPr>
                          <w:t> </w:t>
                        </w:r>
                        <w:r>
                          <w:rPr>
                            <w:sz w:val="22"/>
                          </w:rPr>
                          <w:t>and</w:t>
                        </w:r>
                        <w:r>
                          <w:rPr>
                            <w:spacing w:val="27"/>
                            <w:sz w:val="22"/>
                          </w:rPr>
                          <w:t> </w:t>
                        </w:r>
                        <w:r>
                          <w:rPr>
                            <w:sz w:val="22"/>
                          </w:rPr>
                          <w:t>vitamin D can be an easily correctable reason for suboptimal response to effective regimens.</w:t>
                        </w:r>
                      </w:p>
                    </w:txbxContent>
                  </v:textbox>
                  <w10:wrap type="none"/>
                </v:shape>
              </v:group>
            </w:pict>
          </mc:Fallback>
        </mc:AlternateContent>
      </w:r>
      <w:r>
        <w:rPr>
          <w:sz w:val="20"/>
        </w:rPr>
      </w:r>
    </w:p>
    <w:p>
      <w:pPr>
        <w:pStyle w:val="BodyText"/>
        <w:spacing w:before="0"/>
        <w:ind w:left="0"/>
        <w:jc w:val="left"/>
        <w:rPr>
          <w:b/>
        </w:rPr>
      </w:pPr>
    </w:p>
    <w:p>
      <w:pPr>
        <w:pStyle w:val="BodyText"/>
        <w:spacing w:before="190"/>
        <w:ind w:left="0"/>
        <w:jc w:val="left"/>
        <w:rPr>
          <w:b/>
        </w:rPr>
      </w:pPr>
    </w:p>
    <w:p>
      <w:pPr>
        <w:pStyle w:val="BodyText"/>
        <w:spacing w:line="249" w:lineRule="auto" w:before="0"/>
        <w:ind w:right="98" w:firstLine="450"/>
      </w:pPr>
      <w:r>
        <w:rPr/>
        <w:t>Given these facts, how can we determine how much vitamin D to </w:t>
      </w:r>
      <w:r>
        <w:rPr/>
        <w:t>give</w:t>
      </w:r>
      <w:r>
        <w:rPr>
          <w:spacing w:val="40"/>
        </w:rPr>
        <w:t> </w:t>
      </w:r>
      <w:r>
        <w:rPr/>
        <w:t>to an individual patient? A collection of bone experts reached a consensus by considering the amount of vitamin D supplementation required to</w:t>
      </w:r>
      <w:r>
        <w:rPr>
          <w:spacing w:val="40"/>
        </w:rPr>
        <w:t> </w:t>
      </w:r>
      <w:r>
        <w:rPr/>
        <w:t>change blood levels of 25-hydroxyvitamin D and PTH, correlating this information with the levels of vitamin D required to prevent bone loss.</w:t>
      </w:r>
      <w:r>
        <w:rPr>
          <w:vertAlign w:val="superscript"/>
        </w:rPr>
        <w:t>228</w:t>
      </w:r>
      <w:r>
        <w:rPr>
          <w:vertAlign w:val="baseline"/>
        </w:rPr>
        <w:t> The U.S. IOM recommends intake of 600 IU as the daily allowance of vitamin D for postmenopausal women until age 70, with an increase in recommended</w:t>
      </w:r>
      <w:r>
        <w:rPr>
          <w:spacing w:val="-5"/>
          <w:vertAlign w:val="baseline"/>
        </w:rPr>
        <w:t> </w:t>
      </w:r>
      <w:r>
        <w:rPr>
          <w:vertAlign w:val="baseline"/>
        </w:rPr>
        <w:t>allowance</w:t>
      </w:r>
      <w:r>
        <w:rPr>
          <w:spacing w:val="-5"/>
          <w:vertAlign w:val="baseline"/>
        </w:rPr>
        <w:t> </w:t>
      </w:r>
      <w:r>
        <w:rPr>
          <w:vertAlign w:val="baseline"/>
        </w:rPr>
        <w:t>to</w:t>
      </w:r>
      <w:r>
        <w:rPr>
          <w:spacing w:val="-5"/>
          <w:vertAlign w:val="baseline"/>
        </w:rPr>
        <w:t> </w:t>
      </w:r>
      <w:r>
        <w:rPr>
          <w:vertAlign w:val="baseline"/>
        </w:rPr>
        <w:t>800</w:t>
      </w:r>
      <w:r>
        <w:rPr>
          <w:spacing w:val="-5"/>
          <w:vertAlign w:val="baseline"/>
        </w:rPr>
        <w:t> </w:t>
      </w:r>
      <w:r>
        <w:rPr>
          <w:vertAlign w:val="baseline"/>
        </w:rPr>
        <w:t>IU</w:t>
      </w:r>
      <w:r>
        <w:rPr>
          <w:spacing w:val="-5"/>
          <w:vertAlign w:val="baseline"/>
        </w:rPr>
        <w:t> </w:t>
      </w:r>
      <w:r>
        <w:rPr>
          <w:vertAlign w:val="baseline"/>
        </w:rPr>
        <w:t>daily</w:t>
      </w:r>
      <w:r>
        <w:rPr>
          <w:spacing w:val="-5"/>
          <w:vertAlign w:val="baseline"/>
        </w:rPr>
        <w:t> </w:t>
      </w:r>
      <w:r>
        <w:rPr>
          <w:vertAlign w:val="baseline"/>
        </w:rPr>
        <w:t>for</w:t>
      </w:r>
      <w:r>
        <w:rPr>
          <w:spacing w:val="-5"/>
          <w:vertAlign w:val="baseline"/>
        </w:rPr>
        <w:t> </w:t>
      </w:r>
      <w:r>
        <w:rPr>
          <w:vertAlign w:val="baseline"/>
        </w:rPr>
        <w:t>women</w:t>
      </w:r>
      <w:r>
        <w:rPr>
          <w:spacing w:val="-5"/>
          <w:vertAlign w:val="baseline"/>
        </w:rPr>
        <w:t> </w:t>
      </w:r>
      <w:r>
        <w:rPr>
          <w:vertAlign w:val="baseline"/>
        </w:rPr>
        <w:t>71</w:t>
      </w:r>
      <w:r>
        <w:rPr>
          <w:spacing w:val="-5"/>
          <w:vertAlign w:val="baseline"/>
        </w:rPr>
        <w:t> </w:t>
      </w:r>
      <w:r>
        <w:rPr>
          <w:vertAlign w:val="baseline"/>
        </w:rPr>
        <w:t>and</w:t>
      </w:r>
      <w:r>
        <w:rPr>
          <w:spacing w:val="-5"/>
          <w:vertAlign w:val="baseline"/>
        </w:rPr>
        <w:t> </w:t>
      </w:r>
      <w:r>
        <w:rPr>
          <w:vertAlign w:val="baseline"/>
        </w:rPr>
        <w:t>older.</w:t>
      </w:r>
      <w:r>
        <w:rPr>
          <w:spacing w:val="-5"/>
          <w:vertAlign w:val="baseline"/>
        </w:rPr>
        <w:t> </w:t>
      </w:r>
      <w:r>
        <w:rPr>
          <w:vertAlign w:val="baseline"/>
        </w:rPr>
        <w:t>However, in women with documented evidence of vitamin D deficiency (serum 25-hydroxyvitamin D &lt;30 ng/mL), doses as high as 1,500 to 2,000 IU/d can be safely utilized to achieve levels required to maintain the optimal serum</w:t>
      </w:r>
      <w:r>
        <w:rPr>
          <w:spacing w:val="40"/>
          <w:vertAlign w:val="baseline"/>
        </w:rPr>
        <w:t> </w:t>
      </w:r>
      <w:r>
        <w:rPr>
          <w:vertAlign w:val="baseline"/>
        </w:rPr>
        <w:t>level of 25-hydroxyvitamin D greater than 30 ng/mL. Short durations (3 months) of higher dose regimens are often utilized to restore low levels of 25-hydroxyvitamin</w:t>
      </w:r>
      <w:r>
        <w:rPr>
          <w:spacing w:val="2"/>
          <w:vertAlign w:val="baseline"/>
        </w:rPr>
        <w:t> </w:t>
      </w:r>
      <w:r>
        <w:rPr>
          <w:vertAlign w:val="baseline"/>
        </w:rPr>
        <w:t>D</w:t>
      </w:r>
      <w:r>
        <w:rPr>
          <w:spacing w:val="2"/>
          <w:vertAlign w:val="baseline"/>
        </w:rPr>
        <w:t> </w:t>
      </w:r>
      <w:r>
        <w:rPr>
          <w:vertAlign w:val="baseline"/>
        </w:rPr>
        <w:t>to</w:t>
      </w:r>
      <w:r>
        <w:rPr>
          <w:spacing w:val="3"/>
          <w:vertAlign w:val="baseline"/>
        </w:rPr>
        <w:t> </w:t>
      </w:r>
      <w:r>
        <w:rPr>
          <w:vertAlign w:val="baseline"/>
        </w:rPr>
        <w:t>normal,</w:t>
      </w:r>
      <w:r>
        <w:rPr>
          <w:spacing w:val="2"/>
          <w:vertAlign w:val="baseline"/>
        </w:rPr>
        <w:t> </w:t>
      </w:r>
      <w:r>
        <w:rPr>
          <w:vertAlign w:val="baseline"/>
        </w:rPr>
        <w:t>such</w:t>
      </w:r>
      <w:r>
        <w:rPr>
          <w:spacing w:val="2"/>
          <w:vertAlign w:val="baseline"/>
        </w:rPr>
        <w:t> </w:t>
      </w:r>
      <w:r>
        <w:rPr>
          <w:vertAlign w:val="baseline"/>
        </w:rPr>
        <w:t>as</w:t>
      </w:r>
      <w:r>
        <w:rPr>
          <w:spacing w:val="3"/>
          <w:vertAlign w:val="baseline"/>
        </w:rPr>
        <w:t> </w:t>
      </w:r>
      <w:r>
        <w:rPr>
          <w:vertAlign w:val="baseline"/>
        </w:rPr>
        <w:t>50,000</w:t>
      </w:r>
      <w:r>
        <w:rPr>
          <w:spacing w:val="2"/>
          <w:vertAlign w:val="baseline"/>
        </w:rPr>
        <w:t> </w:t>
      </w:r>
      <w:r>
        <w:rPr>
          <w:vertAlign w:val="baseline"/>
        </w:rPr>
        <w:t>IU</w:t>
      </w:r>
      <w:r>
        <w:rPr>
          <w:spacing w:val="3"/>
          <w:vertAlign w:val="baseline"/>
        </w:rPr>
        <w:t> </w:t>
      </w:r>
      <w:r>
        <w:rPr>
          <w:vertAlign w:val="baseline"/>
        </w:rPr>
        <w:t>vitamin</w:t>
      </w:r>
      <w:r>
        <w:rPr>
          <w:spacing w:val="2"/>
          <w:vertAlign w:val="baseline"/>
        </w:rPr>
        <w:t> </w:t>
      </w:r>
      <w:r>
        <w:rPr>
          <w:vertAlign w:val="baseline"/>
        </w:rPr>
        <w:t>D</w:t>
      </w:r>
      <w:r>
        <w:rPr>
          <w:vertAlign w:val="subscript"/>
        </w:rPr>
        <w:t>2</w:t>
      </w:r>
      <w:r>
        <w:rPr>
          <w:spacing w:val="6"/>
          <w:vertAlign w:val="baseline"/>
        </w:rPr>
        <w:t> </w:t>
      </w:r>
      <w:r>
        <w:rPr>
          <w:vertAlign w:val="baseline"/>
        </w:rPr>
        <w:t>(available</w:t>
      </w:r>
      <w:r>
        <w:rPr>
          <w:spacing w:val="7"/>
          <w:vertAlign w:val="baseline"/>
        </w:rPr>
        <w:t> </w:t>
      </w:r>
      <w:r>
        <w:rPr>
          <w:spacing w:val="-5"/>
          <w:vertAlign w:val="baseline"/>
        </w:rPr>
        <w:t>as</w:t>
      </w:r>
    </w:p>
    <w:p>
      <w:pPr>
        <w:pStyle w:val="BodyText"/>
        <w:spacing w:line="249" w:lineRule="auto" w:before="62"/>
        <w:ind w:right="99"/>
      </w:pPr>
      <w:r>
        <w:rPr/>
        <w:t>prescribed formulation in the United States) administered once or </w:t>
      </w:r>
      <w:r>
        <w:rPr/>
        <w:t>twice weekly</w:t>
      </w:r>
      <w:r>
        <w:rPr>
          <w:spacing w:val="-1"/>
        </w:rPr>
        <w:t> </w:t>
      </w:r>
      <w:r>
        <w:rPr/>
        <w:t>for</w:t>
      </w:r>
      <w:r>
        <w:rPr>
          <w:spacing w:val="-1"/>
        </w:rPr>
        <w:t> </w:t>
      </w:r>
      <w:r>
        <w:rPr/>
        <w:t>3</w:t>
      </w:r>
      <w:r>
        <w:rPr>
          <w:spacing w:val="-1"/>
        </w:rPr>
        <w:t> </w:t>
      </w:r>
      <w:r>
        <w:rPr/>
        <w:t>to</w:t>
      </w:r>
      <w:r>
        <w:rPr>
          <w:spacing w:val="-1"/>
        </w:rPr>
        <w:t> </w:t>
      </w:r>
      <w:r>
        <w:rPr/>
        <w:t>6</w:t>
      </w:r>
      <w:r>
        <w:rPr>
          <w:spacing w:val="-1"/>
        </w:rPr>
        <w:t> </w:t>
      </w:r>
      <w:r>
        <w:rPr/>
        <w:t>months</w:t>
      </w:r>
      <w:r>
        <w:rPr>
          <w:spacing w:val="-1"/>
        </w:rPr>
        <w:t> </w:t>
      </w:r>
      <w:r>
        <w:rPr/>
        <w:t>followed</w:t>
      </w:r>
      <w:r>
        <w:rPr>
          <w:spacing w:val="-1"/>
        </w:rPr>
        <w:t> </w:t>
      </w:r>
      <w:r>
        <w:rPr/>
        <w:t>by</w:t>
      </w:r>
      <w:r>
        <w:rPr>
          <w:spacing w:val="-1"/>
        </w:rPr>
        <w:t> </w:t>
      </w:r>
      <w:r>
        <w:rPr/>
        <w:t>a</w:t>
      </w:r>
      <w:r>
        <w:rPr>
          <w:spacing w:val="-1"/>
        </w:rPr>
        <w:t> </w:t>
      </w:r>
      <w:r>
        <w:rPr/>
        <w:t>switch</w:t>
      </w:r>
      <w:r>
        <w:rPr>
          <w:spacing w:val="-1"/>
        </w:rPr>
        <w:t> </w:t>
      </w:r>
      <w:r>
        <w:rPr/>
        <w:t>to</w:t>
      </w:r>
      <w:r>
        <w:rPr>
          <w:spacing w:val="-1"/>
        </w:rPr>
        <w:t> </w:t>
      </w:r>
      <w:r>
        <w:rPr/>
        <w:t>lower</w:t>
      </w:r>
      <w:r>
        <w:rPr>
          <w:spacing w:val="-1"/>
        </w:rPr>
        <w:t> </w:t>
      </w:r>
      <w:r>
        <w:rPr/>
        <w:t>dose</w:t>
      </w:r>
      <w:r>
        <w:rPr>
          <w:spacing w:val="-1"/>
        </w:rPr>
        <w:t> </w:t>
      </w:r>
      <w:r>
        <w:rPr/>
        <w:t>daily</w:t>
      </w:r>
      <w:r>
        <w:rPr>
          <w:spacing w:val="-1"/>
        </w:rPr>
        <w:t> </w:t>
      </w:r>
      <w:r>
        <w:rPr/>
        <w:t>regimens of 600 to 2,000 IU. Toxic doses of vitamin D (enough to produce hypercalcemia) are far beyond these recommendations.</w:t>
      </w:r>
    </w:p>
    <w:p>
      <w:pPr>
        <w:pStyle w:val="BodyText"/>
        <w:spacing w:before="48"/>
        <w:ind w:left="0"/>
        <w:jc w:val="left"/>
      </w:pPr>
    </w:p>
    <w:p>
      <w:pPr>
        <w:spacing w:before="1"/>
        <w:ind w:left="99" w:right="0" w:firstLine="0"/>
        <w:jc w:val="left"/>
        <w:rPr>
          <w:rFonts w:ascii="Arial"/>
          <w:b/>
          <w:sz w:val="30"/>
        </w:rPr>
      </w:pPr>
      <w:r>
        <w:rPr>
          <w:rFonts w:ascii="Arial"/>
          <w:b/>
          <w:color w:val="2674AE"/>
          <w:spacing w:val="-2"/>
          <w:sz w:val="30"/>
        </w:rPr>
        <w:t>Bisphosphonates</w:t>
      </w:r>
    </w:p>
    <w:p>
      <w:pPr>
        <w:pStyle w:val="BodyText"/>
        <w:spacing w:line="249" w:lineRule="auto" w:before="166"/>
        <w:ind w:right="102"/>
      </w:pPr>
      <w:r>
        <w:rPr/>
        <w:t>Bisphosphonates are effective in preventing bone loss by enhancing osteoclast apoptosis and inhibiting bone resorption. The </w:t>
      </w:r>
      <w:r>
        <w:rPr/>
        <w:t>bisphosphonates share</w:t>
      </w:r>
      <w:r>
        <w:rPr>
          <w:spacing w:val="15"/>
        </w:rPr>
        <w:t> </w:t>
      </w:r>
      <w:r>
        <w:rPr/>
        <w:t>a</w:t>
      </w:r>
      <w:r>
        <w:rPr>
          <w:spacing w:val="15"/>
        </w:rPr>
        <w:t> </w:t>
      </w:r>
      <w:r>
        <w:rPr/>
        <w:t>basic</w:t>
      </w:r>
      <w:r>
        <w:rPr>
          <w:spacing w:val="15"/>
        </w:rPr>
        <w:t> </w:t>
      </w:r>
      <w:r>
        <w:rPr/>
        <w:t>phosphate-carbon-phosphate</w:t>
      </w:r>
      <w:r>
        <w:rPr>
          <w:spacing w:val="15"/>
        </w:rPr>
        <w:t> </w:t>
      </w:r>
      <w:r>
        <w:rPr/>
        <w:t>core</w:t>
      </w:r>
      <w:r>
        <w:rPr>
          <w:spacing w:val="15"/>
        </w:rPr>
        <w:t> </w:t>
      </w:r>
      <w:r>
        <w:rPr/>
        <w:t>and</w:t>
      </w:r>
      <w:r>
        <w:rPr>
          <w:spacing w:val="15"/>
        </w:rPr>
        <w:t> </w:t>
      </w:r>
      <w:r>
        <w:rPr/>
        <w:t>bind</w:t>
      </w:r>
      <w:r>
        <w:rPr>
          <w:spacing w:val="15"/>
        </w:rPr>
        <w:t> </w:t>
      </w:r>
      <w:r>
        <w:rPr/>
        <w:t>avidly</w:t>
      </w:r>
      <w:r>
        <w:rPr>
          <w:spacing w:val="15"/>
        </w:rPr>
        <w:t> </w:t>
      </w:r>
      <w:r>
        <w:rPr/>
        <w:t>to</w:t>
      </w:r>
      <w:r>
        <w:rPr>
          <w:spacing w:val="15"/>
        </w:rPr>
        <w:t> </w:t>
      </w:r>
      <w:r>
        <w:rPr/>
        <w:t>the</w:t>
      </w:r>
      <w:r>
        <w:rPr>
          <w:spacing w:val="15"/>
        </w:rPr>
        <w:t> </w:t>
      </w:r>
      <w:r>
        <w:rPr>
          <w:spacing w:val="-4"/>
        </w:rPr>
        <w:t>bone</w:t>
      </w:r>
    </w:p>
    <w:p>
      <w:pPr>
        <w:pStyle w:val="BodyText"/>
        <w:spacing w:after="0" w:line="249" w:lineRule="auto"/>
        <w:sectPr>
          <w:pgSz w:w="12240" w:h="15840"/>
          <w:pgMar w:top="1440" w:bottom="280" w:left="1440" w:right="1440"/>
        </w:sectPr>
      </w:pPr>
    </w:p>
    <w:p>
      <w:pPr>
        <w:pStyle w:val="BodyText"/>
        <w:spacing w:line="249" w:lineRule="auto"/>
        <w:ind w:right="103"/>
      </w:pPr>
      <w:r>
        <w:rPr/>
        <w:t>mineral calcium where they remain for many years, making bone less susceptible to osteoclastic action. The first generation of </w:t>
      </w:r>
      <w:r>
        <w:rPr/>
        <w:t>bisphosphonates (etidronate) also inhibited bone mineralization, and therefore intermittent therapy was necessary. The newer generations of bisphosphonates allow bone formation to occur while inhibiting bone resorption and make it possible to use continuous therapy rather than intermittent therapy.</w:t>
      </w:r>
    </w:p>
    <w:p>
      <w:pPr>
        <w:spacing w:line="249" w:lineRule="auto" w:before="7"/>
        <w:ind w:left="99" w:right="97" w:firstLine="450"/>
        <w:jc w:val="both"/>
        <w:rPr>
          <w:b/>
          <w:sz w:val="30"/>
        </w:rPr>
      </w:pPr>
      <w:r>
        <w:rPr>
          <w:b/>
          <w:sz w:val="30"/>
        </w:rPr>
        <w:t>Diagnostic screening with the laboratory tests previously noted </w:t>
      </w:r>
      <w:r>
        <w:rPr>
          <w:b/>
          <w:sz w:val="30"/>
        </w:rPr>
        <w:t>is important before the administration of bone-specific drugs in order to avoid inappropriate treatment in the presence of a secondary cause for osteoporosis, especially renal disease.</w:t>
      </w:r>
    </w:p>
    <w:p>
      <w:pPr>
        <w:pStyle w:val="BodyText"/>
        <w:spacing w:line="249" w:lineRule="auto" w:before="5"/>
        <w:ind w:right="99" w:firstLine="450"/>
      </w:pPr>
      <w:r>
        <w:rPr/>
        <w:t>Oral bisphosphonates must be taken on an empty stomach with a </w:t>
      </w:r>
      <w:r>
        <w:rPr/>
        <w:t>full glass only of water, no other liquid, at least 30 minutes before any other food or liquid intake in order to achieve adequate absorption. A failure to remain upright for at least 30 to 60 minutes and until after the first food intake of the day after ingesting bisphosphonates can result in esophageal injuries, such as esophagitis, esophageal ulcers, and esophageal erosions with bleeding.</w:t>
      </w:r>
      <w:r>
        <w:rPr>
          <w:vertAlign w:val="superscript"/>
        </w:rPr>
        <w:t>229</w:t>
      </w:r>
      <w:r>
        <w:rPr>
          <w:vertAlign w:val="baseline"/>
        </w:rPr>
        <w:t> Upper gastrointestinal problems in clinical trials (with carefully instructed and monitored subjects) are similar when comparing alendronate treatment with placebo, indicating that improper usage is the culprit.</w:t>
      </w:r>
      <w:r>
        <w:rPr>
          <w:vertAlign w:val="superscript"/>
        </w:rPr>
        <w:t>230,231</w:t>
      </w:r>
      <w:r>
        <w:rPr>
          <w:vertAlign w:val="baseline"/>
        </w:rPr>
        <w:t> Risedronate (Actonel), 5 mg daily, is as effective as alendronate (Fosamax) for the prevention of bone loss, provides similar protection against fractures, and may be better tolerated.</w:t>
      </w:r>
      <w:r>
        <w:rPr>
          <w:vertAlign w:val="superscript"/>
        </w:rPr>
        <w:t>232-236</w:t>
      </w:r>
      <w:r>
        <w:rPr>
          <w:vertAlign w:val="baseline"/>
        </w:rPr>
        <w:t> Other equally effective bisphosphonates include ibandronate (Boniva) and zoledronic acid (Reclast, Aclasta). Notably, zoledronic acid administered as a single 5-mg dose intravenously protects against bone loss for at least 2 years.</w:t>
      </w:r>
      <w:r>
        <w:rPr>
          <w:vertAlign w:val="superscript"/>
        </w:rPr>
        <w:t>237,238</w:t>
      </w:r>
    </w:p>
    <w:p>
      <w:pPr>
        <w:pStyle w:val="BodyText"/>
        <w:spacing w:line="249" w:lineRule="auto" w:before="18"/>
        <w:ind w:right="98" w:firstLine="450"/>
      </w:pPr>
      <w:r>
        <w:rPr/>
        <w:t>The mechanism for the gastrointestinal reactions is an interference </w:t>
      </w:r>
      <w:r>
        <w:rPr/>
        <w:t>with the normal healing process that repairs trauma associated with eating. With less frequent exposure, this healing is allowed to proceed unimpeded. Periodic administration with equivalent bone efficacy is possible because of the high affinity of bisphosphonates for bone. Thus, weekly administration of alendronate and risedronate, each in a dose of 35 mg for prevention and 70 mg for treatment, reduces side effects and produces similar increases in bone density compared with a daily regimen.</w:t>
      </w:r>
      <w:r>
        <w:rPr>
          <w:vertAlign w:val="superscript"/>
        </w:rPr>
        <w:t>239-243</w:t>
      </w:r>
    </w:p>
    <w:p>
      <w:pPr>
        <w:pStyle w:val="BodyText"/>
        <w:spacing w:line="249" w:lineRule="auto" w:before="10"/>
        <w:ind w:right="106" w:firstLine="450"/>
      </w:pPr>
      <w:r>
        <w:rPr/>
        <w:t>In women with osteoporosis, alendronate (10 mg daily) </w:t>
      </w:r>
      <w:r>
        <w:rPr/>
        <w:t>administration reduced the risk of all subsequent fractures by 30% and vertebral fractures by</w:t>
      </w:r>
      <w:r>
        <w:rPr>
          <w:spacing w:val="49"/>
          <w:w w:val="150"/>
        </w:rPr>
        <w:t> </w:t>
      </w:r>
      <w:r>
        <w:rPr/>
        <w:t>50%</w:t>
      </w:r>
      <w:r>
        <w:rPr>
          <w:spacing w:val="49"/>
          <w:w w:val="150"/>
        </w:rPr>
        <w:t> </w:t>
      </w:r>
      <w:r>
        <w:rPr/>
        <w:t>in</w:t>
      </w:r>
      <w:r>
        <w:rPr>
          <w:spacing w:val="49"/>
          <w:w w:val="150"/>
        </w:rPr>
        <w:t> </w:t>
      </w:r>
      <w:r>
        <w:rPr/>
        <w:t>3</w:t>
      </w:r>
      <w:r>
        <w:rPr>
          <w:spacing w:val="49"/>
          <w:w w:val="150"/>
        </w:rPr>
        <w:t> </w:t>
      </w:r>
      <w:r>
        <w:rPr/>
        <w:t>to</w:t>
      </w:r>
      <w:r>
        <w:rPr>
          <w:spacing w:val="49"/>
          <w:w w:val="150"/>
        </w:rPr>
        <w:t> </w:t>
      </w:r>
      <w:r>
        <w:rPr/>
        <w:t>4</w:t>
      </w:r>
      <w:r>
        <w:rPr>
          <w:spacing w:val="50"/>
          <w:w w:val="150"/>
        </w:rPr>
        <w:t> </w:t>
      </w:r>
      <w:r>
        <w:rPr/>
        <w:t>years</w:t>
      </w:r>
      <w:r>
        <w:rPr>
          <w:spacing w:val="49"/>
          <w:w w:val="150"/>
        </w:rPr>
        <w:t> </w:t>
      </w:r>
      <w:r>
        <w:rPr/>
        <w:t>of</w:t>
      </w:r>
      <w:r>
        <w:rPr>
          <w:spacing w:val="49"/>
          <w:w w:val="150"/>
        </w:rPr>
        <w:t> </w:t>
      </w:r>
      <w:r>
        <w:rPr/>
        <w:t>treatment.</w:t>
      </w:r>
      <w:r>
        <w:rPr>
          <w:vertAlign w:val="superscript"/>
        </w:rPr>
        <w:t>244-246</w:t>
      </w:r>
      <w:r>
        <w:rPr>
          <w:spacing w:val="50"/>
          <w:w w:val="150"/>
          <w:vertAlign w:val="baseline"/>
        </w:rPr>
        <w:t> </w:t>
      </w:r>
      <w:r>
        <w:rPr>
          <w:vertAlign w:val="baseline"/>
        </w:rPr>
        <w:t>In</w:t>
      </w:r>
      <w:r>
        <w:rPr>
          <w:spacing w:val="51"/>
          <w:w w:val="150"/>
          <w:vertAlign w:val="baseline"/>
        </w:rPr>
        <w:t> </w:t>
      </w:r>
      <w:r>
        <w:rPr>
          <w:vertAlign w:val="baseline"/>
        </w:rPr>
        <w:t>normal</w:t>
      </w:r>
      <w:r>
        <w:rPr>
          <w:spacing w:val="51"/>
          <w:w w:val="150"/>
          <w:vertAlign w:val="baseline"/>
        </w:rPr>
        <w:t> </w:t>
      </w:r>
      <w:r>
        <w:rPr>
          <w:spacing w:val="-2"/>
          <w:vertAlign w:val="baseline"/>
        </w:rPr>
        <w:t>postmenopausal</w:t>
      </w:r>
    </w:p>
    <w:p>
      <w:pPr>
        <w:pStyle w:val="BodyText"/>
        <w:spacing w:after="0" w:line="249" w:lineRule="auto"/>
        <w:sectPr>
          <w:pgSz w:w="12240" w:h="15840"/>
          <w:pgMar w:top="1380" w:bottom="280" w:left="1440" w:right="1440"/>
        </w:sectPr>
      </w:pPr>
    </w:p>
    <w:p>
      <w:pPr>
        <w:pStyle w:val="BodyText"/>
        <w:spacing w:line="249" w:lineRule="auto"/>
        <w:ind w:right="103"/>
      </w:pPr>
      <w:r>
        <w:rPr/>
        <w:t>women, alendronate increased bone density in both the spine and the hip, and the 5-mg dose (the preferred dose for preventive treatment) was </w:t>
      </w:r>
      <w:r>
        <w:rPr/>
        <w:t>more effective than the 2.5 mg dose.</w:t>
      </w:r>
      <w:r>
        <w:rPr>
          <w:vertAlign w:val="superscript"/>
        </w:rPr>
        <w:t>247,248</w:t>
      </w:r>
      <w:r>
        <w:rPr>
          <w:vertAlign w:val="baseline"/>
        </w:rPr>
        <w:t> In the data derived from follow-up of 4,432 women for an average of 4.2 years, a statistically significant reduced risk</w:t>
      </w:r>
      <w:r>
        <w:rPr>
          <w:spacing w:val="41"/>
          <w:vertAlign w:val="baseline"/>
        </w:rPr>
        <w:t> </w:t>
      </w:r>
      <w:r>
        <w:rPr>
          <w:vertAlign w:val="baseline"/>
        </w:rPr>
        <w:t>of</w:t>
      </w:r>
      <w:r>
        <w:rPr>
          <w:spacing w:val="42"/>
          <w:vertAlign w:val="baseline"/>
        </w:rPr>
        <w:t> </w:t>
      </w:r>
      <w:r>
        <w:rPr>
          <w:vertAlign w:val="baseline"/>
        </w:rPr>
        <w:t>fracture</w:t>
      </w:r>
      <w:r>
        <w:rPr>
          <w:spacing w:val="42"/>
          <w:vertAlign w:val="baseline"/>
        </w:rPr>
        <w:t> </w:t>
      </w:r>
      <w:r>
        <w:rPr>
          <w:vertAlign w:val="baseline"/>
        </w:rPr>
        <w:t>was</w:t>
      </w:r>
      <w:r>
        <w:rPr>
          <w:spacing w:val="42"/>
          <w:vertAlign w:val="baseline"/>
        </w:rPr>
        <w:t> </w:t>
      </w:r>
      <w:r>
        <w:rPr>
          <w:vertAlign w:val="baseline"/>
        </w:rPr>
        <w:t>demonstrated</w:t>
      </w:r>
      <w:r>
        <w:rPr>
          <w:spacing w:val="42"/>
          <w:vertAlign w:val="baseline"/>
        </w:rPr>
        <w:t> </w:t>
      </w:r>
      <w:r>
        <w:rPr>
          <w:vertAlign w:val="baseline"/>
        </w:rPr>
        <w:t>only</w:t>
      </w:r>
      <w:r>
        <w:rPr>
          <w:spacing w:val="42"/>
          <w:vertAlign w:val="baseline"/>
        </w:rPr>
        <w:t> </w:t>
      </w:r>
      <w:r>
        <w:rPr>
          <w:vertAlign w:val="baseline"/>
        </w:rPr>
        <w:t>in</w:t>
      </w:r>
      <w:r>
        <w:rPr>
          <w:spacing w:val="42"/>
          <w:vertAlign w:val="baseline"/>
        </w:rPr>
        <w:t> </w:t>
      </w:r>
      <w:r>
        <w:rPr>
          <w:vertAlign w:val="baseline"/>
        </w:rPr>
        <w:t>women</w:t>
      </w:r>
      <w:r>
        <w:rPr>
          <w:spacing w:val="42"/>
          <w:vertAlign w:val="baseline"/>
        </w:rPr>
        <w:t> </w:t>
      </w:r>
      <w:r>
        <w:rPr>
          <w:vertAlign w:val="baseline"/>
        </w:rPr>
        <w:t>with</w:t>
      </w:r>
      <w:r>
        <w:rPr>
          <w:spacing w:val="42"/>
          <w:vertAlign w:val="baseline"/>
        </w:rPr>
        <w:t> </w:t>
      </w:r>
      <w:r>
        <w:rPr>
          <w:vertAlign w:val="baseline"/>
        </w:rPr>
        <w:t>initial</w:t>
      </w:r>
      <w:r>
        <w:rPr>
          <w:spacing w:val="41"/>
          <w:vertAlign w:val="baseline"/>
        </w:rPr>
        <w:t> </w:t>
      </w:r>
      <w:r>
        <w:rPr>
          <w:i/>
          <w:vertAlign w:val="baseline"/>
        </w:rPr>
        <w:t>T</w:t>
      </w:r>
      <w:r>
        <w:rPr>
          <w:vertAlign w:val="baseline"/>
        </w:rPr>
        <w:t>-scores</w:t>
      </w:r>
      <w:r>
        <w:rPr>
          <w:spacing w:val="45"/>
          <w:vertAlign w:val="baseline"/>
        </w:rPr>
        <w:t> </w:t>
      </w:r>
      <w:r>
        <w:rPr>
          <w:spacing w:val="-5"/>
          <w:vertAlign w:val="baseline"/>
        </w:rPr>
        <w:t>of</w:t>
      </w:r>
    </w:p>
    <w:p>
      <w:pPr>
        <w:pStyle w:val="BodyText"/>
        <w:spacing w:line="249" w:lineRule="auto" w:before="6"/>
        <w:ind w:right="108"/>
      </w:pPr>
      <w:r>
        <w:rPr/>
        <w:t>−2.5 or less, a 36% reduction in all fractures and a 50% reduction </w:t>
      </w:r>
      <w:r>
        <w:rPr/>
        <w:t>in vertebral fractures.</w:t>
      </w:r>
      <w:r>
        <w:rPr>
          <w:vertAlign w:val="superscript"/>
        </w:rPr>
        <w:t>249</w:t>
      </w:r>
    </w:p>
    <w:p>
      <w:pPr>
        <w:pStyle w:val="BodyText"/>
        <w:spacing w:line="249" w:lineRule="auto" w:before="2"/>
        <w:ind w:right="97" w:firstLine="450"/>
      </w:pPr>
      <w:r>
        <w:rPr/>
        <w:t>Bisphosphonate treatment obviously benefits women who already have a low bone density or previous vertebral fractures. Risedronate </w:t>
      </w:r>
      <w:r>
        <w:rPr/>
        <w:t>reduces vertebral and hip fractures in women with osteoporosis with an impact similar to that of alendronate.</w:t>
      </w:r>
      <w:r>
        <w:rPr>
          <w:vertAlign w:val="superscript"/>
        </w:rPr>
        <w:t>234,250</w:t>
      </w:r>
      <w:r>
        <w:rPr>
          <w:vertAlign w:val="baseline"/>
        </w:rPr>
        <w:t> After 5 years of treatment with risedronate, the risk of new vertebral fracture decreased by 59%, an improvement from the 49% reduction reported after 3 years.</w:t>
      </w:r>
      <w:r>
        <w:rPr>
          <w:vertAlign w:val="superscript"/>
        </w:rPr>
        <w:t>251</w:t>
      </w:r>
      <w:r>
        <w:rPr>
          <w:vertAlign w:val="baseline"/>
        </w:rPr>
        <w:t> Ibandronate reduced vertebral fractures by about 60% over 3 years; zoledronic acid reduced vertebral fractures by 70% and hip fractures by 41% over 3 years.</w:t>
      </w:r>
      <w:r>
        <w:rPr>
          <w:vertAlign w:val="superscript"/>
        </w:rPr>
        <w:t>252,253</w:t>
      </w:r>
      <w:r>
        <w:rPr>
          <w:vertAlign w:val="baseline"/>
        </w:rPr>
        <w:t> However, a retrospective cohort analysis of over 196,000 women did note a higher risk of atypical femur fracture in patients taking bisphosphonates, especially over several years.</w:t>
      </w:r>
    </w:p>
    <w:p>
      <w:pPr>
        <w:spacing w:line="249" w:lineRule="auto" w:before="14"/>
        <w:ind w:left="99" w:right="99" w:firstLine="450"/>
        <w:jc w:val="both"/>
        <w:rPr>
          <w:b/>
          <w:sz w:val="30"/>
        </w:rPr>
      </w:pPr>
      <w:r>
        <w:rPr>
          <w:sz w:val="30"/>
        </w:rPr>
        <w:t>The Early Postmenopausal Interventional Cohort (EPIC) study concluded that over a 4-year period of time, alendronate and hormone therapy in the United States produce similar bone density results. The greater</w:t>
      </w:r>
      <w:r>
        <w:rPr>
          <w:spacing w:val="-3"/>
          <w:sz w:val="30"/>
        </w:rPr>
        <w:t> </w:t>
      </w:r>
      <w:r>
        <w:rPr>
          <w:sz w:val="30"/>
        </w:rPr>
        <w:t>increase</w:t>
      </w:r>
      <w:r>
        <w:rPr>
          <w:spacing w:val="-3"/>
          <w:sz w:val="30"/>
        </w:rPr>
        <w:t> </w:t>
      </w:r>
      <w:r>
        <w:rPr>
          <w:sz w:val="30"/>
        </w:rPr>
        <w:t>noted</w:t>
      </w:r>
      <w:r>
        <w:rPr>
          <w:spacing w:val="-3"/>
          <w:sz w:val="30"/>
        </w:rPr>
        <w:t> </w:t>
      </w:r>
      <w:r>
        <w:rPr>
          <w:sz w:val="30"/>
        </w:rPr>
        <w:t>in</w:t>
      </w:r>
      <w:r>
        <w:rPr>
          <w:spacing w:val="-3"/>
          <w:sz w:val="30"/>
        </w:rPr>
        <w:t> </w:t>
      </w:r>
      <w:r>
        <w:rPr>
          <w:sz w:val="30"/>
        </w:rPr>
        <w:t>Europe</w:t>
      </w:r>
      <w:r>
        <w:rPr>
          <w:spacing w:val="-3"/>
          <w:sz w:val="30"/>
        </w:rPr>
        <w:t> </w:t>
      </w:r>
      <w:r>
        <w:rPr>
          <w:sz w:val="30"/>
        </w:rPr>
        <w:t>with</w:t>
      </w:r>
      <w:r>
        <w:rPr>
          <w:spacing w:val="-3"/>
          <w:sz w:val="30"/>
        </w:rPr>
        <w:t> </w:t>
      </w:r>
      <w:r>
        <w:rPr>
          <w:sz w:val="30"/>
        </w:rPr>
        <w:t>hormone</w:t>
      </w:r>
      <w:r>
        <w:rPr>
          <w:spacing w:val="-3"/>
          <w:sz w:val="30"/>
        </w:rPr>
        <w:t> </w:t>
      </w:r>
      <w:r>
        <w:rPr>
          <w:sz w:val="30"/>
        </w:rPr>
        <w:t>therapy</w:t>
      </w:r>
      <w:r>
        <w:rPr>
          <w:spacing w:val="-3"/>
          <w:sz w:val="30"/>
        </w:rPr>
        <w:t> </w:t>
      </w:r>
      <w:r>
        <w:rPr>
          <w:sz w:val="30"/>
        </w:rPr>
        <w:t>probably</w:t>
      </w:r>
      <w:r>
        <w:rPr>
          <w:spacing w:val="-3"/>
          <w:sz w:val="30"/>
        </w:rPr>
        <w:t> </w:t>
      </w:r>
      <w:r>
        <w:rPr>
          <w:sz w:val="30"/>
        </w:rPr>
        <w:t>reflects</w:t>
      </w:r>
      <w:r>
        <w:rPr>
          <w:spacing w:val="-3"/>
          <w:sz w:val="30"/>
        </w:rPr>
        <w:t> </w:t>
      </w:r>
      <w:r>
        <w:rPr>
          <w:sz w:val="30"/>
        </w:rPr>
        <w:t>the use of 19-nortestosterone progestins, which are known to have an additive effect on bone density when combined with estrogen. </w:t>
      </w:r>
      <w:r>
        <w:rPr>
          <w:sz w:val="30"/>
        </w:rPr>
        <w:t>Combining bisphosphonate and hormone therapy produces an added gain in bone density. When women who were already taking hormone therapy also received alendronate (10 mg) for 1 year, the gain in bone density ranged from 0.9% in the femoral neck to 2.6% in the spine.</w:t>
      </w:r>
      <w:r>
        <w:rPr>
          <w:sz w:val="30"/>
          <w:vertAlign w:val="superscript"/>
        </w:rPr>
        <w:t>254</w:t>
      </w:r>
      <w:r>
        <w:rPr>
          <w:sz w:val="30"/>
          <w:vertAlign w:val="baseline"/>
        </w:rPr>
        <w:t> In women with osteopenia, combined therapy with alendronate 10 mg and 0.625 mg conjugated estrogens produced a 1% to 2% greater gain in bone density</w:t>
      </w:r>
      <w:r>
        <w:rPr>
          <w:spacing w:val="40"/>
          <w:sz w:val="30"/>
          <w:vertAlign w:val="baseline"/>
        </w:rPr>
        <w:t> </w:t>
      </w:r>
      <w:r>
        <w:rPr>
          <w:sz w:val="30"/>
          <w:vertAlign w:val="baseline"/>
        </w:rPr>
        <w:t>over a 2-year period of treatment; similar results were reported in a 1-year trial with risedronate.</w:t>
      </w:r>
      <w:r>
        <w:rPr>
          <w:sz w:val="30"/>
          <w:vertAlign w:val="superscript"/>
        </w:rPr>
        <w:t>255,256</w:t>
      </w:r>
      <w:r>
        <w:rPr>
          <w:sz w:val="30"/>
          <w:vertAlign w:val="baseline"/>
        </w:rPr>
        <w:t> </w:t>
      </w:r>
      <w:r>
        <w:rPr>
          <w:b/>
          <w:sz w:val="30"/>
          <w:vertAlign w:val="baseline"/>
        </w:rPr>
        <w:t>There are no data available on whether addition of a bisphosphonate to estrogen regimen improves the antifracture efficacy of either agent alone. Furthermore, there is a concern that oversuppression of resorption can ultimately yield more brittle bones.</w:t>
      </w:r>
    </w:p>
    <w:p>
      <w:pPr>
        <w:spacing w:after="0" w:line="249" w:lineRule="auto"/>
        <w:jc w:val="both"/>
        <w:rPr>
          <w:b/>
          <w:sz w:val="30"/>
        </w:rPr>
        <w:sectPr>
          <w:pgSz w:w="12240" w:h="15840"/>
          <w:pgMar w:top="1380" w:bottom="280" w:left="1440" w:right="1440"/>
        </w:sectPr>
      </w:pPr>
    </w:p>
    <w:p>
      <w:pPr>
        <w:pStyle w:val="BodyText"/>
        <w:spacing w:line="249" w:lineRule="auto"/>
        <w:ind w:right="99" w:firstLine="450"/>
      </w:pPr>
      <w:r>
        <w:rPr/>
        <w:t>Compliance with alendronate has been overestimated by the clinical trials. It is well recognized that participants in clinical trials are </w:t>
      </w:r>
      <w:r>
        <w:rPr/>
        <w:t>better motivated, are better supported, and perform better. In the Kaiser Permanente</w:t>
      </w:r>
      <w:r>
        <w:rPr>
          <w:spacing w:val="-3"/>
        </w:rPr>
        <w:t> </w:t>
      </w:r>
      <w:r>
        <w:rPr/>
        <w:t>Medical</w:t>
      </w:r>
      <w:r>
        <w:rPr>
          <w:spacing w:val="-3"/>
        </w:rPr>
        <w:t> </w:t>
      </w:r>
      <w:r>
        <w:rPr/>
        <w:t>Care</w:t>
      </w:r>
      <w:r>
        <w:rPr>
          <w:spacing w:val="-3"/>
        </w:rPr>
        <w:t> </w:t>
      </w:r>
      <w:r>
        <w:rPr/>
        <w:t>Program</w:t>
      </w:r>
      <w:r>
        <w:rPr>
          <w:spacing w:val="-3"/>
        </w:rPr>
        <w:t> </w:t>
      </w:r>
      <w:r>
        <w:rPr/>
        <w:t>in</w:t>
      </w:r>
      <w:r>
        <w:rPr>
          <w:spacing w:val="-3"/>
        </w:rPr>
        <w:t> </w:t>
      </w:r>
      <w:r>
        <w:rPr/>
        <w:t>California,</w:t>
      </w:r>
      <w:r>
        <w:rPr>
          <w:spacing w:val="-3"/>
        </w:rPr>
        <w:t> </w:t>
      </w:r>
      <w:r>
        <w:rPr/>
        <w:t>about</w:t>
      </w:r>
      <w:r>
        <w:rPr>
          <w:spacing w:val="-3"/>
        </w:rPr>
        <w:t> </w:t>
      </w:r>
      <w:r>
        <w:rPr/>
        <w:t>one-third</w:t>
      </w:r>
      <w:r>
        <w:rPr>
          <w:spacing w:val="-3"/>
        </w:rPr>
        <w:t> </w:t>
      </w:r>
      <w:r>
        <w:rPr/>
        <w:t>of</w:t>
      </w:r>
      <w:r>
        <w:rPr>
          <w:spacing w:val="-3"/>
        </w:rPr>
        <w:t> </w:t>
      </w:r>
      <w:r>
        <w:rPr/>
        <w:t>patients had acid-related complaints, and one in eight required treatment.</w:t>
      </w:r>
      <w:r>
        <w:rPr>
          <w:vertAlign w:val="superscript"/>
        </w:rPr>
        <w:t>257</w:t>
      </w:r>
      <w:r>
        <w:rPr>
          <w:vertAlign w:val="baseline"/>
        </w:rPr>
        <w:t> About 50% of the patients in Kaiser did not comply with instructions, and about 50% discontinued therapy by 1 year.</w:t>
      </w:r>
      <w:r>
        <w:rPr>
          <w:vertAlign w:val="superscript"/>
        </w:rPr>
        <w:t>257,258</w:t>
      </w:r>
      <w:r>
        <w:rPr>
          <w:vertAlign w:val="baseline"/>
        </w:rPr>
        <w:t> Analysis of general pharmaceutical claims databases in the United States revealed that only</w:t>
      </w:r>
      <w:r>
        <w:rPr>
          <w:spacing w:val="40"/>
          <w:vertAlign w:val="baseline"/>
        </w:rPr>
        <w:t> </w:t>
      </w:r>
      <w:r>
        <w:rPr>
          <w:vertAlign w:val="baseline"/>
        </w:rPr>
        <w:t>43% refilled their first prescription, and after 2 years, only 20% were adherent to treatment.</w:t>
      </w:r>
      <w:r>
        <w:rPr>
          <w:vertAlign w:val="superscript"/>
        </w:rPr>
        <w:t>259</w:t>
      </w:r>
      <w:r>
        <w:rPr>
          <w:vertAlign w:val="baseline"/>
        </w:rPr>
        <w:t> Bone density measurements are recommended to assess compliance and to provide motivation for continuation; compliance can also be assessed by measuring bone markers prior to initiation of therapy and then repeating assessment 1 to 3 months later; a 30% decrease in bone markers is anticipated if patients are complaint with prescribed strategy and there are no major issues of malabsorption. Programs with good patient support have reported long-term compliance with hormone therapy: 65% at 7.5 years in an Australian population and 61% at 7 years in the United Kingdom.</w:t>
      </w:r>
      <w:r>
        <w:rPr>
          <w:vertAlign w:val="superscript"/>
        </w:rPr>
        <w:t>260,261</w:t>
      </w:r>
    </w:p>
    <w:p>
      <w:pPr>
        <w:pStyle w:val="BodyText"/>
        <w:spacing w:line="249" w:lineRule="auto" w:before="22"/>
        <w:ind w:right="98" w:firstLine="450"/>
      </w:pPr>
      <w:r>
        <w:rPr/>
        <w:t>Because of the apparent benefits associated with alendronate therapy, the</w:t>
      </w:r>
      <w:r>
        <w:rPr>
          <w:spacing w:val="-1"/>
        </w:rPr>
        <w:t> </w:t>
      </w:r>
      <w:r>
        <w:rPr/>
        <w:t>clinical</w:t>
      </w:r>
      <w:r>
        <w:rPr>
          <w:spacing w:val="-1"/>
        </w:rPr>
        <w:t> </w:t>
      </w:r>
      <w:r>
        <w:rPr/>
        <w:t>trials</w:t>
      </w:r>
      <w:r>
        <w:rPr>
          <w:spacing w:val="-1"/>
        </w:rPr>
        <w:t> </w:t>
      </w:r>
      <w:r>
        <w:rPr/>
        <w:t>were</w:t>
      </w:r>
      <w:r>
        <w:rPr>
          <w:spacing w:val="-1"/>
        </w:rPr>
        <w:t> </w:t>
      </w:r>
      <w:r>
        <w:rPr/>
        <w:t>halted</w:t>
      </w:r>
      <w:r>
        <w:rPr>
          <w:spacing w:val="-1"/>
        </w:rPr>
        <w:t> </w:t>
      </w:r>
      <w:r>
        <w:rPr/>
        <w:t>after</w:t>
      </w:r>
      <w:r>
        <w:rPr>
          <w:spacing w:val="-1"/>
        </w:rPr>
        <w:t> </w:t>
      </w:r>
      <w:r>
        <w:rPr/>
        <w:t>4</w:t>
      </w:r>
      <w:r>
        <w:rPr>
          <w:spacing w:val="-1"/>
        </w:rPr>
        <w:t> </w:t>
      </w:r>
      <w:r>
        <w:rPr/>
        <w:t>years,</w:t>
      </w:r>
      <w:r>
        <w:rPr>
          <w:spacing w:val="-1"/>
        </w:rPr>
        <w:t> </w:t>
      </w:r>
      <w:r>
        <w:rPr/>
        <w:t>although</w:t>
      </w:r>
      <w:r>
        <w:rPr>
          <w:spacing w:val="-1"/>
        </w:rPr>
        <w:t> </w:t>
      </w:r>
      <w:r>
        <w:rPr/>
        <w:t>follow-up</w:t>
      </w:r>
      <w:r>
        <w:rPr>
          <w:spacing w:val="-1"/>
        </w:rPr>
        <w:t> </w:t>
      </w:r>
      <w:r>
        <w:rPr/>
        <w:t>has</w:t>
      </w:r>
      <w:r>
        <w:rPr>
          <w:spacing w:val="-1"/>
        </w:rPr>
        <w:t> </w:t>
      </w:r>
      <w:r>
        <w:rPr/>
        <w:t>indicated persistent gains in BMD through 10 years of use.</w:t>
      </w:r>
      <w:r>
        <w:rPr>
          <w:vertAlign w:val="superscript"/>
        </w:rPr>
        <w:t>262</w:t>
      </w:r>
      <w:r>
        <w:rPr>
          <w:vertAlign w:val="baseline"/>
        </w:rPr>
        <w:t> There is evidence that a bisphosphonate already in the bone can recirculate when bone containing the</w:t>
      </w:r>
      <w:r>
        <w:rPr>
          <w:spacing w:val="-2"/>
          <w:vertAlign w:val="baseline"/>
        </w:rPr>
        <w:t> </w:t>
      </w:r>
      <w:r>
        <w:rPr>
          <w:vertAlign w:val="baseline"/>
        </w:rPr>
        <w:t>bisphosphonate</w:t>
      </w:r>
      <w:r>
        <w:rPr>
          <w:spacing w:val="-2"/>
          <w:vertAlign w:val="baseline"/>
        </w:rPr>
        <w:t> </w:t>
      </w:r>
      <w:r>
        <w:rPr>
          <w:vertAlign w:val="baseline"/>
        </w:rPr>
        <w:t>is</w:t>
      </w:r>
      <w:r>
        <w:rPr>
          <w:spacing w:val="-2"/>
          <w:vertAlign w:val="baseline"/>
        </w:rPr>
        <w:t> </w:t>
      </w:r>
      <w:r>
        <w:rPr>
          <w:vertAlign w:val="baseline"/>
        </w:rPr>
        <w:t>remodeled.</w:t>
      </w:r>
      <w:r>
        <w:rPr>
          <w:vertAlign w:val="superscript"/>
        </w:rPr>
        <w:t>263</w:t>
      </w:r>
      <w:r>
        <w:rPr>
          <w:vertAlign w:val="baseline"/>
        </w:rPr>
        <w:t> Thus, perhaps long-term treatment </w:t>
      </w:r>
      <w:r>
        <w:rPr>
          <w:vertAlign w:val="baseline"/>
        </w:rPr>
        <w:t>with this class of agents is unnecessary. Comparing bone loss after discontinuation of treatment, accelerated bone loss occurs after estrogen</w:t>
      </w:r>
      <w:r>
        <w:rPr>
          <w:spacing w:val="80"/>
          <w:vertAlign w:val="baseline"/>
        </w:rPr>
        <w:t> </w:t>
      </w:r>
      <w:r>
        <w:rPr>
          <w:vertAlign w:val="baseline"/>
        </w:rPr>
        <w:t>and raloxifene, but a residual effect on bone density is maintained for up to 7 years after alendronate is discontinued</w:t>
      </w:r>
      <w:r>
        <w:rPr>
          <w:vertAlign w:val="superscript"/>
        </w:rPr>
        <w:t>170,264-266</w:t>
      </w:r>
      <w:r>
        <w:rPr>
          <w:vertAlign w:val="baseline"/>
        </w:rPr>
        <w:t> (</w:t>
      </w:r>
      <w:r>
        <w:rPr>
          <w:b/>
          <w:color w:val="256E60"/>
          <w:vertAlign w:val="baseline"/>
        </w:rPr>
        <w:t>Table 23.6</w:t>
      </w:r>
      <w:r>
        <w:rPr>
          <w:vertAlign w:val="baseline"/>
        </w:rPr>
        <w:t>).</w:t>
      </w:r>
    </w:p>
    <w:p>
      <w:pPr>
        <w:pStyle w:val="BodyText"/>
        <w:spacing w:before="0"/>
        <w:ind w:left="0"/>
        <w:jc w:val="left"/>
        <w:rPr>
          <w:sz w:val="20"/>
        </w:rPr>
      </w:pPr>
    </w:p>
    <w:p>
      <w:pPr>
        <w:pStyle w:val="BodyText"/>
        <w:spacing w:before="146"/>
        <w:ind w:left="0"/>
        <w:jc w:val="left"/>
        <w:rPr>
          <w:sz w:val="20"/>
        </w:rPr>
      </w:pPr>
    </w:p>
    <w:tbl>
      <w:tblPr>
        <w:tblW w:w="0" w:type="auto"/>
        <w:jc w:val="left"/>
        <w:tblInd w:w="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01"/>
        <w:gridCol w:w="3390"/>
        <w:gridCol w:w="4160"/>
      </w:tblGrid>
      <w:tr>
        <w:trPr>
          <w:trHeight w:val="449" w:hRule="atLeast"/>
        </w:trPr>
        <w:tc>
          <w:tcPr>
            <w:tcW w:w="9151" w:type="dxa"/>
            <w:gridSpan w:val="3"/>
            <w:shd w:val="clear" w:color="auto" w:fill="256E60"/>
          </w:tcPr>
          <w:p>
            <w:pPr>
              <w:pStyle w:val="TableParagraph"/>
              <w:spacing w:before="93"/>
              <w:rPr>
                <w:rFonts w:ascii="Arial" w:hAnsi="Arial"/>
                <w:b/>
                <w:sz w:val="22"/>
              </w:rPr>
            </w:pPr>
            <w:r>
              <w:rPr>
                <w:rFonts w:ascii="Arial" w:hAnsi="Arial"/>
                <w:b/>
                <w:color w:val="FFFFFF"/>
                <w:sz w:val="22"/>
              </w:rPr>
              <w:t>TABLE</w:t>
            </w:r>
            <w:r>
              <w:rPr>
                <w:rFonts w:ascii="Arial" w:hAnsi="Arial"/>
                <w:b/>
                <w:color w:val="FFFFFF"/>
                <w:spacing w:val="27"/>
                <w:sz w:val="22"/>
              </w:rPr>
              <w:t> </w:t>
            </w:r>
            <w:r>
              <w:rPr>
                <w:rFonts w:ascii="Arial" w:hAnsi="Arial"/>
                <w:b/>
                <w:color w:val="FFFFFF"/>
                <w:sz w:val="22"/>
              </w:rPr>
              <w:t>23.6</w:t>
            </w:r>
            <w:r>
              <w:rPr>
                <w:rFonts w:ascii="Arial" w:hAnsi="Arial"/>
                <w:b/>
                <w:color w:val="FFFFFF"/>
                <w:spacing w:val="27"/>
                <w:sz w:val="22"/>
              </w:rPr>
              <w:t> </w:t>
            </w:r>
            <w:r>
              <w:rPr>
                <w:rFonts w:ascii="Arial" w:hAnsi="Arial"/>
                <w:b/>
                <w:color w:val="FFFFFF"/>
                <w:sz w:val="22"/>
              </w:rPr>
              <w:t>Bisphosphonates—Recommended</w:t>
            </w:r>
            <w:r>
              <w:rPr>
                <w:rFonts w:ascii="Arial" w:hAnsi="Arial"/>
                <w:b/>
                <w:color w:val="FFFFFF"/>
                <w:spacing w:val="28"/>
                <w:sz w:val="22"/>
              </w:rPr>
              <w:t> </w:t>
            </w:r>
            <w:r>
              <w:rPr>
                <w:rFonts w:ascii="Arial" w:hAnsi="Arial"/>
                <w:b/>
                <w:color w:val="FFFFFF"/>
                <w:spacing w:val="-2"/>
                <w:sz w:val="22"/>
              </w:rPr>
              <w:t>Dosages</w:t>
            </w:r>
          </w:p>
        </w:tc>
      </w:tr>
      <w:tr>
        <w:trPr>
          <w:trHeight w:val="539" w:hRule="atLeast"/>
        </w:trPr>
        <w:tc>
          <w:tcPr>
            <w:tcW w:w="1601" w:type="dxa"/>
            <w:tcBorders>
              <w:bottom w:val="single" w:sz="6" w:space="0" w:color="256E60"/>
            </w:tcBorders>
            <w:shd w:val="clear" w:color="auto" w:fill="DDE6E3"/>
          </w:tcPr>
          <w:p>
            <w:pPr>
              <w:pStyle w:val="TableParagraph"/>
              <w:spacing w:before="0"/>
              <w:ind w:left="0"/>
              <w:rPr>
                <w:sz w:val="28"/>
              </w:rPr>
            </w:pPr>
          </w:p>
        </w:tc>
        <w:tc>
          <w:tcPr>
            <w:tcW w:w="3390" w:type="dxa"/>
            <w:tcBorders>
              <w:bottom w:val="single" w:sz="6" w:space="0" w:color="256E60"/>
            </w:tcBorders>
            <w:shd w:val="clear" w:color="auto" w:fill="DDE6E3"/>
          </w:tcPr>
          <w:p>
            <w:pPr>
              <w:pStyle w:val="TableParagraph"/>
              <w:spacing w:before="138"/>
              <w:ind w:left="403"/>
              <w:rPr>
                <w:rFonts w:ascii="Arial"/>
                <w:b/>
                <w:sz w:val="22"/>
              </w:rPr>
            </w:pPr>
            <w:r>
              <w:rPr>
                <w:rFonts w:ascii="Arial"/>
                <w:b/>
                <w:color w:val="1C5349"/>
                <w:sz w:val="22"/>
              </w:rPr>
              <w:t>For</w:t>
            </w:r>
            <w:r>
              <w:rPr>
                <w:rFonts w:ascii="Arial"/>
                <w:b/>
                <w:color w:val="1C5349"/>
                <w:spacing w:val="8"/>
                <w:sz w:val="22"/>
              </w:rPr>
              <w:t> </w:t>
            </w:r>
            <w:r>
              <w:rPr>
                <w:rFonts w:ascii="Arial"/>
                <w:b/>
                <w:color w:val="1C5349"/>
                <w:spacing w:val="-2"/>
                <w:sz w:val="22"/>
              </w:rPr>
              <w:t>Prevention</w:t>
            </w:r>
          </w:p>
        </w:tc>
        <w:tc>
          <w:tcPr>
            <w:tcW w:w="4160" w:type="dxa"/>
            <w:tcBorders>
              <w:bottom w:val="single" w:sz="6" w:space="0" w:color="256E60"/>
            </w:tcBorders>
            <w:shd w:val="clear" w:color="auto" w:fill="DDE6E3"/>
          </w:tcPr>
          <w:p>
            <w:pPr>
              <w:pStyle w:val="TableParagraph"/>
              <w:spacing w:before="138"/>
              <w:ind w:left="628"/>
              <w:rPr>
                <w:rFonts w:ascii="Arial"/>
                <w:b/>
                <w:sz w:val="22"/>
              </w:rPr>
            </w:pPr>
            <w:r>
              <w:rPr>
                <w:rFonts w:ascii="Arial"/>
                <w:b/>
                <w:color w:val="1C5349"/>
                <w:sz w:val="22"/>
              </w:rPr>
              <w:t>For</w:t>
            </w:r>
            <w:r>
              <w:rPr>
                <w:rFonts w:ascii="Arial"/>
                <w:b/>
                <w:color w:val="1C5349"/>
                <w:spacing w:val="8"/>
                <w:sz w:val="22"/>
              </w:rPr>
              <w:t> </w:t>
            </w:r>
            <w:r>
              <w:rPr>
                <w:rFonts w:ascii="Arial"/>
                <w:b/>
                <w:color w:val="1C5349"/>
                <w:spacing w:val="-2"/>
                <w:sz w:val="22"/>
              </w:rPr>
              <w:t>Treatment</w:t>
            </w:r>
          </w:p>
        </w:tc>
      </w:tr>
      <w:tr>
        <w:trPr>
          <w:trHeight w:val="554" w:hRule="atLeast"/>
        </w:trPr>
        <w:tc>
          <w:tcPr>
            <w:tcW w:w="1601" w:type="dxa"/>
            <w:tcBorders>
              <w:top w:val="single" w:sz="6" w:space="0" w:color="256E60"/>
              <w:bottom w:val="single" w:sz="6" w:space="0" w:color="1C5349"/>
            </w:tcBorders>
          </w:tcPr>
          <w:p>
            <w:pPr>
              <w:pStyle w:val="TableParagraph"/>
              <w:rPr>
                <w:sz w:val="22"/>
              </w:rPr>
            </w:pPr>
            <w:r>
              <w:rPr>
                <w:spacing w:val="-2"/>
                <w:sz w:val="22"/>
              </w:rPr>
              <w:t>Alendronate</w:t>
            </w:r>
          </w:p>
        </w:tc>
        <w:tc>
          <w:tcPr>
            <w:tcW w:w="3390" w:type="dxa"/>
            <w:tcBorders>
              <w:top w:val="single" w:sz="6" w:space="0" w:color="256E60"/>
              <w:bottom w:val="single" w:sz="6" w:space="0" w:color="1C5349"/>
            </w:tcBorders>
          </w:tcPr>
          <w:p>
            <w:pPr>
              <w:pStyle w:val="TableParagraph"/>
              <w:ind w:left="403"/>
              <w:rPr>
                <w:sz w:val="22"/>
              </w:rPr>
            </w:pPr>
            <w:r>
              <w:rPr>
                <w:sz w:val="22"/>
              </w:rPr>
              <w:t>5</w:t>
            </w:r>
            <w:r>
              <w:rPr>
                <w:spacing w:val="6"/>
                <w:sz w:val="22"/>
              </w:rPr>
              <w:t> </w:t>
            </w:r>
            <w:r>
              <w:rPr>
                <w:sz w:val="22"/>
              </w:rPr>
              <w:t>mg</w:t>
            </w:r>
            <w:r>
              <w:rPr>
                <w:spacing w:val="7"/>
                <w:sz w:val="22"/>
              </w:rPr>
              <w:t> </w:t>
            </w:r>
            <w:r>
              <w:rPr>
                <w:sz w:val="22"/>
              </w:rPr>
              <w:t>daily;</w:t>
            </w:r>
            <w:r>
              <w:rPr>
                <w:spacing w:val="6"/>
                <w:sz w:val="22"/>
              </w:rPr>
              <w:t> </w:t>
            </w:r>
            <w:r>
              <w:rPr>
                <w:sz w:val="22"/>
              </w:rPr>
              <w:t>35</w:t>
            </w:r>
            <w:r>
              <w:rPr>
                <w:spacing w:val="7"/>
                <w:sz w:val="22"/>
              </w:rPr>
              <w:t> </w:t>
            </w:r>
            <w:r>
              <w:rPr>
                <w:sz w:val="22"/>
              </w:rPr>
              <w:t>mg</w:t>
            </w:r>
            <w:r>
              <w:rPr>
                <w:spacing w:val="6"/>
                <w:sz w:val="22"/>
              </w:rPr>
              <w:t> </w:t>
            </w:r>
            <w:r>
              <w:rPr>
                <w:spacing w:val="-2"/>
                <w:sz w:val="22"/>
              </w:rPr>
              <w:t>weekly</w:t>
            </w:r>
          </w:p>
        </w:tc>
        <w:tc>
          <w:tcPr>
            <w:tcW w:w="4160" w:type="dxa"/>
            <w:tcBorders>
              <w:top w:val="single" w:sz="6" w:space="0" w:color="256E60"/>
              <w:bottom w:val="single" w:sz="6" w:space="0" w:color="1C5349"/>
            </w:tcBorders>
          </w:tcPr>
          <w:p>
            <w:pPr>
              <w:pStyle w:val="TableParagraph"/>
              <w:ind w:left="628"/>
              <w:rPr>
                <w:sz w:val="22"/>
              </w:rPr>
            </w:pPr>
            <w:r>
              <w:rPr>
                <w:sz w:val="22"/>
              </w:rPr>
              <w:t>10</w:t>
            </w:r>
            <w:r>
              <w:rPr>
                <w:spacing w:val="3"/>
                <w:sz w:val="22"/>
              </w:rPr>
              <w:t> </w:t>
            </w:r>
            <w:r>
              <w:rPr>
                <w:sz w:val="22"/>
              </w:rPr>
              <w:t>mg</w:t>
            </w:r>
            <w:r>
              <w:rPr>
                <w:spacing w:val="4"/>
                <w:sz w:val="22"/>
              </w:rPr>
              <w:t> </w:t>
            </w:r>
            <w:r>
              <w:rPr>
                <w:sz w:val="22"/>
              </w:rPr>
              <w:t>daily,</w:t>
            </w:r>
            <w:r>
              <w:rPr>
                <w:spacing w:val="4"/>
                <w:sz w:val="22"/>
              </w:rPr>
              <w:t> </w:t>
            </w:r>
            <w:r>
              <w:rPr>
                <w:sz w:val="22"/>
              </w:rPr>
              <w:t>70</w:t>
            </w:r>
            <w:r>
              <w:rPr>
                <w:spacing w:val="4"/>
                <w:sz w:val="22"/>
              </w:rPr>
              <w:t> </w:t>
            </w:r>
            <w:r>
              <w:rPr>
                <w:sz w:val="22"/>
              </w:rPr>
              <w:t>mg</w:t>
            </w:r>
            <w:r>
              <w:rPr>
                <w:spacing w:val="4"/>
                <w:sz w:val="22"/>
              </w:rPr>
              <w:t> </w:t>
            </w:r>
            <w:r>
              <w:rPr>
                <w:spacing w:val="-2"/>
                <w:sz w:val="22"/>
              </w:rPr>
              <w:t>weekly</w:t>
            </w:r>
          </w:p>
        </w:tc>
      </w:tr>
      <w:tr>
        <w:trPr>
          <w:trHeight w:val="554" w:hRule="atLeast"/>
        </w:trPr>
        <w:tc>
          <w:tcPr>
            <w:tcW w:w="1601" w:type="dxa"/>
            <w:tcBorders>
              <w:top w:val="single" w:sz="6" w:space="0" w:color="1C5349"/>
              <w:bottom w:val="single" w:sz="6" w:space="0" w:color="1C5349"/>
            </w:tcBorders>
          </w:tcPr>
          <w:p>
            <w:pPr>
              <w:pStyle w:val="TableParagraph"/>
              <w:rPr>
                <w:sz w:val="22"/>
              </w:rPr>
            </w:pPr>
            <w:r>
              <w:rPr>
                <w:spacing w:val="-2"/>
                <w:sz w:val="22"/>
              </w:rPr>
              <w:t>Risedronate</w:t>
            </w:r>
          </w:p>
        </w:tc>
        <w:tc>
          <w:tcPr>
            <w:tcW w:w="3390" w:type="dxa"/>
            <w:tcBorders>
              <w:top w:val="single" w:sz="6" w:space="0" w:color="1C5349"/>
              <w:bottom w:val="single" w:sz="6" w:space="0" w:color="1C5349"/>
            </w:tcBorders>
          </w:tcPr>
          <w:p>
            <w:pPr>
              <w:pStyle w:val="TableParagraph"/>
              <w:ind w:left="403"/>
              <w:rPr>
                <w:sz w:val="22"/>
              </w:rPr>
            </w:pPr>
            <w:r>
              <w:rPr>
                <w:sz w:val="22"/>
              </w:rPr>
              <w:t>5</w:t>
            </w:r>
            <w:r>
              <w:rPr>
                <w:spacing w:val="4"/>
                <w:sz w:val="22"/>
              </w:rPr>
              <w:t> </w:t>
            </w:r>
            <w:r>
              <w:rPr>
                <w:sz w:val="22"/>
              </w:rPr>
              <w:t>mg</w:t>
            </w:r>
            <w:r>
              <w:rPr>
                <w:spacing w:val="5"/>
                <w:sz w:val="22"/>
              </w:rPr>
              <w:t> </w:t>
            </w:r>
            <w:r>
              <w:rPr>
                <w:spacing w:val="-2"/>
                <w:sz w:val="22"/>
              </w:rPr>
              <w:t>daily</w:t>
            </w:r>
          </w:p>
        </w:tc>
        <w:tc>
          <w:tcPr>
            <w:tcW w:w="4160" w:type="dxa"/>
            <w:tcBorders>
              <w:top w:val="single" w:sz="6" w:space="0" w:color="1C5349"/>
              <w:bottom w:val="single" w:sz="6" w:space="0" w:color="1C5349"/>
            </w:tcBorders>
          </w:tcPr>
          <w:p>
            <w:pPr>
              <w:pStyle w:val="TableParagraph"/>
              <w:ind w:left="628"/>
              <w:rPr>
                <w:sz w:val="22"/>
              </w:rPr>
            </w:pPr>
            <w:r>
              <w:rPr>
                <w:sz w:val="22"/>
              </w:rPr>
              <w:t>5</w:t>
            </w:r>
            <w:r>
              <w:rPr>
                <w:spacing w:val="4"/>
                <w:sz w:val="22"/>
              </w:rPr>
              <w:t> </w:t>
            </w:r>
            <w:r>
              <w:rPr>
                <w:sz w:val="22"/>
              </w:rPr>
              <w:t>mg</w:t>
            </w:r>
            <w:r>
              <w:rPr>
                <w:spacing w:val="5"/>
                <w:sz w:val="22"/>
              </w:rPr>
              <w:t> </w:t>
            </w:r>
            <w:r>
              <w:rPr>
                <w:spacing w:val="-2"/>
                <w:sz w:val="22"/>
              </w:rPr>
              <w:t>daily</w:t>
            </w:r>
          </w:p>
        </w:tc>
      </w:tr>
    </w:tbl>
    <w:p>
      <w:pPr>
        <w:pStyle w:val="TableParagraph"/>
        <w:spacing w:after="0"/>
        <w:rPr>
          <w:sz w:val="22"/>
        </w:rPr>
        <w:sectPr>
          <w:pgSz w:w="12240" w:h="15840"/>
          <w:pgMar w:top="1380" w:bottom="1669" w:left="1440" w:right="1440"/>
        </w:sectPr>
      </w:pPr>
    </w:p>
    <w:tbl>
      <w:tblPr>
        <w:tblW w:w="0" w:type="auto"/>
        <w:jc w:val="left"/>
        <w:tblInd w:w="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54"/>
        <w:gridCol w:w="3474"/>
        <w:gridCol w:w="3923"/>
      </w:tblGrid>
      <w:tr>
        <w:trPr>
          <w:trHeight w:val="539" w:hRule="atLeast"/>
        </w:trPr>
        <w:tc>
          <w:tcPr>
            <w:tcW w:w="1754" w:type="dxa"/>
            <w:tcBorders>
              <w:bottom w:val="single" w:sz="6" w:space="0" w:color="256E60"/>
            </w:tcBorders>
            <w:shd w:val="clear" w:color="auto" w:fill="DDE6E3"/>
          </w:tcPr>
          <w:p>
            <w:pPr>
              <w:pStyle w:val="TableParagraph"/>
              <w:spacing w:before="0"/>
              <w:ind w:left="0"/>
              <w:rPr>
                <w:sz w:val="28"/>
              </w:rPr>
            </w:pPr>
          </w:p>
        </w:tc>
        <w:tc>
          <w:tcPr>
            <w:tcW w:w="3474" w:type="dxa"/>
            <w:tcBorders>
              <w:bottom w:val="single" w:sz="6" w:space="0" w:color="256E60"/>
            </w:tcBorders>
            <w:shd w:val="clear" w:color="auto" w:fill="DDE6E3"/>
          </w:tcPr>
          <w:p>
            <w:pPr>
              <w:pStyle w:val="TableParagraph"/>
              <w:spacing w:before="138"/>
              <w:ind w:left="250"/>
              <w:rPr>
                <w:rFonts w:ascii="Arial"/>
                <w:b/>
                <w:sz w:val="22"/>
              </w:rPr>
            </w:pPr>
            <w:r>
              <w:rPr>
                <w:rFonts w:ascii="Arial"/>
                <w:b/>
                <w:color w:val="1C5349"/>
                <w:sz w:val="22"/>
              </w:rPr>
              <w:t>For</w:t>
            </w:r>
            <w:r>
              <w:rPr>
                <w:rFonts w:ascii="Arial"/>
                <w:b/>
                <w:color w:val="1C5349"/>
                <w:spacing w:val="8"/>
                <w:sz w:val="22"/>
              </w:rPr>
              <w:t> </w:t>
            </w:r>
            <w:r>
              <w:rPr>
                <w:rFonts w:ascii="Arial"/>
                <w:b/>
                <w:color w:val="1C5349"/>
                <w:spacing w:val="-2"/>
                <w:sz w:val="22"/>
              </w:rPr>
              <w:t>Prevention</w:t>
            </w:r>
          </w:p>
        </w:tc>
        <w:tc>
          <w:tcPr>
            <w:tcW w:w="3923" w:type="dxa"/>
            <w:tcBorders>
              <w:bottom w:val="single" w:sz="6" w:space="0" w:color="256E60"/>
            </w:tcBorders>
            <w:shd w:val="clear" w:color="auto" w:fill="DDE6E3"/>
          </w:tcPr>
          <w:p>
            <w:pPr>
              <w:pStyle w:val="TableParagraph"/>
              <w:spacing w:before="138"/>
              <w:ind w:left="391"/>
              <w:rPr>
                <w:rFonts w:ascii="Arial"/>
                <w:b/>
                <w:sz w:val="22"/>
              </w:rPr>
            </w:pPr>
            <w:r>
              <w:rPr>
                <w:rFonts w:ascii="Arial"/>
                <w:b/>
                <w:color w:val="1C5349"/>
                <w:sz w:val="22"/>
              </w:rPr>
              <w:t>For</w:t>
            </w:r>
            <w:r>
              <w:rPr>
                <w:rFonts w:ascii="Arial"/>
                <w:b/>
                <w:color w:val="1C5349"/>
                <w:spacing w:val="8"/>
                <w:sz w:val="22"/>
              </w:rPr>
              <w:t> </w:t>
            </w:r>
            <w:r>
              <w:rPr>
                <w:rFonts w:ascii="Arial"/>
                <w:b/>
                <w:color w:val="1C5349"/>
                <w:spacing w:val="-2"/>
                <w:sz w:val="22"/>
              </w:rPr>
              <w:t>Treatment</w:t>
            </w:r>
          </w:p>
        </w:tc>
      </w:tr>
      <w:tr>
        <w:trPr>
          <w:trHeight w:val="554" w:hRule="atLeast"/>
        </w:trPr>
        <w:tc>
          <w:tcPr>
            <w:tcW w:w="1754" w:type="dxa"/>
            <w:tcBorders>
              <w:top w:val="single" w:sz="6" w:space="0" w:color="256E60"/>
              <w:bottom w:val="single" w:sz="6" w:space="0" w:color="1C5349"/>
            </w:tcBorders>
          </w:tcPr>
          <w:p>
            <w:pPr>
              <w:pStyle w:val="TableParagraph"/>
              <w:spacing w:before="0"/>
              <w:ind w:left="0"/>
              <w:rPr>
                <w:sz w:val="28"/>
              </w:rPr>
            </w:pPr>
          </w:p>
        </w:tc>
        <w:tc>
          <w:tcPr>
            <w:tcW w:w="3474" w:type="dxa"/>
            <w:tcBorders>
              <w:top w:val="single" w:sz="6" w:space="0" w:color="256E60"/>
              <w:bottom w:val="single" w:sz="6" w:space="0" w:color="1C5349"/>
            </w:tcBorders>
          </w:tcPr>
          <w:p>
            <w:pPr>
              <w:pStyle w:val="TableParagraph"/>
              <w:ind w:left="250"/>
              <w:rPr>
                <w:sz w:val="22"/>
              </w:rPr>
            </w:pPr>
            <w:r>
              <w:rPr>
                <w:sz w:val="22"/>
              </w:rPr>
              <w:t>35</w:t>
            </w:r>
            <w:r>
              <w:rPr>
                <w:spacing w:val="6"/>
                <w:sz w:val="22"/>
              </w:rPr>
              <w:t> </w:t>
            </w:r>
            <w:r>
              <w:rPr>
                <w:sz w:val="22"/>
              </w:rPr>
              <w:t>mg</w:t>
            </w:r>
            <w:r>
              <w:rPr>
                <w:spacing w:val="6"/>
                <w:sz w:val="22"/>
              </w:rPr>
              <w:t> </w:t>
            </w:r>
            <w:r>
              <w:rPr>
                <w:spacing w:val="-2"/>
                <w:sz w:val="22"/>
              </w:rPr>
              <w:t>weekly</w:t>
            </w:r>
          </w:p>
        </w:tc>
        <w:tc>
          <w:tcPr>
            <w:tcW w:w="3923" w:type="dxa"/>
            <w:tcBorders>
              <w:top w:val="single" w:sz="6" w:space="0" w:color="256E60"/>
              <w:bottom w:val="single" w:sz="6" w:space="0" w:color="1C5349"/>
            </w:tcBorders>
          </w:tcPr>
          <w:p>
            <w:pPr>
              <w:pStyle w:val="TableParagraph"/>
              <w:ind w:left="391"/>
              <w:rPr>
                <w:sz w:val="22"/>
              </w:rPr>
            </w:pPr>
            <w:r>
              <w:rPr>
                <w:sz w:val="22"/>
              </w:rPr>
              <w:t>35</w:t>
            </w:r>
            <w:r>
              <w:rPr>
                <w:spacing w:val="6"/>
                <w:sz w:val="22"/>
              </w:rPr>
              <w:t> </w:t>
            </w:r>
            <w:r>
              <w:rPr>
                <w:sz w:val="22"/>
              </w:rPr>
              <w:t>mg</w:t>
            </w:r>
            <w:r>
              <w:rPr>
                <w:spacing w:val="6"/>
                <w:sz w:val="22"/>
              </w:rPr>
              <w:t> </w:t>
            </w:r>
            <w:r>
              <w:rPr>
                <w:spacing w:val="-2"/>
                <w:sz w:val="22"/>
              </w:rPr>
              <w:t>weekly</w:t>
            </w:r>
          </w:p>
        </w:tc>
      </w:tr>
      <w:tr>
        <w:trPr>
          <w:trHeight w:val="554" w:hRule="atLeast"/>
        </w:trPr>
        <w:tc>
          <w:tcPr>
            <w:tcW w:w="1754" w:type="dxa"/>
            <w:tcBorders>
              <w:top w:val="single" w:sz="6" w:space="0" w:color="1C5349"/>
              <w:bottom w:val="single" w:sz="6" w:space="0" w:color="1C5349"/>
            </w:tcBorders>
          </w:tcPr>
          <w:p>
            <w:pPr>
              <w:pStyle w:val="TableParagraph"/>
              <w:spacing w:before="0"/>
              <w:ind w:left="0"/>
              <w:rPr>
                <w:sz w:val="28"/>
              </w:rPr>
            </w:pPr>
          </w:p>
        </w:tc>
        <w:tc>
          <w:tcPr>
            <w:tcW w:w="3474" w:type="dxa"/>
            <w:tcBorders>
              <w:top w:val="single" w:sz="6" w:space="0" w:color="1C5349"/>
              <w:bottom w:val="single" w:sz="6" w:space="0" w:color="1C5349"/>
            </w:tcBorders>
          </w:tcPr>
          <w:p>
            <w:pPr>
              <w:pStyle w:val="TableParagraph"/>
              <w:ind w:left="250"/>
              <w:rPr>
                <w:sz w:val="22"/>
              </w:rPr>
            </w:pPr>
            <w:r>
              <w:rPr>
                <w:sz w:val="22"/>
              </w:rPr>
              <w:t>75</w:t>
            </w:r>
            <w:r>
              <w:rPr>
                <w:spacing w:val="6"/>
                <w:sz w:val="22"/>
              </w:rPr>
              <w:t> </w:t>
            </w:r>
            <w:r>
              <w:rPr>
                <w:sz w:val="22"/>
              </w:rPr>
              <w:t>mg</w:t>
            </w:r>
            <w:r>
              <w:rPr>
                <w:spacing w:val="6"/>
                <w:sz w:val="22"/>
              </w:rPr>
              <w:t> </w:t>
            </w:r>
            <w:r>
              <w:rPr>
                <w:sz w:val="22"/>
              </w:rPr>
              <w:t>daily</w:t>
            </w:r>
            <w:r>
              <w:rPr>
                <w:spacing w:val="6"/>
                <w:sz w:val="22"/>
              </w:rPr>
              <w:t> </w:t>
            </w:r>
            <w:r>
              <w:rPr>
                <w:sz w:val="22"/>
              </w:rPr>
              <w:t>for</w:t>
            </w:r>
            <w:r>
              <w:rPr>
                <w:spacing w:val="6"/>
                <w:sz w:val="22"/>
              </w:rPr>
              <w:t> </w:t>
            </w:r>
            <w:r>
              <w:rPr>
                <w:sz w:val="22"/>
              </w:rPr>
              <w:t>2</w:t>
            </w:r>
            <w:r>
              <w:rPr>
                <w:spacing w:val="7"/>
                <w:sz w:val="22"/>
              </w:rPr>
              <w:t> </w:t>
            </w:r>
            <w:r>
              <w:rPr>
                <w:sz w:val="22"/>
              </w:rPr>
              <w:t>d</w:t>
            </w:r>
            <w:r>
              <w:rPr>
                <w:spacing w:val="6"/>
                <w:sz w:val="22"/>
              </w:rPr>
              <w:t> </w:t>
            </w:r>
            <w:r>
              <w:rPr>
                <w:sz w:val="22"/>
              </w:rPr>
              <w:t>each</w:t>
            </w:r>
            <w:r>
              <w:rPr>
                <w:spacing w:val="6"/>
                <w:sz w:val="22"/>
              </w:rPr>
              <w:t> </w:t>
            </w:r>
            <w:r>
              <w:rPr>
                <w:spacing w:val="-2"/>
                <w:sz w:val="22"/>
              </w:rPr>
              <w:t>month</w:t>
            </w:r>
          </w:p>
        </w:tc>
        <w:tc>
          <w:tcPr>
            <w:tcW w:w="3923" w:type="dxa"/>
            <w:tcBorders>
              <w:top w:val="single" w:sz="6" w:space="0" w:color="1C5349"/>
              <w:bottom w:val="single" w:sz="6" w:space="0" w:color="1C5349"/>
            </w:tcBorders>
          </w:tcPr>
          <w:p>
            <w:pPr>
              <w:pStyle w:val="TableParagraph"/>
              <w:ind w:left="391"/>
              <w:rPr>
                <w:sz w:val="22"/>
              </w:rPr>
            </w:pPr>
            <w:r>
              <w:rPr>
                <w:sz w:val="22"/>
              </w:rPr>
              <w:t>75</w:t>
            </w:r>
            <w:r>
              <w:rPr>
                <w:spacing w:val="6"/>
                <w:sz w:val="22"/>
              </w:rPr>
              <w:t> </w:t>
            </w:r>
            <w:r>
              <w:rPr>
                <w:sz w:val="22"/>
              </w:rPr>
              <w:t>mg</w:t>
            </w:r>
            <w:r>
              <w:rPr>
                <w:spacing w:val="6"/>
                <w:sz w:val="22"/>
              </w:rPr>
              <w:t> </w:t>
            </w:r>
            <w:r>
              <w:rPr>
                <w:sz w:val="22"/>
              </w:rPr>
              <w:t>daily</w:t>
            </w:r>
            <w:r>
              <w:rPr>
                <w:spacing w:val="6"/>
                <w:sz w:val="22"/>
              </w:rPr>
              <w:t> </w:t>
            </w:r>
            <w:r>
              <w:rPr>
                <w:sz w:val="22"/>
              </w:rPr>
              <w:t>for</w:t>
            </w:r>
            <w:r>
              <w:rPr>
                <w:spacing w:val="6"/>
                <w:sz w:val="22"/>
              </w:rPr>
              <w:t> </w:t>
            </w:r>
            <w:r>
              <w:rPr>
                <w:sz w:val="22"/>
              </w:rPr>
              <w:t>2</w:t>
            </w:r>
            <w:r>
              <w:rPr>
                <w:spacing w:val="7"/>
                <w:sz w:val="22"/>
              </w:rPr>
              <w:t> </w:t>
            </w:r>
            <w:r>
              <w:rPr>
                <w:sz w:val="22"/>
              </w:rPr>
              <w:t>d</w:t>
            </w:r>
            <w:r>
              <w:rPr>
                <w:spacing w:val="6"/>
                <w:sz w:val="22"/>
              </w:rPr>
              <w:t> </w:t>
            </w:r>
            <w:r>
              <w:rPr>
                <w:sz w:val="22"/>
              </w:rPr>
              <w:t>each</w:t>
            </w:r>
            <w:r>
              <w:rPr>
                <w:spacing w:val="6"/>
                <w:sz w:val="22"/>
              </w:rPr>
              <w:t> </w:t>
            </w:r>
            <w:r>
              <w:rPr>
                <w:spacing w:val="-2"/>
                <w:sz w:val="22"/>
              </w:rPr>
              <w:t>month</w:t>
            </w:r>
          </w:p>
        </w:tc>
      </w:tr>
      <w:tr>
        <w:trPr>
          <w:trHeight w:val="554" w:hRule="atLeast"/>
        </w:trPr>
        <w:tc>
          <w:tcPr>
            <w:tcW w:w="1754" w:type="dxa"/>
            <w:tcBorders>
              <w:top w:val="single" w:sz="6" w:space="0" w:color="1C5349"/>
              <w:bottom w:val="single" w:sz="6" w:space="0" w:color="1C5349"/>
            </w:tcBorders>
          </w:tcPr>
          <w:p>
            <w:pPr>
              <w:pStyle w:val="TableParagraph"/>
              <w:spacing w:before="0"/>
              <w:ind w:left="0"/>
              <w:rPr>
                <w:sz w:val="28"/>
              </w:rPr>
            </w:pPr>
          </w:p>
        </w:tc>
        <w:tc>
          <w:tcPr>
            <w:tcW w:w="3474" w:type="dxa"/>
            <w:tcBorders>
              <w:top w:val="single" w:sz="6" w:space="0" w:color="1C5349"/>
              <w:bottom w:val="single" w:sz="6" w:space="0" w:color="1C5349"/>
            </w:tcBorders>
          </w:tcPr>
          <w:p>
            <w:pPr>
              <w:pStyle w:val="TableParagraph"/>
              <w:ind w:left="250"/>
              <w:rPr>
                <w:sz w:val="22"/>
              </w:rPr>
            </w:pPr>
            <w:r>
              <w:rPr>
                <w:sz w:val="22"/>
              </w:rPr>
              <w:t>150</w:t>
            </w:r>
            <w:r>
              <w:rPr>
                <w:spacing w:val="7"/>
                <w:sz w:val="22"/>
              </w:rPr>
              <w:t> </w:t>
            </w:r>
            <w:r>
              <w:rPr>
                <w:sz w:val="22"/>
              </w:rPr>
              <w:t>mg</w:t>
            </w:r>
            <w:r>
              <w:rPr>
                <w:spacing w:val="7"/>
                <w:sz w:val="22"/>
              </w:rPr>
              <w:t> </w:t>
            </w:r>
            <w:r>
              <w:rPr>
                <w:spacing w:val="-2"/>
                <w:sz w:val="22"/>
              </w:rPr>
              <w:t>monthly</w:t>
            </w:r>
          </w:p>
        </w:tc>
        <w:tc>
          <w:tcPr>
            <w:tcW w:w="3923" w:type="dxa"/>
            <w:tcBorders>
              <w:top w:val="single" w:sz="6" w:space="0" w:color="1C5349"/>
              <w:bottom w:val="single" w:sz="6" w:space="0" w:color="1C5349"/>
            </w:tcBorders>
          </w:tcPr>
          <w:p>
            <w:pPr>
              <w:pStyle w:val="TableParagraph"/>
              <w:ind w:left="391"/>
              <w:rPr>
                <w:sz w:val="22"/>
              </w:rPr>
            </w:pPr>
            <w:r>
              <w:rPr>
                <w:sz w:val="22"/>
              </w:rPr>
              <w:t>150</w:t>
            </w:r>
            <w:r>
              <w:rPr>
                <w:spacing w:val="7"/>
                <w:sz w:val="22"/>
              </w:rPr>
              <w:t> </w:t>
            </w:r>
            <w:r>
              <w:rPr>
                <w:sz w:val="22"/>
              </w:rPr>
              <w:t>mg</w:t>
            </w:r>
            <w:r>
              <w:rPr>
                <w:spacing w:val="7"/>
                <w:sz w:val="22"/>
              </w:rPr>
              <w:t> </w:t>
            </w:r>
            <w:r>
              <w:rPr>
                <w:spacing w:val="-2"/>
                <w:sz w:val="22"/>
              </w:rPr>
              <w:t>monthly</w:t>
            </w:r>
          </w:p>
        </w:tc>
      </w:tr>
      <w:tr>
        <w:trPr>
          <w:trHeight w:val="554" w:hRule="atLeast"/>
        </w:trPr>
        <w:tc>
          <w:tcPr>
            <w:tcW w:w="1754" w:type="dxa"/>
            <w:tcBorders>
              <w:top w:val="single" w:sz="6" w:space="0" w:color="1C5349"/>
              <w:bottom w:val="single" w:sz="6" w:space="0" w:color="1C5349"/>
            </w:tcBorders>
          </w:tcPr>
          <w:p>
            <w:pPr>
              <w:pStyle w:val="TableParagraph"/>
              <w:rPr>
                <w:sz w:val="22"/>
              </w:rPr>
            </w:pPr>
            <w:r>
              <w:rPr>
                <w:spacing w:val="-2"/>
                <w:sz w:val="22"/>
              </w:rPr>
              <w:t>Ibandronate</w:t>
            </w:r>
          </w:p>
        </w:tc>
        <w:tc>
          <w:tcPr>
            <w:tcW w:w="3474" w:type="dxa"/>
            <w:tcBorders>
              <w:top w:val="single" w:sz="6" w:space="0" w:color="1C5349"/>
              <w:bottom w:val="single" w:sz="6" w:space="0" w:color="1C5349"/>
            </w:tcBorders>
          </w:tcPr>
          <w:p>
            <w:pPr>
              <w:pStyle w:val="TableParagraph"/>
              <w:ind w:left="250"/>
              <w:rPr>
                <w:sz w:val="22"/>
              </w:rPr>
            </w:pPr>
            <w:r>
              <w:rPr>
                <w:sz w:val="22"/>
              </w:rPr>
              <w:t>2.5</w:t>
            </w:r>
            <w:r>
              <w:rPr>
                <w:spacing w:val="6"/>
                <w:sz w:val="22"/>
              </w:rPr>
              <w:t> </w:t>
            </w:r>
            <w:r>
              <w:rPr>
                <w:sz w:val="22"/>
              </w:rPr>
              <w:t>mg</w:t>
            </w:r>
            <w:r>
              <w:rPr>
                <w:spacing w:val="7"/>
                <w:sz w:val="22"/>
              </w:rPr>
              <w:t> </w:t>
            </w:r>
            <w:r>
              <w:rPr>
                <w:spacing w:val="-2"/>
                <w:sz w:val="22"/>
              </w:rPr>
              <w:t>daily</w:t>
            </w:r>
          </w:p>
        </w:tc>
        <w:tc>
          <w:tcPr>
            <w:tcW w:w="3923" w:type="dxa"/>
            <w:tcBorders>
              <w:top w:val="single" w:sz="6" w:space="0" w:color="1C5349"/>
              <w:bottom w:val="single" w:sz="6" w:space="0" w:color="1C5349"/>
            </w:tcBorders>
          </w:tcPr>
          <w:p>
            <w:pPr>
              <w:pStyle w:val="TableParagraph"/>
              <w:ind w:left="391"/>
              <w:rPr>
                <w:sz w:val="22"/>
              </w:rPr>
            </w:pPr>
            <w:r>
              <w:rPr>
                <w:sz w:val="22"/>
              </w:rPr>
              <w:t>2.5</w:t>
            </w:r>
            <w:r>
              <w:rPr>
                <w:spacing w:val="6"/>
                <w:sz w:val="22"/>
              </w:rPr>
              <w:t> </w:t>
            </w:r>
            <w:r>
              <w:rPr>
                <w:sz w:val="22"/>
              </w:rPr>
              <w:t>mg</w:t>
            </w:r>
            <w:r>
              <w:rPr>
                <w:spacing w:val="7"/>
                <w:sz w:val="22"/>
              </w:rPr>
              <w:t> </w:t>
            </w:r>
            <w:r>
              <w:rPr>
                <w:spacing w:val="-2"/>
                <w:sz w:val="22"/>
              </w:rPr>
              <w:t>daily</w:t>
            </w:r>
          </w:p>
        </w:tc>
      </w:tr>
      <w:tr>
        <w:trPr>
          <w:trHeight w:val="554" w:hRule="atLeast"/>
        </w:trPr>
        <w:tc>
          <w:tcPr>
            <w:tcW w:w="1754" w:type="dxa"/>
            <w:tcBorders>
              <w:top w:val="single" w:sz="6" w:space="0" w:color="1C5349"/>
              <w:bottom w:val="single" w:sz="6" w:space="0" w:color="1C5349"/>
            </w:tcBorders>
          </w:tcPr>
          <w:p>
            <w:pPr>
              <w:pStyle w:val="TableParagraph"/>
              <w:spacing w:before="0"/>
              <w:ind w:left="0"/>
              <w:rPr>
                <w:sz w:val="28"/>
              </w:rPr>
            </w:pPr>
          </w:p>
        </w:tc>
        <w:tc>
          <w:tcPr>
            <w:tcW w:w="3474" w:type="dxa"/>
            <w:tcBorders>
              <w:top w:val="single" w:sz="6" w:space="0" w:color="1C5349"/>
              <w:bottom w:val="single" w:sz="6" w:space="0" w:color="1C5349"/>
            </w:tcBorders>
          </w:tcPr>
          <w:p>
            <w:pPr>
              <w:pStyle w:val="TableParagraph"/>
              <w:spacing w:before="0"/>
              <w:ind w:left="0"/>
              <w:rPr>
                <w:sz w:val="28"/>
              </w:rPr>
            </w:pPr>
          </w:p>
        </w:tc>
        <w:tc>
          <w:tcPr>
            <w:tcW w:w="3923" w:type="dxa"/>
            <w:tcBorders>
              <w:top w:val="single" w:sz="6" w:space="0" w:color="1C5349"/>
              <w:bottom w:val="single" w:sz="6" w:space="0" w:color="1C5349"/>
            </w:tcBorders>
          </w:tcPr>
          <w:p>
            <w:pPr>
              <w:pStyle w:val="TableParagraph"/>
              <w:ind w:left="391"/>
              <w:rPr>
                <w:sz w:val="22"/>
              </w:rPr>
            </w:pPr>
            <w:r>
              <w:rPr>
                <w:sz w:val="22"/>
              </w:rPr>
              <w:t>150</w:t>
            </w:r>
            <w:r>
              <w:rPr>
                <w:spacing w:val="7"/>
                <w:sz w:val="22"/>
              </w:rPr>
              <w:t> </w:t>
            </w:r>
            <w:r>
              <w:rPr>
                <w:sz w:val="22"/>
              </w:rPr>
              <w:t>mg</w:t>
            </w:r>
            <w:r>
              <w:rPr>
                <w:spacing w:val="7"/>
                <w:sz w:val="22"/>
              </w:rPr>
              <w:t> </w:t>
            </w:r>
            <w:r>
              <w:rPr>
                <w:spacing w:val="-2"/>
                <w:sz w:val="22"/>
              </w:rPr>
              <w:t>monthly</w:t>
            </w:r>
          </w:p>
        </w:tc>
      </w:tr>
      <w:tr>
        <w:trPr>
          <w:trHeight w:val="554" w:hRule="atLeast"/>
        </w:trPr>
        <w:tc>
          <w:tcPr>
            <w:tcW w:w="1754" w:type="dxa"/>
            <w:tcBorders>
              <w:top w:val="single" w:sz="6" w:space="0" w:color="1C5349"/>
              <w:bottom w:val="single" w:sz="6" w:space="0" w:color="1C5349"/>
            </w:tcBorders>
          </w:tcPr>
          <w:p>
            <w:pPr>
              <w:pStyle w:val="TableParagraph"/>
              <w:spacing w:before="0"/>
              <w:ind w:left="0"/>
              <w:rPr>
                <w:sz w:val="28"/>
              </w:rPr>
            </w:pPr>
          </w:p>
        </w:tc>
        <w:tc>
          <w:tcPr>
            <w:tcW w:w="3474" w:type="dxa"/>
            <w:tcBorders>
              <w:top w:val="single" w:sz="6" w:space="0" w:color="1C5349"/>
              <w:bottom w:val="single" w:sz="6" w:space="0" w:color="1C5349"/>
            </w:tcBorders>
          </w:tcPr>
          <w:p>
            <w:pPr>
              <w:pStyle w:val="TableParagraph"/>
              <w:spacing w:before="0"/>
              <w:ind w:left="0"/>
              <w:rPr>
                <w:sz w:val="28"/>
              </w:rPr>
            </w:pPr>
          </w:p>
        </w:tc>
        <w:tc>
          <w:tcPr>
            <w:tcW w:w="3923" w:type="dxa"/>
            <w:tcBorders>
              <w:top w:val="single" w:sz="6" w:space="0" w:color="1C5349"/>
              <w:bottom w:val="single" w:sz="6" w:space="0" w:color="1C5349"/>
            </w:tcBorders>
          </w:tcPr>
          <w:p>
            <w:pPr>
              <w:pStyle w:val="TableParagraph"/>
              <w:ind w:left="391"/>
              <w:rPr>
                <w:sz w:val="22"/>
              </w:rPr>
            </w:pPr>
            <w:r>
              <w:rPr>
                <w:sz w:val="22"/>
              </w:rPr>
              <w:t>3</w:t>
            </w:r>
            <w:r>
              <w:rPr>
                <w:spacing w:val="5"/>
                <w:sz w:val="22"/>
              </w:rPr>
              <w:t> </w:t>
            </w:r>
            <w:r>
              <w:rPr>
                <w:sz w:val="22"/>
              </w:rPr>
              <w:t>mg</w:t>
            </w:r>
            <w:r>
              <w:rPr>
                <w:spacing w:val="6"/>
                <w:sz w:val="22"/>
              </w:rPr>
              <w:t> </w:t>
            </w:r>
            <w:r>
              <w:rPr>
                <w:sz w:val="22"/>
              </w:rPr>
              <w:t>IV</w:t>
            </w:r>
            <w:r>
              <w:rPr>
                <w:spacing w:val="6"/>
                <w:sz w:val="22"/>
              </w:rPr>
              <w:t> </w:t>
            </w:r>
            <w:r>
              <w:rPr>
                <w:sz w:val="22"/>
              </w:rPr>
              <w:t>every</w:t>
            </w:r>
            <w:r>
              <w:rPr>
                <w:spacing w:val="6"/>
                <w:sz w:val="22"/>
              </w:rPr>
              <w:t> </w:t>
            </w:r>
            <w:r>
              <w:rPr>
                <w:sz w:val="22"/>
              </w:rPr>
              <w:t>3</w:t>
            </w:r>
            <w:r>
              <w:rPr>
                <w:spacing w:val="6"/>
                <w:sz w:val="22"/>
              </w:rPr>
              <w:t> </w:t>
            </w:r>
            <w:r>
              <w:rPr>
                <w:spacing w:val="-5"/>
                <w:sz w:val="22"/>
              </w:rPr>
              <w:t>mo</w:t>
            </w:r>
          </w:p>
        </w:tc>
      </w:tr>
      <w:tr>
        <w:trPr>
          <w:trHeight w:val="554" w:hRule="atLeast"/>
        </w:trPr>
        <w:tc>
          <w:tcPr>
            <w:tcW w:w="1754" w:type="dxa"/>
            <w:tcBorders>
              <w:top w:val="single" w:sz="6" w:space="0" w:color="1C5349"/>
              <w:bottom w:val="single" w:sz="6" w:space="0" w:color="1C5349"/>
            </w:tcBorders>
          </w:tcPr>
          <w:p>
            <w:pPr>
              <w:pStyle w:val="TableParagraph"/>
              <w:rPr>
                <w:sz w:val="22"/>
              </w:rPr>
            </w:pPr>
            <w:r>
              <w:rPr>
                <w:sz w:val="22"/>
              </w:rPr>
              <w:t>Zoledronic</w:t>
            </w:r>
            <w:r>
              <w:rPr>
                <w:spacing w:val="20"/>
                <w:sz w:val="22"/>
              </w:rPr>
              <w:t> </w:t>
            </w:r>
            <w:r>
              <w:rPr>
                <w:spacing w:val="-4"/>
                <w:sz w:val="22"/>
              </w:rPr>
              <w:t>acid</w:t>
            </w:r>
          </w:p>
        </w:tc>
        <w:tc>
          <w:tcPr>
            <w:tcW w:w="3474" w:type="dxa"/>
            <w:tcBorders>
              <w:top w:val="single" w:sz="6" w:space="0" w:color="1C5349"/>
              <w:bottom w:val="single" w:sz="6" w:space="0" w:color="1C5349"/>
            </w:tcBorders>
          </w:tcPr>
          <w:p>
            <w:pPr>
              <w:pStyle w:val="TableParagraph"/>
              <w:ind w:left="250"/>
              <w:rPr>
                <w:sz w:val="22"/>
              </w:rPr>
            </w:pPr>
            <w:r>
              <w:rPr>
                <w:sz w:val="22"/>
              </w:rPr>
              <w:t>5</w:t>
            </w:r>
            <w:r>
              <w:rPr>
                <w:spacing w:val="5"/>
                <w:sz w:val="22"/>
              </w:rPr>
              <w:t> </w:t>
            </w:r>
            <w:r>
              <w:rPr>
                <w:sz w:val="22"/>
              </w:rPr>
              <w:t>mg</w:t>
            </w:r>
            <w:r>
              <w:rPr>
                <w:spacing w:val="6"/>
                <w:sz w:val="22"/>
              </w:rPr>
              <w:t> </w:t>
            </w:r>
            <w:r>
              <w:rPr>
                <w:sz w:val="22"/>
              </w:rPr>
              <w:t>IV</w:t>
            </w:r>
            <w:r>
              <w:rPr>
                <w:spacing w:val="6"/>
                <w:sz w:val="22"/>
              </w:rPr>
              <w:t> </w:t>
            </w:r>
            <w:r>
              <w:rPr>
                <w:sz w:val="22"/>
              </w:rPr>
              <w:t>every</w:t>
            </w:r>
            <w:r>
              <w:rPr>
                <w:spacing w:val="6"/>
                <w:sz w:val="22"/>
              </w:rPr>
              <w:t> </w:t>
            </w:r>
            <w:r>
              <w:rPr>
                <w:sz w:val="22"/>
              </w:rPr>
              <w:t>2</w:t>
            </w:r>
            <w:r>
              <w:rPr>
                <w:spacing w:val="6"/>
                <w:sz w:val="22"/>
              </w:rPr>
              <w:t> </w:t>
            </w:r>
            <w:r>
              <w:rPr>
                <w:spacing w:val="-10"/>
                <w:sz w:val="22"/>
              </w:rPr>
              <w:t>y</w:t>
            </w:r>
          </w:p>
        </w:tc>
        <w:tc>
          <w:tcPr>
            <w:tcW w:w="3923" w:type="dxa"/>
            <w:tcBorders>
              <w:top w:val="single" w:sz="6" w:space="0" w:color="1C5349"/>
              <w:bottom w:val="single" w:sz="6" w:space="0" w:color="1C5349"/>
            </w:tcBorders>
          </w:tcPr>
          <w:p>
            <w:pPr>
              <w:pStyle w:val="TableParagraph"/>
              <w:ind w:left="391"/>
              <w:rPr>
                <w:sz w:val="22"/>
              </w:rPr>
            </w:pPr>
            <w:r>
              <w:rPr>
                <w:sz w:val="22"/>
              </w:rPr>
              <w:t>5</w:t>
            </w:r>
            <w:r>
              <w:rPr>
                <w:spacing w:val="5"/>
                <w:sz w:val="22"/>
              </w:rPr>
              <w:t> </w:t>
            </w:r>
            <w:r>
              <w:rPr>
                <w:sz w:val="22"/>
              </w:rPr>
              <w:t>mg</w:t>
            </w:r>
            <w:r>
              <w:rPr>
                <w:spacing w:val="5"/>
                <w:sz w:val="22"/>
              </w:rPr>
              <w:t> </w:t>
            </w:r>
            <w:r>
              <w:rPr>
                <w:sz w:val="22"/>
              </w:rPr>
              <w:t>IV</w:t>
            </w:r>
            <w:r>
              <w:rPr>
                <w:spacing w:val="5"/>
                <w:sz w:val="22"/>
              </w:rPr>
              <w:t> </w:t>
            </w:r>
            <w:r>
              <w:rPr>
                <w:spacing w:val="-2"/>
                <w:sz w:val="22"/>
              </w:rPr>
              <w:t>annually</w:t>
            </w:r>
          </w:p>
        </w:tc>
      </w:tr>
    </w:tbl>
    <w:p>
      <w:pPr>
        <w:spacing w:before="182"/>
        <w:ind w:left="99" w:right="0" w:firstLine="0"/>
        <w:jc w:val="left"/>
        <w:rPr>
          <w:sz w:val="22"/>
        </w:rPr>
      </w:pPr>
      <w:r>
        <w:rPr>
          <w:spacing w:val="-6"/>
          <w:sz w:val="22"/>
        </w:rPr>
        <w:t>IV,</w:t>
      </w:r>
      <w:r>
        <w:rPr>
          <w:spacing w:val="-5"/>
          <w:sz w:val="22"/>
        </w:rPr>
        <w:t> </w:t>
      </w:r>
      <w:r>
        <w:rPr>
          <w:spacing w:val="-2"/>
          <w:sz w:val="22"/>
        </w:rPr>
        <w:t>intravenous.</w:t>
      </w:r>
    </w:p>
    <w:p>
      <w:pPr>
        <w:pStyle w:val="BodyText"/>
        <w:spacing w:before="213"/>
        <w:ind w:left="0"/>
        <w:jc w:val="left"/>
        <w:rPr>
          <w:sz w:val="22"/>
        </w:rPr>
      </w:pPr>
    </w:p>
    <w:p>
      <w:pPr>
        <w:spacing w:before="0"/>
        <w:ind w:left="99" w:right="0" w:firstLine="0"/>
        <w:jc w:val="left"/>
        <w:rPr>
          <w:rFonts w:ascii="Arial"/>
          <w:b/>
          <w:i/>
          <w:sz w:val="22"/>
        </w:rPr>
      </w:pPr>
      <w:r>
        <w:rPr>
          <w:rFonts w:ascii="Arial"/>
          <w:b/>
          <w:i/>
          <w:color w:val="A0234E"/>
          <w:sz w:val="22"/>
        </w:rPr>
        <w:t>How</w:t>
      </w:r>
      <w:r>
        <w:rPr>
          <w:rFonts w:ascii="Arial"/>
          <w:b/>
          <w:i/>
          <w:color w:val="A0234E"/>
          <w:spacing w:val="16"/>
          <w:sz w:val="22"/>
        </w:rPr>
        <w:t> </w:t>
      </w:r>
      <w:r>
        <w:rPr>
          <w:rFonts w:ascii="Arial"/>
          <w:b/>
          <w:i/>
          <w:color w:val="A0234E"/>
          <w:sz w:val="22"/>
        </w:rPr>
        <w:t>Long</w:t>
      </w:r>
      <w:r>
        <w:rPr>
          <w:rFonts w:ascii="Arial"/>
          <w:b/>
          <w:i/>
          <w:color w:val="A0234E"/>
          <w:spacing w:val="16"/>
          <w:sz w:val="22"/>
        </w:rPr>
        <w:t> </w:t>
      </w:r>
      <w:r>
        <w:rPr>
          <w:rFonts w:ascii="Arial"/>
          <w:b/>
          <w:i/>
          <w:color w:val="A0234E"/>
          <w:sz w:val="22"/>
        </w:rPr>
        <w:t>Should</w:t>
      </w:r>
      <w:r>
        <w:rPr>
          <w:rFonts w:ascii="Arial"/>
          <w:b/>
          <w:i/>
          <w:color w:val="A0234E"/>
          <w:spacing w:val="16"/>
          <w:sz w:val="22"/>
        </w:rPr>
        <w:t> </w:t>
      </w:r>
      <w:r>
        <w:rPr>
          <w:rFonts w:ascii="Arial"/>
          <w:b/>
          <w:i/>
          <w:color w:val="A0234E"/>
          <w:sz w:val="22"/>
        </w:rPr>
        <w:t>Bisphosphonate</w:t>
      </w:r>
      <w:r>
        <w:rPr>
          <w:rFonts w:ascii="Arial"/>
          <w:b/>
          <w:i/>
          <w:color w:val="A0234E"/>
          <w:spacing w:val="16"/>
          <w:sz w:val="22"/>
        </w:rPr>
        <w:t> </w:t>
      </w:r>
      <w:r>
        <w:rPr>
          <w:rFonts w:ascii="Arial"/>
          <w:b/>
          <w:i/>
          <w:color w:val="A0234E"/>
          <w:sz w:val="22"/>
        </w:rPr>
        <w:t>Treatment</w:t>
      </w:r>
      <w:r>
        <w:rPr>
          <w:rFonts w:ascii="Arial"/>
          <w:b/>
          <w:i/>
          <w:color w:val="A0234E"/>
          <w:spacing w:val="17"/>
          <w:sz w:val="22"/>
        </w:rPr>
        <w:t> </w:t>
      </w:r>
      <w:r>
        <w:rPr>
          <w:rFonts w:ascii="Arial"/>
          <w:b/>
          <w:i/>
          <w:color w:val="A0234E"/>
          <w:sz w:val="22"/>
        </w:rPr>
        <w:t>Be</w:t>
      </w:r>
      <w:r>
        <w:rPr>
          <w:rFonts w:ascii="Arial"/>
          <w:b/>
          <w:i/>
          <w:color w:val="A0234E"/>
          <w:spacing w:val="16"/>
          <w:sz w:val="22"/>
        </w:rPr>
        <w:t> </w:t>
      </w:r>
      <w:r>
        <w:rPr>
          <w:rFonts w:ascii="Arial"/>
          <w:b/>
          <w:i/>
          <w:color w:val="A0234E"/>
          <w:spacing w:val="-2"/>
          <w:sz w:val="22"/>
        </w:rPr>
        <w:t>Continued?</w:t>
      </w:r>
    </w:p>
    <w:p>
      <w:pPr>
        <w:pStyle w:val="BodyText"/>
        <w:spacing w:line="249" w:lineRule="auto" w:before="139"/>
        <w:ind w:right="98"/>
      </w:pPr>
      <w:r>
        <w:rPr/>
        <w:t>In an extension of the alendronate Fracture Intervention Trial (FIT), the participants were randomized after 5 years of treatment either to another </w:t>
      </w:r>
      <w:r>
        <w:rPr/>
        <w:t>5 years of treatment or placebo.</w:t>
      </w:r>
      <w:r>
        <w:rPr>
          <w:vertAlign w:val="superscript"/>
        </w:rPr>
        <w:t>267</w:t>
      </w:r>
      <w:r>
        <w:rPr>
          <w:vertAlign w:val="baseline"/>
        </w:rPr>
        <w:t> The group that discontinued alendronate treatment (5 or 10 mg/d) experienced small losses of BMD over 5 years. The levels, however, remained above the pretreatment levels 10 years previously.</w:t>
      </w:r>
      <w:r>
        <w:rPr>
          <w:spacing w:val="-6"/>
          <w:vertAlign w:val="baseline"/>
        </w:rPr>
        <w:t> </w:t>
      </w:r>
      <w:r>
        <w:rPr>
          <w:vertAlign w:val="baseline"/>
        </w:rPr>
        <w:t>There were no differences in nonvertebral fractures between the treatment and placebo groups, but there was a 2-fold higher rate of</w:t>
      </w:r>
      <w:r>
        <w:rPr>
          <w:spacing w:val="40"/>
          <w:vertAlign w:val="baseline"/>
        </w:rPr>
        <w:t> </w:t>
      </w:r>
      <w:r>
        <w:rPr>
          <w:vertAlign w:val="baseline"/>
        </w:rPr>
        <w:t>clinically recognizable vertebral fractures in the placebo group (5.3% vs 2.4%).</w:t>
      </w:r>
      <w:r>
        <w:rPr>
          <w:spacing w:val="-3"/>
          <w:vertAlign w:val="baseline"/>
        </w:rPr>
        <w:t> </w:t>
      </w:r>
      <w:r>
        <w:rPr>
          <w:vertAlign w:val="baseline"/>
        </w:rPr>
        <w:t>It was concluded that for most women, a period of drug holiday may be safely considered after 5 years of treatment with alendronate and that long-term treatment beyond 5 years should be limited to high-risk women (women with existing vertebral fractures or very low bone densities).</w:t>
      </w:r>
    </w:p>
    <w:p>
      <w:pPr>
        <w:pStyle w:val="BodyText"/>
        <w:spacing w:line="249" w:lineRule="auto" w:before="14"/>
        <w:ind w:right="98" w:firstLine="450"/>
      </w:pPr>
      <w:r>
        <w:rPr/>
        <w:t>The rate of hip fracture among women who </w:t>
      </w:r>
      <w:r>
        <w:rPr/>
        <w:t>discontinued bisphosphonate therapy was compared with women who remained on treatment.</w:t>
      </w:r>
      <w:r>
        <w:rPr>
          <w:vertAlign w:val="superscript"/>
        </w:rPr>
        <w:t>268</w:t>
      </w:r>
      <w:r>
        <w:rPr>
          <w:vertAlign w:val="baseline"/>
        </w:rPr>
        <w:t> The study group consisted of 9,063 users who had been compliant for at least 2 years. The hip fracture rate almost doubled in the women</w:t>
      </w:r>
      <w:r>
        <w:rPr>
          <w:spacing w:val="-4"/>
          <w:vertAlign w:val="baseline"/>
        </w:rPr>
        <w:t> </w:t>
      </w:r>
      <w:r>
        <w:rPr>
          <w:vertAlign w:val="baseline"/>
        </w:rPr>
        <w:t>who</w:t>
      </w:r>
      <w:r>
        <w:rPr>
          <w:spacing w:val="-4"/>
          <w:vertAlign w:val="baseline"/>
        </w:rPr>
        <w:t> </w:t>
      </w:r>
      <w:r>
        <w:rPr>
          <w:vertAlign w:val="baseline"/>
        </w:rPr>
        <w:t>discontinued</w:t>
      </w:r>
      <w:r>
        <w:rPr>
          <w:spacing w:val="-4"/>
          <w:vertAlign w:val="baseline"/>
        </w:rPr>
        <w:t> </w:t>
      </w:r>
      <w:r>
        <w:rPr>
          <w:vertAlign w:val="baseline"/>
        </w:rPr>
        <w:t>treatment</w:t>
      </w:r>
      <w:r>
        <w:rPr>
          <w:spacing w:val="-4"/>
          <w:vertAlign w:val="baseline"/>
        </w:rPr>
        <w:t> </w:t>
      </w:r>
      <w:r>
        <w:rPr>
          <w:vertAlign w:val="baseline"/>
        </w:rPr>
        <w:t>compared</w:t>
      </w:r>
      <w:r>
        <w:rPr>
          <w:spacing w:val="-4"/>
          <w:vertAlign w:val="baseline"/>
        </w:rPr>
        <w:t> </w:t>
      </w:r>
      <w:r>
        <w:rPr>
          <w:vertAlign w:val="baseline"/>
        </w:rPr>
        <w:t>with</w:t>
      </w:r>
      <w:r>
        <w:rPr>
          <w:spacing w:val="-4"/>
          <w:vertAlign w:val="baseline"/>
        </w:rPr>
        <w:t> </w:t>
      </w:r>
      <w:r>
        <w:rPr>
          <w:vertAlign w:val="baseline"/>
        </w:rPr>
        <w:t>those</w:t>
      </w:r>
      <w:r>
        <w:rPr>
          <w:spacing w:val="-4"/>
          <w:vertAlign w:val="baseline"/>
        </w:rPr>
        <w:t> </w:t>
      </w:r>
      <w:r>
        <w:rPr>
          <w:vertAlign w:val="baseline"/>
        </w:rPr>
        <w:t>who</w:t>
      </w:r>
      <w:r>
        <w:rPr>
          <w:spacing w:val="-4"/>
          <w:vertAlign w:val="baseline"/>
        </w:rPr>
        <w:t> </w:t>
      </w:r>
      <w:r>
        <w:rPr>
          <w:vertAlign w:val="baseline"/>
        </w:rPr>
        <w:t>did</w:t>
      </w:r>
      <w:r>
        <w:rPr>
          <w:spacing w:val="-4"/>
          <w:vertAlign w:val="baseline"/>
        </w:rPr>
        <w:t> </w:t>
      </w:r>
      <w:r>
        <w:rPr>
          <w:vertAlign w:val="baseline"/>
        </w:rPr>
        <w:t>not.</w:t>
      </w:r>
      <w:r>
        <w:rPr>
          <w:spacing w:val="-5"/>
          <w:vertAlign w:val="baseline"/>
        </w:rPr>
        <w:t> </w:t>
      </w:r>
      <w:r>
        <w:rPr>
          <w:vertAlign w:val="baseline"/>
        </w:rPr>
        <w:t>After discontinuation for a year or longer, the risk of hip fracture increased by 9 months</w:t>
      </w:r>
      <w:r>
        <w:rPr>
          <w:spacing w:val="22"/>
          <w:vertAlign w:val="baseline"/>
        </w:rPr>
        <w:t>  </w:t>
      </w:r>
      <w:r>
        <w:rPr>
          <w:vertAlign w:val="baseline"/>
        </w:rPr>
        <w:t>in</w:t>
      </w:r>
      <w:r>
        <w:rPr>
          <w:spacing w:val="23"/>
          <w:vertAlign w:val="baseline"/>
        </w:rPr>
        <w:t>  </w:t>
      </w:r>
      <w:r>
        <w:rPr>
          <w:vertAlign w:val="baseline"/>
        </w:rPr>
        <w:t>women</w:t>
      </w:r>
      <w:r>
        <w:rPr>
          <w:spacing w:val="22"/>
          <w:vertAlign w:val="baseline"/>
        </w:rPr>
        <w:t>  </w:t>
      </w:r>
      <w:r>
        <w:rPr>
          <w:vertAlign w:val="baseline"/>
        </w:rPr>
        <w:t>with</w:t>
      </w:r>
      <w:r>
        <w:rPr>
          <w:spacing w:val="23"/>
          <w:vertAlign w:val="baseline"/>
        </w:rPr>
        <w:t>  </w:t>
      </w:r>
      <w:r>
        <w:rPr>
          <w:vertAlign w:val="baseline"/>
        </w:rPr>
        <w:t>low</w:t>
      </w:r>
      <w:r>
        <w:rPr>
          <w:spacing w:val="22"/>
          <w:vertAlign w:val="baseline"/>
        </w:rPr>
        <w:t>  </w:t>
      </w:r>
      <w:r>
        <w:rPr>
          <w:vertAlign w:val="baseline"/>
        </w:rPr>
        <w:t>compliance</w:t>
      </w:r>
      <w:r>
        <w:rPr>
          <w:spacing w:val="23"/>
          <w:vertAlign w:val="baseline"/>
        </w:rPr>
        <w:t>  </w:t>
      </w:r>
      <w:r>
        <w:rPr>
          <w:vertAlign w:val="baseline"/>
        </w:rPr>
        <w:t>rates.</w:t>
      </w:r>
      <w:r>
        <w:rPr>
          <w:spacing w:val="22"/>
          <w:vertAlign w:val="baseline"/>
        </w:rPr>
        <w:t>  </w:t>
      </w:r>
      <w:r>
        <w:rPr>
          <w:vertAlign w:val="baseline"/>
        </w:rPr>
        <w:t>In</w:t>
      </w:r>
      <w:r>
        <w:rPr>
          <w:spacing w:val="22"/>
          <w:vertAlign w:val="baseline"/>
        </w:rPr>
        <w:t>  </w:t>
      </w:r>
      <w:r>
        <w:rPr>
          <w:vertAlign w:val="baseline"/>
        </w:rPr>
        <w:t>women</w:t>
      </w:r>
      <w:r>
        <w:rPr>
          <w:spacing w:val="23"/>
          <w:vertAlign w:val="baseline"/>
        </w:rPr>
        <w:t>  </w:t>
      </w:r>
      <w:r>
        <w:rPr>
          <w:vertAlign w:val="baseline"/>
        </w:rPr>
        <w:t>with</w:t>
      </w:r>
      <w:r>
        <w:rPr>
          <w:spacing w:val="22"/>
          <w:vertAlign w:val="baseline"/>
        </w:rPr>
        <w:t>  </w:t>
      </w:r>
      <w:r>
        <w:rPr>
          <w:spacing w:val="-4"/>
          <w:vertAlign w:val="baseline"/>
        </w:rPr>
        <w:t>high</w:t>
      </w:r>
    </w:p>
    <w:p>
      <w:pPr>
        <w:pStyle w:val="BodyText"/>
        <w:spacing w:after="0" w:line="249" w:lineRule="auto"/>
        <w:sectPr>
          <w:type w:val="continuous"/>
          <w:pgSz w:w="12240" w:h="15840"/>
          <w:pgMar w:top="1420" w:bottom="280" w:left="1440" w:right="1440"/>
        </w:sectPr>
      </w:pPr>
    </w:p>
    <w:p>
      <w:pPr>
        <w:pStyle w:val="BodyText"/>
        <w:spacing w:line="249" w:lineRule="auto"/>
        <w:ind w:right="102"/>
      </w:pPr>
      <w:r>
        <w:rPr/>
        <w:t>compliance rates for 2 or 3 years, there were no significant differences </w:t>
      </w:r>
      <w:r>
        <w:rPr/>
        <w:t>in fracture risk after discontinuation for up to 1 year later. Why is there this lingering effect?</w:t>
      </w:r>
    </w:p>
    <w:p>
      <w:pPr>
        <w:pStyle w:val="BodyText"/>
        <w:spacing w:line="249" w:lineRule="auto" w:before="3"/>
        <w:ind w:right="101" w:firstLine="450"/>
      </w:pPr>
      <w:r>
        <w:rPr/>
        <w:t>The unique tight binding of bisphosphonates to bone matrix causes this class of drugs to remain in the body for decades. This is believed to be the explanation for why there is no rapid bone loss after discontinuing bisphosphonate treatment in contrast to the rapid loss that follows </w:t>
      </w:r>
      <w:r>
        <w:rPr/>
        <w:t>the termination of treatments such as estrogen or raloxifene or denosumab (discussed later). This is also the reason why concerns have been raised regarding long-term treatment because when bone remodeling releases bound bisphosphonate, it is free to be active again, and as a result, the endogenous bisphosphonate is added to the administered bisphosphonate, raising dosage exposure. The potential risk that has been long recognized is that prolonged exposure to bisphosphonates or excessive dosage would oversuppress bone resorption, thus oversuppressing bone turnover, a phenomenon referred to as </w:t>
      </w:r>
      <w:r>
        <w:rPr>
          <w:i/>
        </w:rPr>
        <w:t>adynamic </w:t>
      </w:r>
      <w:r>
        <w:rPr/>
        <w:t>bone that ultimately affects the biomechanical strength of bone and allows microcracks to accumulate. A unique type of fracture of the femur, commonly referred to as “atypical fracture,” is characterized by a transverse fracture in an area marked by hypertrophy of the cortex and has been associated with long-term use of </w:t>
      </w:r>
      <w:r>
        <w:rPr>
          <w:spacing w:val="-2"/>
        </w:rPr>
        <w:t>bisphosphonates.</w:t>
      </w:r>
      <w:r>
        <w:rPr>
          <w:spacing w:val="-2"/>
          <w:vertAlign w:val="superscript"/>
        </w:rPr>
        <w:t>269</w:t>
      </w:r>
    </w:p>
    <w:p>
      <w:pPr>
        <w:spacing w:before="321"/>
        <w:ind w:left="99" w:right="0" w:firstLine="0"/>
        <w:jc w:val="both"/>
        <w:rPr>
          <w:rFonts w:ascii="Arial"/>
          <w:b/>
          <w:i/>
          <w:sz w:val="22"/>
        </w:rPr>
      </w:pPr>
      <w:r>
        <w:rPr>
          <w:rFonts w:ascii="Arial"/>
          <w:b/>
          <w:i/>
          <w:color w:val="A0234E"/>
          <w:sz w:val="22"/>
        </w:rPr>
        <w:t>Bisphosphonates</w:t>
      </w:r>
      <w:r>
        <w:rPr>
          <w:rFonts w:ascii="Arial"/>
          <w:b/>
          <w:i/>
          <w:color w:val="A0234E"/>
          <w:spacing w:val="18"/>
          <w:sz w:val="22"/>
        </w:rPr>
        <w:t> </w:t>
      </w:r>
      <w:r>
        <w:rPr>
          <w:rFonts w:ascii="Arial"/>
          <w:b/>
          <w:i/>
          <w:color w:val="A0234E"/>
          <w:sz w:val="22"/>
        </w:rPr>
        <w:t>and</w:t>
      </w:r>
      <w:r>
        <w:rPr>
          <w:rFonts w:ascii="Arial"/>
          <w:b/>
          <w:i/>
          <w:color w:val="A0234E"/>
          <w:spacing w:val="18"/>
          <w:sz w:val="22"/>
        </w:rPr>
        <w:t> </w:t>
      </w:r>
      <w:r>
        <w:rPr>
          <w:rFonts w:ascii="Arial"/>
          <w:b/>
          <w:i/>
          <w:color w:val="A0234E"/>
          <w:sz w:val="22"/>
        </w:rPr>
        <w:t>Osteonecrosis</w:t>
      </w:r>
      <w:r>
        <w:rPr>
          <w:rFonts w:ascii="Arial"/>
          <w:b/>
          <w:i/>
          <w:color w:val="A0234E"/>
          <w:spacing w:val="18"/>
          <w:sz w:val="22"/>
        </w:rPr>
        <w:t> </w:t>
      </w:r>
      <w:r>
        <w:rPr>
          <w:rFonts w:ascii="Arial"/>
          <w:b/>
          <w:i/>
          <w:color w:val="A0234E"/>
          <w:sz w:val="22"/>
        </w:rPr>
        <w:t>of</w:t>
      </w:r>
      <w:r>
        <w:rPr>
          <w:rFonts w:ascii="Arial"/>
          <w:b/>
          <w:i/>
          <w:color w:val="A0234E"/>
          <w:spacing w:val="18"/>
          <w:sz w:val="22"/>
        </w:rPr>
        <w:t> </w:t>
      </w:r>
      <w:r>
        <w:rPr>
          <w:rFonts w:ascii="Arial"/>
          <w:b/>
          <w:i/>
          <w:color w:val="A0234E"/>
          <w:sz w:val="22"/>
        </w:rPr>
        <w:t>the</w:t>
      </w:r>
      <w:r>
        <w:rPr>
          <w:rFonts w:ascii="Arial"/>
          <w:b/>
          <w:i/>
          <w:color w:val="A0234E"/>
          <w:spacing w:val="19"/>
          <w:sz w:val="22"/>
        </w:rPr>
        <w:t> </w:t>
      </w:r>
      <w:r>
        <w:rPr>
          <w:rFonts w:ascii="Arial"/>
          <w:b/>
          <w:i/>
          <w:color w:val="A0234E"/>
          <w:spacing w:val="-5"/>
          <w:sz w:val="22"/>
        </w:rPr>
        <w:t>Jaw</w:t>
      </w:r>
    </w:p>
    <w:p>
      <w:pPr>
        <w:pStyle w:val="BodyText"/>
        <w:spacing w:line="249" w:lineRule="auto" w:before="123"/>
        <w:ind w:right="97"/>
      </w:pPr>
      <w:r>
        <w:rPr/>
        <w:t>Osteonecrosis of the jaw (ONJ) is a rare complication that has been described with long-term use of potent antiresorptive agents, including bisphosphonates and denosumab.</w:t>
      </w:r>
      <w:r>
        <w:rPr>
          <w:vertAlign w:val="superscript"/>
        </w:rPr>
        <w:t>270</w:t>
      </w:r>
      <w:r>
        <w:rPr>
          <w:vertAlign w:val="baseline"/>
        </w:rPr>
        <w:t> In an analysis of information from the Surveillance, Epidemiology, and End Results (SEER) databank linked to Medicare claims, 16,703 patients with cancer were identified who </w:t>
      </w:r>
      <w:r>
        <w:rPr>
          <w:vertAlign w:val="baseline"/>
        </w:rPr>
        <w:t>were treated with intravenous (IV) bisphosphonates (pamidronate and zoledronic acid) from 1995 to 2003.</w:t>
      </w:r>
      <w:r>
        <w:rPr>
          <w:vertAlign w:val="superscript"/>
        </w:rPr>
        <w:t>271</w:t>
      </w:r>
      <w:r>
        <w:rPr>
          <w:vertAlign w:val="baseline"/>
        </w:rPr>
        <w:t> When 14,349 treated patients were matched with 28,698 controls, the treated group had a 3-fold increased risk of jaw or facial bone surgery and a very large increased risk of osteomyelitis of the jaw.</w:t>
      </w:r>
      <w:r>
        <w:rPr>
          <w:spacing w:val="-4"/>
          <w:vertAlign w:val="baseline"/>
        </w:rPr>
        <w:t> </w:t>
      </w:r>
      <w:r>
        <w:rPr>
          <w:vertAlign w:val="baseline"/>
        </w:rPr>
        <w:t>The</w:t>
      </w:r>
      <w:r>
        <w:rPr>
          <w:spacing w:val="-2"/>
          <w:vertAlign w:val="baseline"/>
        </w:rPr>
        <w:t> </w:t>
      </w:r>
      <w:r>
        <w:rPr>
          <w:vertAlign w:val="baseline"/>
        </w:rPr>
        <w:t>estimated</w:t>
      </w:r>
      <w:r>
        <w:rPr>
          <w:spacing w:val="-2"/>
          <w:vertAlign w:val="baseline"/>
        </w:rPr>
        <w:t> </w:t>
      </w:r>
      <w:r>
        <w:rPr>
          <w:vertAlign w:val="baseline"/>
        </w:rPr>
        <w:t>absolute</w:t>
      </w:r>
      <w:r>
        <w:rPr>
          <w:spacing w:val="-2"/>
          <w:vertAlign w:val="baseline"/>
        </w:rPr>
        <w:t> </w:t>
      </w:r>
      <w:r>
        <w:rPr>
          <w:vertAlign w:val="baseline"/>
        </w:rPr>
        <w:t>risk</w:t>
      </w:r>
      <w:r>
        <w:rPr>
          <w:spacing w:val="-2"/>
          <w:vertAlign w:val="baseline"/>
        </w:rPr>
        <w:t> </w:t>
      </w:r>
      <w:r>
        <w:rPr>
          <w:vertAlign w:val="baseline"/>
        </w:rPr>
        <w:t>equaled</w:t>
      </w:r>
      <w:r>
        <w:rPr>
          <w:spacing w:val="-2"/>
          <w:vertAlign w:val="baseline"/>
        </w:rPr>
        <w:t> </w:t>
      </w:r>
      <w:r>
        <w:rPr>
          <w:vertAlign w:val="baseline"/>
        </w:rPr>
        <w:t>5.48</w:t>
      </w:r>
      <w:r>
        <w:rPr>
          <w:spacing w:val="-2"/>
          <w:vertAlign w:val="baseline"/>
        </w:rPr>
        <w:t> </w:t>
      </w:r>
      <w:r>
        <w:rPr>
          <w:vertAlign w:val="baseline"/>
        </w:rPr>
        <w:t>events</w:t>
      </w:r>
      <w:r>
        <w:rPr>
          <w:spacing w:val="-2"/>
          <w:vertAlign w:val="baseline"/>
        </w:rPr>
        <w:t> </w:t>
      </w:r>
      <w:r>
        <w:rPr>
          <w:vertAlign w:val="baseline"/>
        </w:rPr>
        <w:t>per</w:t>
      </w:r>
      <w:r>
        <w:rPr>
          <w:spacing w:val="-2"/>
          <w:vertAlign w:val="baseline"/>
        </w:rPr>
        <w:t> </w:t>
      </w:r>
      <w:r>
        <w:rPr>
          <w:vertAlign w:val="baseline"/>
        </w:rPr>
        <w:t>100</w:t>
      </w:r>
      <w:r>
        <w:rPr>
          <w:spacing w:val="-2"/>
          <w:vertAlign w:val="baseline"/>
        </w:rPr>
        <w:t> </w:t>
      </w:r>
      <w:r>
        <w:rPr>
          <w:vertAlign w:val="baseline"/>
        </w:rPr>
        <w:t>patients</w:t>
      </w:r>
      <w:r>
        <w:rPr>
          <w:spacing w:val="-2"/>
          <w:vertAlign w:val="baseline"/>
        </w:rPr>
        <w:t> </w:t>
      </w:r>
      <w:r>
        <w:rPr>
          <w:vertAlign w:val="baseline"/>
        </w:rPr>
        <w:t>over</w:t>
      </w:r>
      <w:r>
        <w:rPr>
          <w:spacing w:val="-2"/>
          <w:vertAlign w:val="baseline"/>
        </w:rPr>
        <w:t> </w:t>
      </w:r>
      <w:r>
        <w:rPr>
          <w:vertAlign w:val="baseline"/>
        </w:rPr>
        <w:t>6 years. In addition, the risk increased with increasing cumulative dose. The absolute risk is much less in patients without cancer being treated with bisphosphonates</w:t>
      </w:r>
      <w:r>
        <w:rPr>
          <w:spacing w:val="33"/>
          <w:vertAlign w:val="baseline"/>
        </w:rPr>
        <w:t>  </w:t>
      </w:r>
      <w:r>
        <w:rPr>
          <w:vertAlign w:val="baseline"/>
        </w:rPr>
        <w:t>for</w:t>
      </w:r>
      <w:r>
        <w:rPr>
          <w:spacing w:val="34"/>
          <w:vertAlign w:val="baseline"/>
        </w:rPr>
        <w:t>  </w:t>
      </w:r>
      <w:r>
        <w:rPr>
          <w:vertAlign w:val="baseline"/>
        </w:rPr>
        <w:t>the</w:t>
      </w:r>
      <w:r>
        <w:rPr>
          <w:spacing w:val="33"/>
          <w:vertAlign w:val="baseline"/>
        </w:rPr>
        <w:t>  </w:t>
      </w:r>
      <w:r>
        <w:rPr>
          <w:vertAlign w:val="baseline"/>
        </w:rPr>
        <w:t>management</w:t>
      </w:r>
      <w:r>
        <w:rPr>
          <w:spacing w:val="34"/>
          <w:vertAlign w:val="baseline"/>
        </w:rPr>
        <w:t>  </w:t>
      </w:r>
      <w:r>
        <w:rPr>
          <w:vertAlign w:val="baseline"/>
        </w:rPr>
        <w:t>of</w:t>
      </w:r>
      <w:r>
        <w:rPr>
          <w:spacing w:val="33"/>
          <w:vertAlign w:val="baseline"/>
        </w:rPr>
        <w:t>  </w:t>
      </w:r>
      <w:r>
        <w:rPr>
          <w:vertAlign w:val="baseline"/>
        </w:rPr>
        <w:t>osteoporosis,</w:t>
      </w:r>
      <w:r>
        <w:rPr>
          <w:spacing w:val="34"/>
          <w:vertAlign w:val="baseline"/>
        </w:rPr>
        <w:t>  </w:t>
      </w:r>
      <w:r>
        <w:rPr>
          <w:vertAlign w:val="baseline"/>
        </w:rPr>
        <w:t>in</w:t>
      </w:r>
      <w:r>
        <w:rPr>
          <w:spacing w:val="33"/>
          <w:vertAlign w:val="baseline"/>
        </w:rPr>
        <w:t>  </w:t>
      </w:r>
      <w:r>
        <w:rPr>
          <w:vertAlign w:val="baseline"/>
        </w:rPr>
        <w:t>whom</w:t>
      </w:r>
      <w:r>
        <w:rPr>
          <w:spacing w:val="34"/>
          <w:vertAlign w:val="baseline"/>
        </w:rPr>
        <w:t>  </w:t>
      </w:r>
      <w:r>
        <w:rPr>
          <w:spacing w:val="-5"/>
          <w:vertAlign w:val="baseline"/>
        </w:rPr>
        <w:t>the</w:t>
      </w:r>
    </w:p>
    <w:p>
      <w:pPr>
        <w:pStyle w:val="BodyText"/>
        <w:spacing w:after="0" w:line="249" w:lineRule="auto"/>
        <w:sectPr>
          <w:pgSz w:w="12240" w:h="15840"/>
          <w:pgMar w:top="1380" w:bottom="280" w:left="1440" w:right="1440"/>
        </w:sectPr>
      </w:pPr>
    </w:p>
    <w:p>
      <w:pPr>
        <w:pStyle w:val="BodyText"/>
        <w:spacing w:line="249" w:lineRule="auto"/>
        <w:ind w:right="108"/>
      </w:pPr>
      <w:r>
        <w:rPr/>
        <w:t>incidence of ONJ is estimated at 0.001% to 0.01%, minimally higher than</w:t>
      </w:r>
      <w:r>
        <w:rPr>
          <w:spacing w:val="40"/>
        </w:rPr>
        <w:t> </w:t>
      </w:r>
      <w:r>
        <w:rPr/>
        <w:t>in the general population.</w:t>
      </w:r>
      <w:r>
        <w:rPr>
          <w:vertAlign w:val="superscript"/>
        </w:rPr>
        <w:t>270</w:t>
      </w:r>
    </w:p>
    <w:p>
      <w:pPr>
        <w:pStyle w:val="BodyText"/>
        <w:spacing w:line="249" w:lineRule="auto" w:before="2"/>
        <w:ind w:right="102" w:firstLine="450"/>
      </w:pPr>
      <w:r>
        <w:rPr/>
        <w:t>The mechanism underlying ONJ in bisphosphonate users is </w:t>
      </w:r>
      <w:r>
        <w:rPr/>
        <w:t>uncertain beyond the recognition that infection and blood flow changes are involved. It is postulated that a compromised healing ability of the bone because of inhibition of bone turnover leads to sequestered osteomyelitis and necrosis. Studies have suggested that the risk of ONJ is greater in patients treated with zoledronic acid compared with pamidronate.</w:t>
      </w:r>
      <w:r>
        <w:rPr>
          <w:vertAlign w:val="superscript"/>
        </w:rPr>
        <w:t>272-274</w:t>
      </w:r>
      <w:r>
        <w:rPr>
          <w:vertAlign w:val="baseline"/>
        </w:rPr>
        <w:t> Awareness of this problem has led to increased attention to oral hygiene and the avoidance of tooth extractions in the high-risk population of patients with cancer receiving bisphosphonate treatment.</w:t>
      </w:r>
    </w:p>
    <w:p>
      <w:pPr>
        <w:spacing w:line="249" w:lineRule="auto" w:before="11"/>
        <w:ind w:left="99" w:right="98" w:firstLine="450"/>
        <w:jc w:val="both"/>
        <w:rPr>
          <w:sz w:val="30"/>
        </w:rPr>
      </w:pPr>
      <w:r>
        <w:rPr>
          <w:sz w:val="30"/>
        </w:rPr>
        <w:t>Treatment related risks of osteomyelitis and ONJ have long </w:t>
      </w:r>
      <w:r>
        <w:rPr>
          <w:sz w:val="30"/>
        </w:rPr>
        <w:t>been recognized, although controversy remains regarding a causative role of bisphosphonates for these risks. To be sure, most of the cases have been in patients with cancer, usually treated with IV high doses, but this complication was also reported in patients receiving oral bisphosphonate treatment for osteoporosis, with no history or evidence of malignancy.</w:t>
      </w:r>
      <w:r>
        <w:rPr>
          <w:sz w:val="30"/>
          <w:vertAlign w:val="superscript"/>
        </w:rPr>
        <w:t>274,275</w:t>
      </w:r>
      <w:r>
        <w:rPr>
          <w:sz w:val="30"/>
          <w:vertAlign w:val="baseline"/>
        </w:rPr>
        <w:t> Experts in the field point out that many clinicians specializing in osteoporosis have never seen a case. </w:t>
      </w:r>
      <w:r>
        <w:rPr>
          <w:b/>
          <w:sz w:val="30"/>
          <w:vertAlign w:val="baseline"/>
        </w:rPr>
        <w:t>The incidence of ONJ with oral bisphosphonates is somewhere from 1 in 10,000 to 1 in 100,000. </w:t>
      </w:r>
      <w:r>
        <w:rPr>
          <w:sz w:val="30"/>
          <w:vertAlign w:val="baseline"/>
        </w:rPr>
        <w:t>They further argue that a true cause-and-effect relationship would require appropriate controlled studies, and two are ongoing. But clinical decision-making cannot be delayed until data are available, and it is by no means certain that the ongoing trials will yield definitive results on such a rare event.</w:t>
      </w:r>
      <w:r>
        <w:rPr>
          <w:spacing w:val="-4"/>
          <w:sz w:val="30"/>
          <w:vertAlign w:val="baseline"/>
        </w:rPr>
        <w:t> </w:t>
      </w:r>
      <w:r>
        <w:rPr>
          <w:sz w:val="30"/>
          <w:vertAlign w:val="baseline"/>
        </w:rPr>
        <w:t>Patients</w:t>
      </w:r>
      <w:r>
        <w:rPr>
          <w:spacing w:val="-3"/>
          <w:sz w:val="30"/>
          <w:vertAlign w:val="baseline"/>
        </w:rPr>
        <w:t> </w:t>
      </w:r>
      <w:r>
        <w:rPr>
          <w:sz w:val="30"/>
          <w:vertAlign w:val="baseline"/>
        </w:rPr>
        <w:t>should</w:t>
      </w:r>
      <w:r>
        <w:rPr>
          <w:spacing w:val="-3"/>
          <w:sz w:val="30"/>
          <w:vertAlign w:val="baseline"/>
        </w:rPr>
        <w:t> </w:t>
      </w:r>
      <w:r>
        <w:rPr>
          <w:sz w:val="30"/>
          <w:vertAlign w:val="baseline"/>
        </w:rPr>
        <w:t>be</w:t>
      </w:r>
      <w:r>
        <w:rPr>
          <w:spacing w:val="-3"/>
          <w:sz w:val="30"/>
          <w:vertAlign w:val="baseline"/>
        </w:rPr>
        <w:t> </w:t>
      </w:r>
      <w:r>
        <w:rPr>
          <w:sz w:val="30"/>
          <w:vertAlign w:val="baseline"/>
        </w:rPr>
        <w:t>cautioned</w:t>
      </w:r>
      <w:r>
        <w:rPr>
          <w:spacing w:val="-3"/>
          <w:sz w:val="30"/>
          <w:vertAlign w:val="baseline"/>
        </w:rPr>
        <w:t> </w:t>
      </w:r>
      <w:r>
        <w:rPr>
          <w:sz w:val="30"/>
          <w:vertAlign w:val="baseline"/>
        </w:rPr>
        <w:t>regarding</w:t>
      </w:r>
      <w:r>
        <w:rPr>
          <w:spacing w:val="-3"/>
          <w:sz w:val="30"/>
          <w:vertAlign w:val="baseline"/>
        </w:rPr>
        <w:t> </w:t>
      </w:r>
      <w:r>
        <w:rPr>
          <w:sz w:val="30"/>
          <w:vertAlign w:val="baseline"/>
        </w:rPr>
        <w:t>this</w:t>
      </w:r>
      <w:r>
        <w:rPr>
          <w:spacing w:val="-3"/>
          <w:sz w:val="30"/>
          <w:vertAlign w:val="baseline"/>
        </w:rPr>
        <w:t> </w:t>
      </w:r>
      <w:r>
        <w:rPr>
          <w:sz w:val="30"/>
          <w:vertAlign w:val="baseline"/>
        </w:rPr>
        <w:t>rare</w:t>
      </w:r>
      <w:r>
        <w:rPr>
          <w:spacing w:val="-3"/>
          <w:sz w:val="30"/>
          <w:vertAlign w:val="baseline"/>
        </w:rPr>
        <w:t> </w:t>
      </w:r>
      <w:r>
        <w:rPr>
          <w:sz w:val="30"/>
          <w:vertAlign w:val="baseline"/>
        </w:rPr>
        <w:t>problem</w:t>
      </w:r>
      <w:r>
        <w:rPr>
          <w:spacing w:val="-3"/>
          <w:sz w:val="30"/>
          <w:vertAlign w:val="baseline"/>
        </w:rPr>
        <w:t> </w:t>
      </w:r>
      <w:r>
        <w:rPr>
          <w:sz w:val="30"/>
          <w:vertAlign w:val="baseline"/>
        </w:rPr>
        <w:t>and</w:t>
      </w:r>
      <w:r>
        <w:rPr>
          <w:spacing w:val="-3"/>
          <w:sz w:val="30"/>
          <w:vertAlign w:val="baseline"/>
        </w:rPr>
        <w:t> </w:t>
      </w:r>
      <w:r>
        <w:rPr>
          <w:sz w:val="30"/>
          <w:vertAlign w:val="baseline"/>
        </w:rPr>
        <w:t>urged</w:t>
      </w:r>
      <w:r>
        <w:rPr>
          <w:spacing w:val="-3"/>
          <w:sz w:val="30"/>
          <w:vertAlign w:val="baseline"/>
        </w:rPr>
        <w:t> </w:t>
      </w:r>
      <w:r>
        <w:rPr>
          <w:sz w:val="30"/>
          <w:vertAlign w:val="baseline"/>
        </w:rPr>
        <w:t>to practice good dental care. </w:t>
      </w:r>
      <w:r>
        <w:rPr>
          <w:b/>
          <w:sz w:val="30"/>
          <w:vertAlign w:val="baseline"/>
        </w:rPr>
        <w:t>We recommend consideration for dental evaluation and cleaning for patients in whom initiation of bisphosphonates for management of osteoporosis is being considered, prior to initiation of therapy, attention to oral hygiene during the course of treatment, and ongoing periodical surveillance.</w:t>
      </w:r>
      <w:r>
        <w:rPr>
          <w:sz w:val="30"/>
          <w:vertAlign w:val="superscript"/>
        </w:rPr>
        <w:t>276</w:t>
      </w:r>
    </w:p>
    <w:p>
      <w:pPr>
        <w:spacing w:before="322"/>
        <w:ind w:left="99" w:right="0" w:firstLine="0"/>
        <w:jc w:val="both"/>
        <w:rPr>
          <w:rFonts w:ascii="Arial"/>
          <w:b/>
          <w:i/>
          <w:sz w:val="22"/>
        </w:rPr>
      </w:pPr>
      <w:r>
        <w:rPr>
          <w:rFonts w:ascii="Arial"/>
          <w:b/>
          <w:i/>
          <w:color w:val="A0234E"/>
          <w:sz w:val="22"/>
        </w:rPr>
        <w:t>Bisphosphonates</w:t>
      </w:r>
      <w:r>
        <w:rPr>
          <w:rFonts w:ascii="Arial"/>
          <w:b/>
          <w:i/>
          <w:color w:val="A0234E"/>
          <w:spacing w:val="19"/>
          <w:sz w:val="22"/>
        </w:rPr>
        <w:t> </w:t>
      </w:r>
      <w:r>
        <w:rPr>
          <w:rFonts w:ascii="Arial"/>
          <w:b/>
          <w:i/>
          <w:color w:val="A0234E"/>
          <w:sz w:val="22"/>
        </w:rPr>
        <w:t>and</w:t>
      </w:r>
      <w:r>
        <w:rPr>
          <w:rFonts w:ascii="Arial"/>
          <w:b/>
          <w:i/>
          <w:color w:val="A0234E"/>
          <w:spacing w:val="20"/>
          <w:sz w:val="22"/>
        </w:rPr>
        <w:t> </w:t>
      </w:r>
      <w:r>
        <w:rPr>
          <w:rFonts w:ascii="Arial"/>
          <w:b/>
          <w:i/>
          <w:color w:val="A0234E"/>
          <w:sz w:val="22"/>
        </w:rPr>
        <w:t>Atrial</w:t>
      </w:r>
      <w:r>
        <w:rPr>
          <w:rFonts w:ascii="Arial"/>
          <w:b/>
          <w:i/>
          <w:color w:val="A0234E"/>
          <w:spacing w:val="19"/>
          <w:sz w:val="22"/>
        </w:rPr>
        <w:t> </w:t>
      </w:r>
      <w:r>
        <w:rPr>
          <w:rFonts w:ascii="Arial"/>
          <w:b/>
          <w:i/>
          <w:color w:val="A0234E"/>
          <w:spacing w:val="-2"/>
          <w:sz w:val="22"/>
        </w:rPr>
        <w:t>Fibrillation</w:t>
      </w:r>
    </w:p>
    <w:p>
      <w:pPr>
        <w:pStyle w:val="BodyText"/>
        <w:spacing w:line="249" w:lineRule="auto" w:before="124"/>
        <w:ind w:right="101"/>
      </w:pPr>
      <w:r>
        <w:rPr/>
        <w:t>An increase in the incidence of new-onset atrial fibrillation has been </w:t>
      </w:r>
      <w:r>
        <w:rPr/>
        <w:t>linked with the use of bisphosphonates, more so with IV than oral regimens.</w:t>
      </w:r>
      <w:r>
        <w:rPr>
          <w:vertAlign w:val="superscript"/>
        </w:rPr>
        <w:t>277</w:t>
      </w:r>
      <w:r>
        <w:rPr>
          <w:vertAlign w:val="baseline"/>
        </w:rPr>
        <w:t> A meta-analysis presented at the meeting of the American College of Chest Physicians</w:t>
      </w:r>
      <w:r>
        <w:rPr>
          <w:spacing w:val="30"/>
          <w:vertAlign w:val="baseline"/>
        </w:rPr>
        <w:t> </w:t>
      </w:r>
      <w:r>
        <w:rPr>
          <w:vertAlign w:val="baseline"/>
        </w:rPr>
        <w:t>in</w:t>
      </w:r>
      <w:r>
        <w:rPr>
          <w:spacing w:val="30"/>
          <w:vertAlign w:val="baseline"/>
        </w:rPr>
        <w:t> </w:t>
      </w:r>
      <w:r>
        <w:rPr>
          <w:vertAlign w:val="baseline"/>
        </w:rPr>
        <w:t>October</w:t>
      </w:r>
      <w:r>
        <w:rPr>
          <w:spacing w:val="30"/>
          <w:vertAlign w:val="baseline"/>
        </w:rPr>
        <w:t> </w:t>
      </w:r>
      <w:r>
        <w:rPr>
          <w:vertAlign w:val="baseline"/>
        </w:rPr>
        <w:t>2008</w:t>
      </w:r>
      <w:r>
        <w:rPr>
          <w:spacing w:val="30"/>
          <w:vertAlign w:val="baseline"/>
        </w:rPr>
        <w:t> </w:t>
      </w:r>
      <w:r>
        <w:rPr>
          <w:vertAlign w:val="baseline"/>
        </w:rPr>
        <w:t>estimated</w:t>
      </w:r>
      <w:r>
        <w:rPr>
          <w:spacing w:val="30"/>
          <w:vertAlign w:val="baseline"/>
        </w:rPr>
        <w:t> </w:t>
      </w:r>
      <w:r>
        <w:rPr>
          <w:vertAlign w:val="baseline"/>
        </w:rPr>
        <w:t>that</w:t>
      </w:r>
      <w:r>
        <w:rPr>
          <w:spacing w:val="30"/>
          <w:vertAlign w:val="baseline"/>
        </w:rPr>
        <w:t> </w:t>
      </w:r>
      <w:r>
        <w:rPr>
          <w:vertAlign w:val="baseline"/>
        </w:rPr>
        <w:t>atrial</w:t>
      </w:r>
      <w:r>
        <w:rPr>
          <w:spacing w:val="30"/>
          <w:vertAlign w:val="baseline"/>
        </w:rPr>
        <w:t> </w:t>
      </w:r>
      <w:r>
        <w:rPr>
          <w:vertAlign w:val="baseline"/>
        </w:rPr>
        <w:t>fibrillation</w:t>
      </w:r>
      <w:r>
        <w:rPr>
          <w:spacing w:val="30"/>
          <w:vertAlign w:val="baseline"/>
        </w:rPr>
        <w:t> </w:t>
      </w:r>
      <w:r>
        <w:rPr>
          <w:vertAlign w:val="baseline"/>
        </w:rPr>
        <w:t>is</w:t>
      </w:r>
      <w:r>
        <w:rPr>
          <w:spacing w:val="30"/>
          <w:vertAlign w:val="baseline"/>
        </w:rPr>
        <w:t> </w:t>
      </w:r>
      <w:r>
        <w:rPr>
          <w:vertAlign w:val="baseline"/>
        </w:rPr>
        <w:t>observed</w:t>
      </w:r>
      <w:r>
        <w:rPr>
          <w:spacing w:val="30"/>
          <w:vertAlign w:val="baseline"/>
        </w:rPr>
        <w:t> </w:t>
      </w:r>
      <w:r>
        <w:rPr>
          <w:spacing w:val="-5"/>
          <w:vertAlign w:val="baseline"/>
        </w:rPr>
        <w:t>in</w:t>
      </w:r>
    </w:p>
    <w:p>
      <w:pPr>
        <w:pStyle w:val="BodyText"/>
        <w:spacing w:after="0" w:line="249" w:lineRule="auto"/>
        <w:sectPr>
          <w:pgSz w:w="12240" w:h="15840"/>
          <w:pgMar w:top="1380" w:bottom="280" w:left="1440" w:right="1440"/>
        </w:sectPr>
      </w:pPr>
    </w:p>
    <w:p>
      <w:pPr>
        <w:pStyle w:val="BodyText"/>
        <w:spacing w:line="249" w:lineRule="auto"/>
        <w:ind w:right="98"/>
      </w:pPr>
      <w:r>
        <w:rPr/>
        <w:t>2.5% to 3% of individuals treated with bisphosphonates and that 1% to 2% experience hospitalization or death. A case-control study concluded atrial fibrillation could be attributed to bisphosphonates in 3% of previous </w:t>
      </w:r>
      <w:r>
        <w:rPr/>
        <w:t>or current users.</w:t>
      </w:r>
      <w:r>
        <w:rPr>
          <w:vertAlign w:val="superscript"/>
        </w:rPr>
        <w:t>278</w:t>
      </w:r>
      <w:r>
        <w:rPr>
          <w:vertAlign w:val="baseline"/>
        </w:rPr>
        <w:t> These positive reports were followed by a series of consistently negative studies. A larger Danish case-control study concluded that there was no link between atrial fibrillation and the use of bisphosphonates.</w:t>
      </w:r>
      <w:r>
        <w:rPr>
          <w:vertAlign w:val="superscript"/>
        </w:rPr>
        <w:t>279</w:t>
      </w:r>
      <w:r>
        <w:rPr>
          <w:vertAlign w:val="baseline"/>
        </w:rPr>
        <w:t> A Danish cohort study of patients with fracture found no increase in the risks of stroke or myocardial infarction and concluded that an increase in atrial fibrillation could be attributed to the use of bisphosphonates in individuals already at increased risk for cardiovascular events.</w:t>
      </w:r>
      <w:r>
        <w:rPr>
          <w:vertAlign w:val="superscript"/>
        </w:rPr>
        <w:t>280</w:t>
      </w:r>
      <w:r>
        <w:rPr>
          <w:vertAlign w:val="baseline"/>
        </w:rPr>
        <w:t> In two large American cohort databases of patients undergoing coronary angiography, there was no increase in atrial fibrillation or myocardial infarction associated with bisphosphonate treatment.</w:t>
      </w:r>
      <w:r>
        <w:rPr>
          <w:vertAlign w:val="superscript"/>
        </w:rPr>
        <w:t>281</w:t>
      </w:r>
      <w:r>
        <w:rPr>
          <w:vertAlign w:val="baseline"/>
        </w:rPr>
        <w:t> A retrospective cohort study from Taiwan compared bisphosphonate use with the use of raloxifene and reported a similar rate of atrial fibrillation in both treatment groups.</w:t>
      </w:r>
      <w:r>
        <w:rPr>
          <w:vertAlign w:val="superscript"/>
        </w:rPr>
        <w:t>282</w:t>
      </w:r>
      <w:r>
        <w:rPr>
          <w:vertAlign w:val="baseline"/>
        </w:rPr>
        <w:t> An apparent increase in atrial fibrillation can be attributed to the fact that most bisphosphonate users are older, have more cardiovascular disease, and are at greater risk for atrial fibrillation. Nonetheless, caution is advised in the older adult and those at risk, such as those with known hypertensive disorders, ischemic heart disease, cardiomyopathy, and valvular heart disease.</w:t>
      </w:r>
    </w:p>
    <w:p>
      <w:pPr>
        <w:spacing w:before="324"/>
        <w:ind w:left="99" w:right="0" w:firstLine="0"/>
        <w:jc w:val="both"/>
        <w:rPr>
          <w:rFonts w:ascii="Arial"/>
          <w:b/>
          <w:i/>
          <w:sz w:val="22"/>
        </w:rPr>
      </w:pPr>
      <w:r>
        <w:rPr>
          <w:rFonts w:ascii="Arial"/>
          <w:b/>
          <w:i/>
          <w:color w:val="A0234E"/>
          <w:sz w:val="22"/>
        </w:rPr>
        <w:t>Bisphosphonates</w:t>
      </w:r>
      <w:r>
        <w:rPr>
          <w:rFonts w:ascii="Arial"/>
          <w:b/>
          <w:i/>
          <w:color w:val="A0234E"/>
          <w:spacing w:val="24"/>
          <w:sz w:val="22"/>
        </w:rPr>
        <w:t> </w:t>
      </w:r>
      <w:r>
        <w:rPr>
          <w:rFonts w:ascii="Arial"/>
          <w:b/>
          <w:i/>
          <w:color w:val="A0234E"/>
          <w:sz w:val="22"/>
        </w:rPr>
        <w:t>and</w:t>
      </w:r>
      <w:r>
        <w:rPr>
          <w:rFonts w:ascii="Arial"/>
          <w:b/>
          <w:i/>
          <w:color w:val="A0234E"/>
          <w:spacing w:val="24"/>
          <w:sz w:val="22"/>
        </w:rPr>
        <w:t> </w:t>
      </w:r>
      <w:r>
        <w:rPr>
          <w:rFonts w:ascii="Arial"/>
          <w:b/>
          <w:i/>
          <w:color w:val="A0234E"/>
          <w:sz w:val="22"/>
        </w:rPr>
        <w:t>Esophageal</w:t>
      </w:r>
      <w:r>
        <w:rPr>
          <w:rFonts w:ascii="Arial"/>
          <w:b/>
          <w:i/>
          <w:color w:val="A0234E"/>
          <w:spacing w:val="24"/>
          <w:sz w:val="22"/>
        </w:rPr>
        <w:t> </w:t>
      </w:r>
      <w:r>
        <w:rPr>
          <w:rFonts w:ascii="Arial"/>
          <w:b/>
          <w:i/>
          <w:color w:val="A0234E"/>
          <w:spacing w:val="-2"/>
          <w:sz w:val="22"/>
        </w:rPr>
        <w:t>Cancer</w:t>
      </w:r>
    </w:p>
    <w:p>
      <w:pPr>
        <w:pStyle w:val="BodyText"/>
        <w:spacing w:line="249" w:lineRule="auto" w:before="123"/>
        <w:ind w:right="97"/>
      </w:pPr>
      <w:r>
        <w:rPr/>
        <w:t>In a Letter to the Editor in the January 1, 2009, issue of the </w:t>
      </w:r>
      <w:r>
        <w:rPr>
          <w:i/>
        </w:rPr>
        <w:t>New England</w:t>
      </w:r>
      <w:r>
        <w:rPr>
          <w:i/>
        </w:rPr>
        <w:t> Journal of Medicine</w:t>
      </w:r>
      <w:r>
        <w:rPr/>
        <w:t>, the U.S. Food and Drug Administration (FDA) reported 23 cases (8 fatal) of esophageal cancer in patients being treated with</w:t>
      </w:r>
      <w:r>
        <w:rPr>
          <w:spacing w:val="-4"/>
        </w:rPr>
        <w:t> </w:t>
      </w:r>
      <w:r>
        <w:rPr/>
        <w:t>alendronate.</w:t>
      </w:r>
      <w:r>
        <w:rPr>
          <w:vertAlign w:val="superscript"/>
        </w:rPr>
        <w:t>283</w:t>
      </w:r>
      <w:r>
        <w:rPr>
          <w:spacing w:val="-5"/>
          <w:vertAlign w:val="baseline"/>
        </w:rPr>
        <w:t> </w:t>
      </w:r>
      <w:r>
        <w:rPr>
          <w:vertAlign w:val="baseline"/>
        </w:rPr>
        <w:t>As</w:t>
      </w:r>
      <w:r>
        <w:rPr>
          <w:spacing w:val="-4"/>
          <w:vertAlign w:val="baseline"/>
        </w:rPr>
        <w:t> </w:t>
      </w:r>
      <w:r>
        <w:rPr>
          <w:vertAlign w:val="baseline"/>
        </w:rPr>
        <w:t>of</w:t>
      </w:r>
      <w:r>
        <w:rPr>
          <w:spacing w:val="-4"/>
          <w:vertAlign w:val="baseline"/>
        </w:rPr>
        <w:t> </w:t>
      </w:r>
      <w:r>
        <w:rPr>
          <w:vertAlign w:val="baseline"/>
        </w:rPr>
        <w:t>2009,</w:t>
      </w:r>
      <w:r>
        <w:rPr>
          <w:spacing w:val="-4"/>
          <w:vertAlign w:val="baseline"/>
        </w:rPr>
        <w:t> </w:t>
      </w:r>
      <w:r>
        <w:rPr>
          <w:vertAlign w:val="baseline"/>
        </w:rPr>
        <w:t>a</w:t>
      </w:r>
      <w:r>
        <w:rPr>
          <w:spacing w:val="-4"/>
          <w:vertAlign w:val="baseline"/>
        </w:rPr>
        <w:t> </w:t>
      </w:r>
      <w:r>
        <w:rPr>
          <w:vertAlign w:val="baseline"/>
        </w:rPr>
        <w:t>total</w:t>
      </w:r>
      <w:r>
        <w:rPr>
          <w:spacing w:val="-4"/>
          <w:vertAlign w:val="baseline"/>
        </w:rPr>
        <w:t> </w:t>
      </w:r>
      <w:r>
        <w:rPr>
          <w:vertAlign w:val="baseline"/>
        </w:rPr>
        <w:t>of</w:t>
      </w:r>
      <w:r>
        <w:rPr>
          <w:spacing w:val="-4"/>
          <w:vertAlign w:val="baseline"/>
        </w:rPr>
        <w:t> </w:t>
      </w:r>
      <w:r>
        <w:rPr>
          <w:vertAlign w:val="baseline"/>
        </w:rPr>
        <w:t>31</w:t>
      </w:r>
      <w:r>
        <w:rPr>
          <w:spacing w:val="-4"/>
          <w:vertAlign w:val="baseline"/>
        </w:rPr>
        <w:t> </w:t>
      </w:r>
      <w:r>
        <w:rPr>
          <w:vertAlign w:val="baseline"/>
        </w:rPr>
        <w:t>cases</w:t>
      </w:r>
      <w:r>
        <w:rPr>
          <w:spacing w:val="-4"/>
          <w:vertAlign w:val="baseline"/>
        </w:rPr>
        <w:t> </w:t>
      </w:r>
      <w:r>
        <w:rPr>
          <w:vertAlign w:val="baseline"/>
        </w:rPr>
        <w:t>of</w:t>
      </w:r>
      <w:r>
        <w:rPr>
          <w:spacing w:val="-4"/>
          <w:vertAlign w:val="baseline"/>
        </w:rPr>
        <w:t> </w:t>
      </w:r>
      <w:r>
        <w:rPr>
          <w:vertAlign w:val="baseline"/>
        </w:rPr>
        <w:t>esophageal</w:t>
      </w:r>
      <w:r>
        <w:rPr>
          <w:spacing w:val="-4"/>
          <w:vertAlign w:val="baseline"/>
        </w:rPr>
        <w:t> </w:t>
      </w:r>
      <w:r>
        <w:rPr>
          <w:vertAlign w:val="baseline"/>
        </w:rPr>
        <w:t>cancer</w:t>
      </w:r>
      <w:r>
        <w:rPr>
          <w:spacing w:val="-4"/>
          <w:vertAlign w:val="baseline"/>
        </w:rPr>
        <w:t> </w:t>
      </w:r>
      <w:r>
        <w:rPr>
          <w:vertAlign w:val="baseline"/>
        </w:rPr>
        <w:t>had been collected in Europe and Japan associated with alendronate,</w:t>
      </w:r>
      <w:r>
        <w:rPr>
          <w:spacing w:val="40"/>
          <w:vertAlign w:val="baseline"/>
        </w:rPr>
        <w:t> </w:t>
      </w:r>
      <w:r>
        <w:rPr>
          <w:vertAlign w:val="baseline"/>
        </w:rPr>
        <w:t>risedronate, ibandronate, and etidronate. Although this is a small number of cases with drugs that have been used for more than a decade by millions of people, the concern has added credibility because of the well-recognized side effect of esophageal injury with oral bisphosphonates. Nevertheless,</w:t>
      </w:r>
      <w:r>
        <w:rPr>
          <w:spacing w:val="40"/>
          <w:vertAlign w:val="baseline"/>
        </w:rPr>
        <w:t> </w:t>
      </w:r>
      <w:r>
        <w:rPr>
          <w:vertAlign w:val="baseline"/>
        </w:rPr>
        <w:t>the FDA report was anecdotal in nature, with no comparison group. In response,</w:t>
      </w:r>
      <w:r>
        <w:rPr>
          <w:spacing w:val="53"/>
          <w:vertAlign w:val="baseline"/>
        </w:rPr>
        <w:t> </w:t>
      </w:r>
      <w:r>
        <w:rPr>
          <w:vertAlign w:val="baseline"/>
        </w:rPr>
        <w:t>American</w:t>
      </w:r>
      <w:r>
        <w:rPr>
          <w:spacing w:val="53"/>
          <w:vertAlign w:val="baseline"/>
        </w:rPr>
        <w:t> </w:t>
      </w:r>
      <w:r>
        <w:rPr>
          <w:vertAlign w:val="baseline"/>
        </w:rPr>
        <w:t>and</w:t>
      </w:r>
      <w:r>
        <w:rPr>
          <w:spacing w:val="53"/>
          <w:vertAlign w:val="baseline"/>
        </w:rPr>
        <w:t> </w:t>
      </w:r>
      <w:r>
        <w:rPr>
          <w:vertAlign w:val="baseline"/>
        </w:rPr>
        <w:t>European</w:t>
      </w:r>
      <w:r>
        <w:rPr>
          <w:spacing w:val="53"/>
          <w:vertAlign w:val="baseline"/>
        </w:rPr>
        <w:t> </w:t>
      </w:r>
      <w:r>
        <w:rPr>
          <w:vertAlign w:val="baseline"/>
        </w:rPr>
        <w:t>comparisons</w:t>
      </w:r>
      <w:r>
        <w:rPr>
          <w:spacing w:val="53"/>
          <w:vertAlign w:val="baseline"/>
        </w:rPr>
        <w:t> </w:t>
      </w:r>
      <w:r>
        <w:rPr>
          <w:vertAlign w:val="baseline"/>
        </w:rPr>
        <w:t>of</w:t>
      </w:r>
      <w:r>
        <w:rPr>
          <w:spacing w:val="53"/>
          <w:vertAlign w:val="baseline"/>
        </w:rPr>
        <w:t> </w:t>
      </w:r>
      <w:r>
        <w:rPr>
          <w:vertAlign w:val="baseline"/>
        </w:rPr>
        <w:t>treated</w:t>
      </w:r>
      <w:r>
        <w:rPr>
          <w:spacing w:val="53"/>
          <w:vertAlign w:val="baseline"/>
        </w:rPr>
        <w:t> </w:t>
      </w:r>
      <w:r>
        <w:rPr>
          <w:vertAlign w:val="baseline"/>
        </w:rPr>
        <w:t>patients</w:t>
      </w:r>
      <w:r>
        <w:rPr>
          <w:spacing w:val="53"/>
          <w:vertAlign w:val="baseline"/>
        </w:rPr>
        <w:t> </w:t>
      </w:r>
      <w:r>
        <w:rPr>
          <w:vertAlign w:val="baseline"/>
        </w:rPr>
        <w:t>to</w:t>
      </w:r>
      <w:r>
        <w:rPr>
          <w:spacing w:val="53"/>
          <w:vertAlign w:val="baseline"/>
        </w:rPr>
        <w:t> </w:t>
      </w:r>
      <w:r>
        <w:rPr>
          <w:spacing w:val="-5"/>
          <w:vertAlign w:val="baseline"/>
        </w:rPr>
        <w:t>the</w:t>
      </w:r>
    </w:p>
    <w:p>
      <w:pPr>
        <w:pStyle w:val="BodyText"/>
        <w:spacing w:line="249" w:lineRule="auto" w:before="14"/>
        <w:ind w:right="103"/>
      </w:pPr>
      <w:r>
        <w:rPr/>
        <w:t>U.S. expected incidence of esophageal cancer or to nontreated patients </w:t>
      </w:r>
      <w:r>
        <w:rPr/>
        <w:t>in national</w:t>
      </w:r>
      <w:r>
        <w:rPr>
          <w:spacing w:val="17"/>
        </w:rPr>
        <w:t> </w:t>
      </w:r>
      <w:r>
        <w:rPr/>
        <w:t>databases</w:t>
      </w:r>
      <w:r>
        <w:rPr>
          <w:spacing w:val="17"/>
        </w:rPr>
        <w:t> </w:t>
      </w:r>
      <w:r>
        <w:rPr/>
        <w:t>in</w:t>
      </w:r>
      <w:r>
        <w:rPr>
          <w:spacing w:val="17"/>
        </w:rPr>
        <w:t> </w:t>
      </w:r>
      <w:r>
        <w:rPr/>
        <w:t>the</w:t>
      </w:r>
      <w:r>
        <w:rPr>
          <w:spacing w:val="17"/>
        </w:rPr>
        <w:t> </w:t>
      </w:r>
      <w:r>
        <w:rPr/>
        <w:t>United</w:t>
      </w:r>
      <w:r>
        <w:rPr>
          <w:spacing w:val="17"/>
        </w:rPr>
        <w:t> </w:t>
      </w:r>
      <w:r>
        <w:rPr/>
        <w:t>Kingdom</w:t>
      </w:r>
      <w:r>
        <w:rPr>
          <w:spacing w:val="17"/>
        </w:rPr>
        <w:t> </w:t>
      </w:r>
      <w:r>
        <w:rPr/>
        <w:t>and</w:t>
      </w:r>
      <w:r>
        <w:rPr>
          <w:spacing w:val="17"/>
        </w:rPr>
        <w:t> </w:t>
      </w:r>
      <w:r>
        <w:rPr/>
        <w:t>Denmark</w:t>
      </w:r>
      <w:r>
        <w:rPr>
          <w:spacing w:val="17"/>
        </w:rPr>
        <w:t> </w:t>
      </w:r>
      <w:r>
        <w:rPr/>
        <w:t>failed</w:t>
      </w:r>
      <w:r>
        <w:rPr>
          <w:spacing w:val="17"/>
        </w:rPr>
        <w:t> </w:t>
      </w:r>
      <w:r>
        <w:rPr/>
        <w:t>to</w:t>
      </w:r>
      <w:r>
        <w:rPr>
          <w:spacing w:val="17"/>
        </w:rPr>
        <w:t> </w:t>
      </w:r>
      <w:r>
        <w:rPr/>
        <w:t>detect</w:t>
      </w:r>
      <w:r>
        <w:rPr>
          <w:spacing w:val="17"/>
        </w:rPr>
        <w:t> </w:t>
      </w:r>
      <w:r>
        <w:rPr>
          <w:spacing w:val="-5"/>
        </w:rPr>
        <w:t>an</w:t>
      </w:r>
    </w:p>
    <w:p>
      <w:pPr>
        <w:pStyle w:val="BodyText"/>
        <w:spacing w:after="0" w:line="249" w:lineRule="auto"/>
        <w:sectPr>
          <w:pgSz w:w="12240" w:h="15840"/>
          <w:pgMar w:top="1380" w:bottom="280" w:left="1440" w:right="1440"/>
        </w:sectPr>
      </w:pPr>
    </w:p>
    <w:p>
      <w:pPr>
        <w:pStyle w:val="BodyText"/>
        <w:spacing w:line="249" w:lineRule="auto"/>
        <w:ind w:right="98"/>
      </w:pPr>
      <w:r>
        <w:rPr/>
        <w:t>increase in esophageal cancer in bisphosphonate-treated patients.</w:t>
      </w:r>
      <w:r>
        <w:rPr>
          <w:vertAlign w:val="superscript"/>
        </w:rPr>
        <w:t>284,285</w:t>
      </w:r>
      <w:r>
        <w:rPr>
          <w:vertAlign w:val="baseline"/>
        </w:rPr>
        <w:t> </w:t>
      </w:r>
      <w:r>
        <w:rPr>
          <w:vertAlign w:val="baseline"/>
        </w:rPr>
        <w:t>A meta-analysis of 11 studies published in 2015 was similarly reassuring and failed to identify any evidence to support an increase in risk of upper gastrointestinal cancers with the use of bisphosphonates.</w:t>
      </w:r>
      <w:r>
        <w:rPr>
          <w:vertAlign w:val="superscript"/>
        </w:rPr>
        <w:t>286</w:t>
      </w:r>
    </w:p>
    <w:p>
      <w:pPr>
        <w:spacing w:before="303"/>
        <w:ind w:left="99" w:right="0" w:firstLine="0"/>
        <w:jc w:val="both"/>
        <w:rPr>
          <w:rFonts w:ascii="Arial"/>
          <w:b/>
          <w:i/>
          <w:sz w:val="22"/>
        </w:rPr>
      </w:pPr>
      <w:r>
        <w:rPr>
          <w:rFonts w:ascii="Arial"/>
          <w:b/>
          <w:i/>
          <w:color w:val="A0234E"/>
          <w:sz w:val="22"/>
        </w:rPr>
        <w:t>Bisphosphonates</w:t>
      </w:r>
      <w:r>
        <w:rPr>
          <w:rFonts w:ascii="Arial"/>
          <w:b/>
          <w:i/>
          <w:color w:val="A0234E"/>
          <w:spacing w:val="23"/>
          <w:sz w:val="22"/>
        </w:rPr>
        <w:t> </w:t>
      </w:r>
      <w:r>
        <w:rPr>
          <w:rFonts w:ascii="Arial"/>
          <w:b/>
          <w:i/>
          <w:color w:val="A0234E"/>
          <w:sz w:val="22"/>
        </w:rPr>
        <w:t>and</w:t>
      </w:r>
      <w:r>
        <w:rPr>
          <w:rFonts w:ascii="Arial"/>
          <w:b/>
          <w:i/>
          <w:color w:val="A0234E"/>
          <w:spacing w:val="23"/>
          <w:sz w:val="22"/>
        </w:rPr>
        <w:t> </w:t>
      </w:r>
      <w:r>
        <w:rPr>
          <w:rFonts w:ascii="Arial"/>
          <w:b/>
          <w:i/>
          <w:color w:val="A0234E"/>
          <w:spacing w:val="-4"/>
          <w:sz w:val="22"/>
        </w:rPr>
        <w:t>Pain</w:t>
      </w:r>
    </w:p>
    <w:p>
      <w:pPr>
        <w:pStyle w:val="BodyText"/>
        <w:spacing w:line="249" w:lineRule="auto" w:before="124"/>
        <w:ind w:right="98"/>
      </w:pPr>
      <w:r>
        <w:rPr/>
        <w:t>The FDA has informed clinicians that patients taking bisphosphonates rarely experience severe bone, joint, or muscle pain that is relieved when treatment stops; discontinuation of bisphosphonate treatment and consideration for an alternative agent are advised in this setting.</w:t>
      </w:r>
    </w:p>
    <w:p>
      <w:pPr>
        <w:pStyle w:val="BodyText"/>
        <w:spacing w:before="0"/>
        <w:ind w:left="0"/>
        <w:jc w:val="left"/>
        <w:rPr>
          <w:sz w:val="20"/>
        </w:rPr>
      </w:pPr>
    </w:p>
    <w:p>
      <w:pPr>
        <w:pStyle w:val="BodyText"/>
        <w:spacing w:before="115"/>
        <w:ind w:left="0"/>
        <w:jc w:val="left"/>
        <w:rPr>
          <w:sz w:val="20"/>
        </w:rPr>
      </w:pPr>
      <w:r>
        <w:rPr>
          <w:sz w:val="20"/>
        </w:rPr>
        <mc:AlternateContent>
          <mc:Choice Requires="wps">
            <w:drawing>
              <wp:anchor distT="0" distB="0" distL="0" distR="0" allowOverlap="1" layoutInCell="1" locked="0" behindDoc="1" simplePos="0" relativeHeight="487614976">
                <wp:simplePos x="0" y="0"/>
                <wp:positionH relativeFrom="page">
                  <wp:posOffset>981075</wp:posOffset>
                </wp:positionH>
                <wp:positionV relativeFrom="paragraph">
                  <wp:posOffset>234860</wp:posOffset>
                </wp:positionV>
                <wp:extent cx="5810250" cy="4057650"/>
                <wp:effectExtent l="0" t="0" r="0" b="0"/>
                <wp:wrapTopAndBottom/>
                <wp:docPr id="104" name="Group 104"/>
                <wp:cNvGraphicFramePr>
                  <a:graphicFrameLocks/>
                </wp:cNvGraphicFramePr>
                <a:graphic>
                  <a:graphicData uri="http://schemas.microsoft.com/office/word/2010/wordprocessingGroup">
                    <wpg:wgp>
                      <wpg:cNvPr id="104" name="Group 104"/>
                      <wpg:cNvGrpSpPr/>
                      <wpg:grpSpPr>
                        <a:xfrm>
                          <a:off x="0" y="0"/>
                          <a:ext cx="5810250" cy="4057650"/>
                          <a:chExt cx="5810250" cy="4057650"/>
                        </a:xfrm>
                      </wpg:grpSpPr>
                      <wps:wsp>
                        <wps:cNvPr id="105" name="Graphic 105"/>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D5E699"/>
                          </a:solidFill>
                        </wps:spPr>
                        <wps:bodyPr wrap="square" lIns="0" tIns="0" rIns="0" bIns="0" rtlCol="0">
                          <a:prstTxWarp prst="textNoShape">
                            <a:avLst/>
                          </a:prstTxWarp>
                          <a:noAutofit/>
                        </wps:bodyPr>
                      </wps:wsp>
                      <wps:wsp>
                        <wps:cNvPr id="106" name="Graphic 106"/>
                        <wps:cNvSpPr/>
                        <wps:spPr>
                          <a:xfrm>
                            <a:off x="0" y="742949"/>
                            <a:ext cx="5810250" cy="3314700"/>
                          </a:xfrm>
                          <a:custGeom>
                            <a:avLst/>
                            <a:gdLst/>
                            <a:ahLst/>
                            <a:cxnLst/>
                            <a:rect l="l" t="t" r="r" b="b"/>
                            <a:pathLst>
                              <a:path w="5810250" h="3314700">
                                <a:moveTo>
                                  <a:pt x="0" y="3314699"/>
                                </a:moveTo>
                                <a:lnTo>
                                  <a:pt x="5810249" y="3314699"/>
                                </a:lnTo>
                                <a:lnTo>
                                  <a:pt x="5810249" y="0"/>
                                </a:lnTo>
                                <a:lnTo>
                                  <a:pt x="0" y="0"/>
                                </a:lnTo>
                                <a:lnTo>
                                  <a:pt x="0" y="3314699"/>
                                </a:lnTo>
                                <a:close/>
                              </a:path>
                            </a:pathLst>
                          </a:custGeom>
                          <a:solidFill>
                            <a:srgbClr val="E9F1CD"/>
                          </a:solidFill>
                        </wps:spPr>
                        <wps:bodyPr wrap="square" lIns="0" tIns="0" rIns="0" bIns="0" rtlCol="0">
                          <a:prstTxWarp prst="textNoShape">
                            <a:avLst/>
                          </a:prstTxWarp>
                          <a:noAutofit/>
                        </wps:bodyPr>
                      </wps:wsp>
                      <wps:wsp>
                        <wps:cNvPr id="107" name="Graphic 107"/>
                        <wps:cNvSpPr/>
                        <wps:spPr>
                          <a:xfrm>
                            <a:off x="0" y="57149"/>
                            <a:ext cx="5810250" cy="685800"/>
                          </a:xfrm>
                          <a:custGeom>
                            <a:avLst/>
                            <a:gdLst/>
                            <a:ahLst/>
                            <a:cxnLst/>
                            <a:rect l="l" t="t" r="r" b="b"/>
                            <a:pathLst>
                              <a:path w="5810250" h="685800">
                                <a:moveTo>
                                  <a:pt x="5810249" y="685799"/>
                                </a:moveTo>
                                <a:lnTo>
                                  <a:pt x="0" y="685799"/>
                                </a:lnTo>
                                <a:lnTo>
                                  <a:pt x="0" y="0"/>
                                </a:lnTo>
                                <a:lnTo>
                                  <a:pt x="5810249" y="0"/>
                                </a:lnTo>
                                <a:lnTo>
                                  <a:pt x="5810249" y="685799"/>
                                </a:lnTo>
                                <a:close/>
                              </a:path>
                            </a:pathLst>
                          </a:custGeom>
                          <a:solidFill>
                            <a:srgbClr val="2B816F"/>
                          </a:solidFill>
                        </wps:spPr>
                        <wps:bodyPr wrap="square" lIns="0" tIns="0" rIns="0" bIns="0" rtlCol="0">
                          <a:prstTxWarp prst="textNoShape">
                            <a:avLst/>
                          </a:prstTxWarp>
                          <a:noAutofit/>
                        </wps:bodyPr>
                      </wps:wsp>
                      <wps:wsp>
                        <wps:cNvPr id="108" name="Graphic 108"/>
                        <wps:cNvSpPr/>
                        <wps:spPr>
                          <a:xfrm>
                            <a:off x="209549" y="228617"/>
                            <a:ext cx="371475" cy="57150"/>
                          </a:xfrm>
                          <a:custGeom>
                            <a:avLst/>
                            <a:gdLst/>
                            <a:ahLst/>
                            <a:cxnLst/>
                            <a:rect l="l" t="t" r="r" b="b"/>
                            <a:pathLst>
                              <a:path w="371475" h="57150">
                                <a:moveTo>
                                  <a:pt x="32364" y="57111"/>
                                </a:moveTo>
                                <a:lnTo>
                                  <a:pt x="24785" y="57111"/>
                                </a:lnTo>
                                <a:lnTo>
                                  <a:pt x="21140" y="56368"/>
                                </a:lnTo>
                                <a:lnTo>
                                  <a:pt x="0" y="32337"/>
                                </a:lnTo>
                                <a:lnTo>
                                  <a:pt x="0" y="24745"/>
                                </a:lnTo>
                                <a:lnTo>
                                  <a:pt x="725" y="21097"/>
                                </a:lnTo>
                                <a:lnTo>
                                  <a:pt x="3625" y="14096"/>
                                </a:lnTo>
                                <a:lnTo>
                                  <a:pt x="5689" y="11010"/>
                                </a:lnTo>
                                <a:lnTo>
                                  <a:pt x="8369" y="8372"/>
                                </a:lnTo>
                                <a:lnTo>
                                  <a:pt x="11048" y="5695"/>
                                </a:lnTo>
                                <a:lnTo>
                                  <a:pt x="14138" y="3609"/>
                                </a:lnTo>
                                <a:lnTo>
                                  <a:pt x="17639" y="2124"/>
                                </a:lnTo>
                                <a:lnTo>
                                  <a:pt x="21140" y="704"/>
                                </a:lnTo>
                                <a:lnTo>
                                  <a:pt x="24785" y="0"/>
                                </a:lnTo>
                                <a:lnTo>
                                  <a:pt x="32364" y="0"/>
                                </a:lnTo>
                                <a:lnTo>
                                  <a:pt x="48780" y="8372"/>
                                </a:lnTo>
                                <a:lnTo>
                                  <a:pt x="51459" y="11010"/>
                                </a:lnTo>
                                <a:lnTo>
                                  <a:pt x="53524" y="14096"/>
                                </a:lnTo>
                                <a:lnTo>
                                  <a:pt x="56424" y="21097"/>
                                </a:lnTo>
                                <a:lnTo>
                                  <a:pt x="57149" y="24745"/>
                                </a:lnTo>
                                <a:lnTo>
                                  <a:pt x="57149" y="32337"/>
                                </a:lnTo>
                                <a:lnTo>
                                  <a:pt x="36009" y="56368"/>
                                </a:lnTo>
                                <a:lnTo>
                                  <a:pt x="32364" y="57111"/>
                                </a:lnTo>
                                <a:close/>
                              </a:path>
                              <a:path w="371475" h="57150">
                                <a:moveTo>
                                  <a:pt x="137044" y="57111"/>
                                </a:moveTo>
                                <a:lnTo>
                                  <a:pt x="129465" y="57111"/>
                                </a:lnTo>
                                <a:lnTo>
                                  <a:pt x="125820" y="56368"/>
                                </a:lnTo>
                                <a:lnTo>
                                  <a:pt x="104679" y="32337"/>
                                </a:lnTo>
                                <a:lnTo>
                                  <a:pt x="104679" y="24745"/>
                                </a:lnTo>
                                <a:lnTo>
                                  <a:pt x="105404" y="21097"/>
                                </a:lnTo>
                                <a:lnTo>
                                  <a:pt x="108304" y="14096"/>
                                </a:lnTo>
                                <a:lnTo>
                                  <a:pt x="110369" y="11010"/>
                                </a:lnTo>
                                <a:lnTo>
                                  <a:pt x="113049" y="8372"/>
                                </a:lnTo>
                                <a:lnTo>
                                  <a:pt x="115728" y="5695"/>
                                </a:lnTo>
                                <a:lnTo>
                                  <a:pt x="118818" y="3609"/>
                                </a:lnTo>
                                <a:lnTo>
                                  <a:pt x="122319" y="2124"/>
                                </a:lnTo>
                                <a:lnTo>
                                  <a:pt x="125820" y="704"/>
                                </a:lnTo>
                                <a:lnTo>
                                  <a:pt x="129465" y="0"/>
                                </a:lnTo>
                                <a:lnTo>
                                  <a:pt x="137044" y="0"/>
                                </a:lnTo>
                                <a:lnTo>
                                  <a:pt x="153460" y="8372"/>
                                </a:lnTo>
                                <a:lnTo>
                                  <a:pt x="156139" y="11010"/>
                                </a:lnTo>
                                <a:lnTo>
                                  <a:pt x="158204" y="14096"/>
                                </a:lnTo>
                                <a:lnTo>
                                  <a:pt x="161104" y="21097"/>
                                </a:lnTo>
                                <a:lnTo>
                                  <a:pt x="161829" y="24745"/>
                                </a:lnTo>
                                <a:lnTo>
                                  <a:pt x="161829" y="32337"/>
                                </a:lnTo>
                                <a:lnTo>
                                  <a:pt x="140689" y="56368"/>
                                </a:lnTo>
                                <a:lnTo>
                                  <a:pt x="137044" y="57111"/>
                                </a:lnTo>
                                <a:close/>
                              </a:path>
                              <a:path w="371475" h="57150">
                                <a:moveTo>
                                  <a:pt x="241723" y="57111"/>
                                </a:moveTo>
                                <a:lnTo>
                                  <a:pt x="234145" y="57111"/>
                                </a:lnTo>
                                <a:lnTo>
                                  <a:pt x="230500" y="56368"/>
                                </a:lnTo>
                                <a:lnTo>
                                  <a:pt x="209359" y="32337"/>
                                </a:lnTo>
                                <a:lnTo>
                                  <a:pt x="209359" y="24745"/>
                                </a:lnTo>
                                <a:lnTo>
                                  <a:pt x="210084" y="21097"/>
                                </a:lnTo>
                                <a:lnTo>
                                  <a:pt x="212984" y="14096"/>
                                </a:lnTo>
                                <a:lnTo>
                                  <a:pt x="215049" y="11010"/>
                                </a:lnTo>
                                <a:lnTo>
                                  <a:pt x="217728" y="8372"/>
                                </a:lnTo>
                                <a:lnTo>
                                  <a:pt x="220408" y="5695"/>
                                </a:lnTo>
                                <a:lnTo>
                                  <a:pt x="223498" y="3609"/>
                                </a:lnTo>
                                <a:lnTo>
                                  <a:pt x="226999" y="2124"/>
                                </a:lnTo>
                                <a:lnTo>
                                  <a:pt x="230500" y="704"/>
                                </a:lnTo>
                                <a:lnTo>
                                  <a:pt x="234145" y="0"/>
                                </a:lnTo>
                                <a:lnTo>
                                  <a:pt x="241723" y="0"/>
                                </a:lnTo>
                                <a:lnTo>
                                  <a:pt x="258140" y="8372"/>
                                </a:lnTo>
                                <a:lnTo>
                                  <a:pt x="260819" y="11010"/>
                                </a:lnTo>
                                <a:lnTo>
                                  <a:pt x="262884" y="14096"/>
                                </a:lnTo>
                                <a:lnTo>
                                  <a:pt x="265784" y="21097"/>
                                </a:lnTo>
                                <a:lnTo>
                                  <a:pt x="266509" y="24745"/>
                                </a:lnTo>
                                <a:lnTo>
                                  <a:pt x="266509" y="32337"/>
                                </a:lnTo>
                                <a:lnTo>
                                  <a:pt x="245368" y="56368"/>
                                </a:lnTo>
                                <a:lnTo>
                                  <a:pt x="241723" y="57111"/>
                                </a:lnTo>
                                <a:close/>
                              </a:path>
                              <a:path w="371475" h="57150">
                                <a:moveTo>
                                  <a:pt x="346403" y="57111"/>
                                </a:moveTo>
                                <a:lnTo>
                                  <a:pt x="338824" y="57111"/>
                                </a:lnTo>
                                <a:lnTo>
                                  <a:pt x="335179" y="56368"/>
                                </a:lnTo>
                                <a:lnTo>
                                  <a:pt x="314039" y="32337"/>
                                </a:lnTo>
                                <a:lnTo>
                                  <a:pt x="314039" y="24745"/>
                                </a:lnTo>
                                <a:lnTo>
                                  <a:pt x="314764" y="21097"/>
                                </a:lnTo>
                                <a:lnTo>
                                  <a:pt x="317664" y="14096"/>
                                </a:lnTo>
                                <a:lnTo>
                                  <a:pt x="319729" y="11010"/>
                                </a:lnTo>
                                <a:lnTo>
                                  <a:pt x="322408" y="8372"/>
                                </a:lnTo>
                                <a:lnTo>
                                  <a:pt x="325088" y="5695"/>
                                </a:lnTo>
                                <a:lnTo>
                                  <a:pt x="328178" y="3609"/>
                                </a:lnTo>
                                <a:lnTo>
                                  <a:pt x="331679" y="2124"/>
                                </a:lnTo>
                                <a:lnTo>
                                  <a:pt x="335179" y="704"/>
                                </a:lnTo>
                                <a:lnTo>
                                  <a:pt x="338824" y="0"/>
                                </a:lnTo>
                                <a:lnTo>
                                  <a:pt x="346403" y="0"/>
                                </a:lnTo>
                                <a:lnTo>
                                  <a:pt x="362819" y="8372"/>
                                </a:lnTo>
                                <a:lnTo>
                                  <a:pt x="365499" y="11010"/>
                                </a:lnTo>
                                <a:lnTo>
                                  <a:pt x="367563" y="14096"/>
                                </a:lnTo>
                                <a:lnTo>
                                  <a:pt x="370464" y="21097"/>
                                </a:lnTo>
                                <a:lnTo>
                                  <a:pt x="371189" y="24745"/>
                                </a:lnTo>
                                <a:lnTo>
                                  <a:pt x="371189" y="32337"/>
                                </a:lnTo>
                                <a:lnTo>
                                  <a:pt x="350048" y="56368"/>
                                </a:lnTo>
                                <a:lnTo>
                                  <a:pt x="346403" y="57111"/>
                                </a:lnTo>
                                <a:close/>
                              </a:path>
                            </a:pathLst>
                          </a:custGeom>
                          <a:solidFill>
                            <a:srgbClr val="D0E399"/>
                          </a:solidFill>
                        </wps:spPr>
                        <wps:bodyPr wrap="square" lIns="0" tIns="0" rIns="0" bIns="0" rtlCol="0">
                          <a:prstTxWarp prst="textNoShape">
                            <a:avLst/>
                          </a:prstTxWarp>
                          <a:noAutofit/>
                        </wps:bodyPr>
                      </wps:wsp>
                      <wps:wsp>
                        <wps:cNvPr id="109" name="Graphic 109"/>
                        <wps:cNvSpPr/>
                        <wps:spPr>
                          <a:xfrm>
                            <a:off x="133337" y="1000128"/>
                            <a:ext cx="47625" cy="2276475"/>
                          </a:xfrm>
                          <a:custGeom>
                            <a:avLst/>
                            <a:gdLst/>
                            <a:ahLst/>
                            <a:cxnLst/>
                            <a:rect l="l" t="t" r="r" b="b"/>
                            <a:pathLst>
                              <a:path w="47625" h="2276475">
                                <a:moveTo>
                                  <a:pt x="47625" y="2249462"/>
                                </a:moveTo>
                                <a:lnTo>
                                  <a:pt x="26974" y="2228850"/>
                                </a:lnTo>
                                <a:lnTo>
                                  <a:pt x="20662" y="2228850"/>
                                </a:lnTo>
                                <a:lnTo>
                                  <a:pt x="0" y="2249462"/>
                                </a:lnTo>
                                <a:lnTo>
                                  <a:pt x="0" y="2255824"/>
                                </a:lnTo>
                                <a:lnTo>
                                  <a:pt x="20662" y="2276437"/>
                                </a:lnTo>
                                <a:lnTo>
                                  <a:pt x="26974" y="2276437"/>
                                </a:lnTo>
                                <a:lnTo>
                                  <a:pt x="47625" y="2255824"/>
                                </a:lnTo>
                                <a:lnTo>
                                  <a:pt x="47625" y="2252662"/>
                                </a:lnTo>
                                <a:lnTo>
                                  <a:pt x="47625" y="2249462"/>
                                </a:lnTo>
                                <a:close/>
                              </a:path>
                              <a:path w="47625" h="2276475">
                                <a:moveTo>
                                  <a:pt x="47625" y="1906600"/>
                                </a:moveTo>
                                <a:lnTo>
                                  <a:pt x="26974" y="1885950"/>
                                </a:lnTo>
                                <a:lnTo>
                                  <a:pt x="20662" y="1885950"/>
                                </a:lnTo>
                                <a:lnTo>
                                  <a:pt x="0" y="1906600"/>
                                </a:lnTo>
                                <a:lnTo>
                                  <a:pt x="0" y="1912886"/>
                                </a:lnTo>
                                <a:lnTo>
                                  <a:pt x="20662" y="1933536"/>
                                </a:lnTo>
                                <a:lnTo>
                                  <a:pt x="26974" y="1933536"/>
                                </a:lnTo>
                                <a:lnTo>
                                  <a:pt x="47625" y="1912886"/>
                                </a:lnTo>
                                <a:lnTo>
                                  <a:pt x="47625" y="1909762"/>
                                </a:lnTo>
                                <a:lnTo>
                                  <a:pt x="47625" y="1906600"/>
                                </a:lnTo>
                                <a:close/>
                              </a:path>
                              <a:path w="47625" h="2276475">
                                <a:moveTo>
                                  <a:pt x="47625" y="706412"/>
                                </a:moveTo>
                                <a:lnTo>
                                  <a:pt x="26974" y="685800"/>
                                </a:lnTo>
                                <a:lnTo>
                                  <a:pt x="20662" y="685800"/>
                                </a:lnTo>
                                <a:lnTo>
                                  <a:pt x="0" y="706412"/>
                                </a:lnTo>
                                <a:lnTo>
                                  <a:pt x="0" y="712736"/>
                                </a:lnTo>
                                <a:lnTo>
                                  <a:pt x="20662" y="733386"/>
                                </a:lnTo>
                                <a:lnTo>
                                  <a:pt x="26974" y="733386"/>
                                </a:lnTo>
                                <a:lnTo>
                                  <a:pt x="47625" y="712736"/>
                                </a:lnTo>
                                <a:lnTo>
                                  <a:pt x="47625" y="709612"/>
                                </a:lnTo>
                                <a:lnTo>
                                  <a:pt x="47625" y="706412"/>
                                </a:lnTo>
                                <a:close/>
                              </a:path>
                              <a:path w="47625" h="2276475">
                                <a:moveTo>
                                  <a:pt x="47625" y="20612"/>
                                </a:moveTo>
                                <a:lnTo>
                                  <a:pt x="26974" y="0"/>
                                </a:lnTo>
                                <a:lnTo>
                                  <a:pt x="20662" y="0"/>
                                </a:lnTo>
                                <a:lnTo>
                                  <a:pt x="0" y="20612"/>
                                </a:lnTo>
                                <a:lnTo>
                                  <a:pt x="0" y="26974"/>
                                </a:lnTo>
                                <a:lnTo>
                                  <a:pt x="20662" y="47586"/>
                                </a:lnTo>
                                <a:lnTo>
                                  <a:pt x="26974" y="47586"/>
                                </a:lnTo>
                                <a:lnTo>
                                  <a:pt x="47625" y="26974"/>
                                </a:lnTo>
                                <a:lnTo>
                                  <a:pt x="47625" y="23812"/>
                                </a:lnTo>
                                <a:lnTo>
                                  <a:pt x="47625" y="20612"/>
                                </a:lnTo>
                                <a:close/>
                              </a:path>
                            </a:pathLst>
                          </a:custGeom>
                          <a:solidFill>
                            <a:srgbClr val="2B816F"/>
                          </a:solidFill>
                        </wps:spPr>
                        <wps:bodyPr wrap="square" lIns="0" tIns="0" rIns="0" bIns="0" rtlCol="0">
                          <a:prstTxWarp prst="textNoShape">
                            <a:avLst/>
                          </a:prstTxWarp>
                          <a:noAutofit/>
                        </wps:bodyPr>
                      </wps:wsp>
                      <wps:wsp>
                        <wps:cNvPr id="110" name="Textbox 110"/>
                        <wps:cNvSpPr txBox="1"/>
                        <wps:spPr>
                          <a:xfrm>
                            <a:off x="0" y="742949"/>
                            <a:ext cx="5810250" cy="3314700"/>
                          </a:xfrm>
                          <a:prstGeom prst="rect">
                            <a:avLst/>
                          </a:prstGeom>
                        </wps:spPr>
                        <wps:txbx>
                          <w:txbxContent>
                            <w:p>
                              <w:pPr>
                                <w:spacing w:line="240" w:lineRule="auto" w:before="51"/>
                                <w:rPr>
                                  <w:sz w:val="22"/>
                                </w:rPr>
                              </w:pPr>
                            </w:p>
                            <w:p>
                              <w:pPr>
                                <w:spacing w:line="256" w:lineRule="auto" w:before="0"/>
                                <w:ind w:left="444" w:right="748" w:firstLine="0"/>
                                <w:jc w:val="both"/>
                                <w:rPr>
                                  <w:sz w:val="22"/>
                                </w:rPr>
                              </w:pPr>
                              <w:r>
                                <w:rPr>
                                  <w:sz w:val="22"/>
                                </w:rPr>
                                <w:t>Bisphosphonate treatment is best reserved for older postmenopausal women. It is not a drug class of choice for the prevention of osteoporosis in relatively young</w:t>
                              </w:r>
                              <w:r>
                                <w:rPr>
                                  <w:spacing w:val="40"/>
                                  <w:sz w:val="22"/>
                                </w:rPr>
                                <w:t> </w:t>
                              </w:r>
                              <w:r>
                                <w:rPr>
                                  <w:sz w:val="22"/>
                                </w:rPr>
                                <w:t>postmenopausal</w:t>
                              </w:r>
                              <w:r>
                                <w:rPr>
                                  <w:spacing w:val="23"/>
                                  <w:sz w:val="22"/>
                                </w:rPr>
                                <w:t> </w:t>
                              </w:r>
                              <w:r>
                                <w:rPr>
                                  <w:sz w:val="22"/>
                                </w:rPr>
                                <w:t>women</w:t>
                              </w:r>
                              <w:r>
                                <w:rPr>
                                  <w:spacing w:val="23"/>
                                  <w:sz w:val="22"/>
                                </w:rPr>
                                <w:t> </w:t>
                              </w:r>
                              <w:r>
                                <w:rPr>
                                  <w:sz w:val="22"/>
                                </w:rPr>
                                <w:t>in</w:t>
                              </w:r>
                              <w:r>
                                <w:rPr>
                                  <w:spacing w:val="23"/>
                                  <w:sz w:val="22"/>
                                </w:rPr>
                                <w:t> </w:t>
                              </w:r>
                              <w:r>
                                <w:rPr>
                                  <w:sz w:val="22"/>
                                </w:rPr>
                                <w:t>whom</w:t>
                              </w:r>
                              <w:r>
                                <w:rPr>
                                  <w:spacing w:val="23"/>
                                  <w:sz w:val="22"/>
                                </w:rPr>
                                <w:t> </w:t>
                              </w:r>
                              <w:r>
                                <w:rPr>
                                  <w:sz w:val="22"/>
                                </w:rPr>
                                <w:t>hormone</w:t>
                              </w:r>
                              <w:r>
                                <w:rPr>
                                  <w:spacing w:val="23"/>
                                  <w:sz w:val="22"/>
                                </w:rPr>
                                <w:t> </w:t>
                              </w:r>
                              <w:r>
                                <w:rPr>
                                  <w:sz w:val="22"/>
                                </w:rPr>
                                <w:t>therapy</w:t>
                              </w:r>
                              <w:r>
                                <w:rPr>
                                  <w:spacing w:val="23"/>
                                  <w:sz w:val="22"/>
                                </w:rPr>
                                <w:t> </w:t>
                              </w:r>
                              <w:r>
                                <w:rPr>
                                  <w:sz w:val="22"/>
                                </w:rPr>
                                <w:t>may</w:t>
                              </w:r>
                              <w:r>
                                <w:rPr>
                                  <w:spacing w:val="23"/>
                                  <w:sz w:val="22"/>
                                </w:rPr>
                                <w:t> </w:t>
                              </w:r>
                              <w:r>
                                <w:rPr>
                                  <w:sz w:val="22"/>
                                </w:rPr>
                                <w:t>be</w:t>
                              </w:r>
                              <w:r>
                                <w:rPr>
                                  <w:spacing w:val="23"/>
                                  <w:sz w:val="22"/>
                                </w:rPr>
                                <w:t> </w:t>
                              </w:r>
                              <w:r>
                                <w:rPr>
                                  <w:sz w:val="22"/>
                                </w:rPr>
                                <w:t>preferentially</w:t>
                              </w:r>
                              <w:r>
                                <w:rPr>
                                  <w:spacing w:val="23"/>
                                  <w:sz w:val="22"/>
                                </w:rPr>
                                <w:t> </w:t>
                              </w:r>
                              <w:r>
                                <w:rPr>
                                  <w:sz w:val="22"/>
                                </w:rPr>
                                <w:t>considered</w:t>
                              </w:r>
                              <w:r>
                                <w:rPr>
                                  <w:spacing w:val="23"/>
                                  <w:sz w:val="22"/>
                                </w:rPr>
                                <w:t> </w:t>
                              </w:r>
                              <w:r>
                                <w:rPr>
                                  <w:sz w:val="22"/>
                                </w:rPr>
                                <w:t>as a first-line approach for osteoporosis prevention and fracture risk reduction.</w:t>
                              </w:r>
                            </w:p>
                            <w:p>
                              <w:pPr>
                                <w:spacing w:line="256" w:lineRule="auto" w:before="0"/>
                                <w:ind w:left="444" w:right="745" w:firstLine="0"/>
                                <w:jc w:val="both"/>
                                <w:rPr>
                                  <w:sz w:val="22"/>
                                </w:rPr>
                              </w:pPr>
                              <w:r>
                                <w:rPr>
                                  <w:sz w:val="22"/>
                                </w:rPr>
                                <w:t>In</w:t>
                              </w:r>
                              <w:r>
                                <w:rPr>
                                  <w:spacing w:val="40"/>
                                  <w:sz w:val="22"/>
                                </w:rPr>
                                <w:t> </w:t>
                              </w:r>
                              <w:r>
                                <w:rPr>
                                  <w:sz w:val="22"/>
                                </w:rPr>
                                <w:t>all</w:t>
                              </w:r>
                              <w:r>
                                <w:rPr>
                                  <w:spacing w:val="40"/>
                                  <w:sz w:val="22"/>
                                </w:rPr>
                                <w:t> </w:t>
                              </w:r>
                              <w:r>
                                <w:rPr>
                                  <w:sz w:val="22"/>
                                </w:rPr>
                                <w:t>except</w:t>
                              </w:r>
                              <w:r>
                                <w:rPr>
                                  <w:spacing w:val="40"/>
                                  <w:sz w:val="22"/>
                                </w:rPr>
                                <w:t> </w:t>
                              </w:r>
                              <w:r>
                                <w:rPr>
                                  <w:sz w:val="22"/>
                                </w:rPr>
                                <w:t>very-high-risk</w:t>
                              </w:r>
                              <w:r>
                                <w:rPr>
                                  <w:spacing w:val="40"/>
                                  <w:sz w:val="22"/>
                                </w:rPr>
                                <w:t> </w:t>
                              </w:r>
                              <w:r>
                                <w:rPr>
                                  <w:sz w:val="22"/>
                                </w:rPr>
                                <w:t>patients</w:t>
                              </w:r>
                              <w:r>
                                <w:rPr>
                                  <w:spacing w:val="40"/>
                                  <w:sz w:val="22"/>
                                </w:rPr>
                                <w:t> </w:t>
                              </w:r>
                              <w:r>
                                <w:rPr>
                                  <w:sz w:val="22"/>
                                </w:rPr>
                                <w:t>being</w:t>
                              </w:r>
                              <w:r>
                                <w:rPr>
                                  <w:spacing w:val="40"/>
                                  <w:sz w:val="22"/>
                                </w:rPr>
                                <w:t> </w:t>
                              </w:r>
                              <w:r>
                                <w:rPr>
                                  <w:sz w:val="22"/>
                                </w:rPr>
                                <w:t>treated</w:t>
                              </w:r>
                              <w:r>
                                <w:rPr>
                                  <w:spacing w:val="40"/>
                                  <w:sz w:val="22"/>
                                </w:rPr>
                                <w:t> </w:t>
                              </w:r>
                              <w:r>
                                <w:rPr>
                                  <w:sz w:val="22"/>
                                </w:rPr>
                                <w:t>with</w:t>
                              </w:r>
                              <w:r>
                                <w:rPr>
                                  <w:spacing w:val="40"/>
                                  <w:sz w:val="22"/>
                                </w:rPr>
                                <w:t> </w:t>
                              </w:r>
                              <w:r>
                                <w:rPr>
                                  <w:sz w:val="22"/>
                                </w:rPr>
                                <w:t>bisphosphonates,</w:t>
                              </w:r>
                              <w:r>
                                <w:rPr>
                                  <w:spacing w:val="40"/>
                                  <w:sz w:val="22"/>
                                </w:rPr>
                                <w:t> </w:t>
                              </w:r>
                              <w:r>
                                <w:rPr>
                                  <w:sz w:val="22"/>
                                </w:rPr>
                                <w:t>it</w:t>
                              </w:r>
                              <w:r>
                                <w:rPr>
                                  <w:spacing w:val="40"/>
                                  <w:sz w:val="22"/>
                                </w:rPr>
                                <w:t> </w:t>
                              </w:r>
                              <w:r>
                                <w:rPr>
                                  <w:sz w:val="22"/>
                                </w:rPr>
                                <w:t>would</w:t>
                              </w:r>
                              <w:r>
                                <w:rPr>
                                  <w:spacing w:val="40"/>
                                  <w:sz w:val="22"/>
                                </w:rPr>
                                <w:t> </w:t>
                              </w:r>
                              <w:r>
                                <w:rPr>
                                  <w:sz w:val="22"/>
                                </w:rPr>
                                <w:t>be wise to consider a time limit for the duration of exposure. Bone density should be measured after 2 to 4 years of treatment, and a period of “drug holiday” should </w:t>
                              </w:r>
                              <w:r>
                                <w:rPr>
                                  <w:sz w:val="22"/>
                                </w:rPr>
                                <w:t>be considered after 5 years of use for those who are not deemed at a markedly high fracture risk. Patients should be followed by monitoring bone density, with a resumption of treatment</w:t>
                              </w:r>
                              <w:r>
                                <w:rPr>
                                  <w:spacing w:val="31"/>
                                  <w:sz w:val="22"/>
                                </w:rPr>
                                <w:t> </w:t>
                              </w:r>
                              <w:r>
                                <w:rPr>
                                  <w:sz w:val="22"/>
                                </w:rPr>
                                <w:t>in</w:t>
                              </w:r>
                              <w:r>
                                <w:rPr>
                                  <w:spacing w:val="31"/>
                                  <w:sz w:val="22"/>
                                </w:rPr>
                                <w:t> </w:t>
                              </w:r>
                              <w:r>
                                <w:rPr>
                                  <w:sz w:val="22"/>
                                </w:rPr>
                                <w:t>those</w:t>
                              </w:r>
                              <w:r>
                                <w:rPr>
                                  <w:spacing w:val="31"/>
                                  <w:sz w:val="22"/>
                                </w:rPr>
                                <w:t> </w:t>
                              </w:r>
                              <w:r>
                                <w:rPr>
                                  <w:sz w:val="22"/>
                                </w:rPr>
                                <w:t>who</w:t>
                              </w:r>
                              <w:r>
                                <w:rPr>
                                  <w:spacing w:val="31"/>
                                  <w:sz w:val="22"/>
                                </w:rPr>
                                <w:t> </w:t>
                              </w:r>
                              <w:r>
                                <w:rPr>
                                  <w:sz w:val="22"/>
                                </w:rPr>
                                <w:t>rapidly</w:t>
                              </w:r>
                              <w:r>
                                <w:rPr>
                                  <w:spacing w:val="31"/>
                                  <w:sz w:val="22"/>
                                </w:rPr>
                                <w:t> </w:t>
                              </w:r>
                              <w:r>
                                <w:rPr>
                                  <w:sz w:val="22"/>
                                </w:rPr>
                                <w:t>lose</w:t>
                              </w:r>
                              <w:r>
                                <w:rPr>
                                  <w:spacing w:val="31"/>
                                  <w:sz w:val="22"/>
                                </w:rPr>
                                <w:t> </w:t>
                              </w:r>
                              <w:r>
                                <w:rPr>
                                  <w:sz w:val="22"/>
                                </w:rPr>
                                <w:t>bone</w:t>
                              </w:r>
                              <w:r>
                                <w:rPr>
                                  <w:spacing w:val="31"/>
                                  <w:sz w:val="22"/>
                                </w:rPr>
                                <w:t> </w:t>
                              </w:r>
                              <w:r>
                                <w:rPr>
                                  <w:sz w:val="22"/>
                                </w:rPr>
                                <w:t>or</w:t>
                              </w:r>
                              <w:r>
                                <w:rPr>
                                  <w:spacing w:val="31"/>
                                  <w:sz w:val="22"/>
                                </w:rPr>
                                <w:t> </w:t>
                              </w:r>
                              <w:r>
                                <w:rPr>
                                  <w:sz w:val="22"/>
                                </w:rPr>
                                <w:t>in</w:t>
                              </w:r>
                              <w:r>
                                <w:rPr>
                                  <w:spacing w:val="31"/>
                                  <w:sz w:val="22"/>
                                </w:rPr>
                                <w:t> </w:t>
                              </w:r>
                              <w:r>
                                <w:rPr>
                                  <w:sz w:val="22"/>
                                </w:rPr>
                                <w:t>those</w:t>
                              </w:r>
                              <w:r>
                                <w:rPr>
                                  <w:spacing w:val="31"/>
                                  <w:sz w:val="22"/>
                                </w:rPr>
                                <w:t> </w:t>
                              </w:r>
                              <w:r>
                                <w:rPr>
                                  <w:sz w:val="22"/>
                                </w:rPr>
                                <w:t>who</w:t>
                              </w:r>
                              <w:r>
                                <w:rPr>
                                  <w:spacing w:val="31"/>
                                  <w:sz w:val="22"/>
                                </w:rPr>
                                <w:t> </w:t>
                              </w:r>
                              <w:r>
                                <w:rPr>
                                  <w:sz w:val="22"/>
                                </w:rPr>
                                <w:t>accumulate</w:t>
                              </w:r>
                              <w:r>
                                <w:rPr>
                                  <w:spacing w:val="31"/>
                                  <w:sz w:val="22"/>
                                </w:rPr>
                                <w:t> </w:t>
                              </w:r>
                              <w:r>
                                <w:rPr>
                                  <w:sz w:val="22"/>
                                </w:rPr>
                                <w:t>a</w:t>
                              </w:r>
                              <w:r>
                                <w:rPr>
                                  <w:spacing w:val="31"/>
                                  <w:sz w:val="22"/>
                                </w:rPr>
                                <w:t> </w:t>
                              </w:r>
                              <w:r>
                                <w:rPr>
                                  <w:sz w:val="22"/>
                                </w:rPr>
                                <w:t>loss</w:t>
                              </w:r>
                              <w:r>
                                <w:rPr>
                                  <w:spacing w:val="31"/>
                                  <w:sz w:val="22"/>
                                </w:rPr>
                                <w:t> </w:t>
                              </w:r>
                              <w:r>
                                <w:rPr>
                                  <w:sz w:val="22"/>
                                </w:rPr>
                                <w:t>of</w:t>
                              </w:r>
                              <w:r>
                                <w:rPr>
                                  <w:spacing w:val="31"/>
                                  <w:sz w:val="22"/>
                                </w:rPr>
                                <w:t> </w:t>
                              </w:r>
                              <w:r>
                                <w:rPr>
                                  <w:sz w:val="22"/>
                                </w:rPr>
                                <w:t>5%</w:t>
                              </w:r>
                              <w:r>
                                <w:rPr>
                                  <w:spacing w:val="31"/>
                                  <w:sz w:val="22"/>
                                </w:rPr>
                                <w:t> </w:t>
                              </w:r>
                              <w:r>
                                <w:rPr>
                                  <w:sz w:val="22"/>
                                </w:rPr>
                                <w:t>to 10% in 1 year.</w:t>
                              </w:r>
                            </w:p>
                            <w:p>
                              <w:pPr>
                                <w:spacing w:line="256" w:lineRule="auto" w:before="0"/>
                                <w:ind w:left="444" w:right="753" w:firstLine="0"/>
                                <w:jc w:val="both"/>
                                <w:rPr>
                                  <w:sz w:val="22"/>
                                </w:rPr>
                              </w:pPr>
                              <w:r>
                                <w:rPr>
                                  <w:sz w:val="22"/>
                                </w:rPr>
                                <w:t>The onset of severe pain at any site is an indication to discontinue </w:t>
                              </w:r>
                              <w:r>
                                <w:rPr>
                                  <w:sz w:val="22"/>
                                </w:rPr>
                                <w:t>bisphosphonate </w:t>
                              </w:r>
                              <w:r>
                                <w:rPr>
                                  <w:spacing w:val="-2"/>
                                  <w:sz w:val="22"/>
                                </w:rPr>
                                <w:t>treatment.</w:t>
                              </w:r>
                            </w:p>
                            <w:p>
                              <w:pPr>
                                <w:spacing w:line="256" w:lineRule="auto" w:before="0"/>
                                <w:ind w:left="444" w:right="744" w:firstLine="0"/>
                                <w:jc w:val="both"/>
                                <w:rPr>
                                  <w:sz w:val="22"/>
                                </w:rPr>
                              </w:pPr>
                              <w:r>
                                <w:rPr>
                                  <w:sz w:val="22"/>
                                </w:rPr>
                                <w:t>In the absence of demonstrated fracture reduction benefit, the increased cost and likely increase in adverse events from a combination regimen (such as estrogen and bisphosphonate), such an approach is not currently recommended.</w:t>
                              </w:r>
                            </w:p>
                          </w:txbxContent>
                        </wps:txbx>
                        <wps:bodyPr wrap="square" lIns="0" tIns="0" rIns="0" bIns="0" rtlCol="0">
                          <a:noAutofit/>
                        </wps:bodyPr>
                      </wps:wsp>
                      <wps:wsp>
                        <wps:cNvPr id="111" name="Textbox 111"/>
                        <wps:cNvSpPr txBox="1"/>
                        <wps:spPr>
                          <a:xfrm>
                            <a:off x="0" y="57149"/>
                            <a:ext cx="5810250" cy="685800"/>
                          </a:xfrm>
                          <a:prstGeom prst="rect">
                            <a:avLst/>
                          </a:prstGeom>
                        </wps:spPr>
                        <wps:txbx>
                          <w:txbxContent>
                            <w:p>
                              <w:pPr>
                                <w:spacing w:before="350"/>
                                <w:ind w:left="332" w:right="0" w:firstLine="0"/>
                                <w:jc w:val="left"/>
                                <w:rPr>
                                  <w:rFonts w:ascii="Arial"/>
                                  <w:sz w:val="33"/>
                                </w:rPr>
                              </w:pPr>
                              <w:r>
                                <w:rPr>
                                  <w:rFonts w:ascii="Arial"/>
                                  <w:color w:val="FFFFFF"/>
                                  <w:sz w:val="33"/>
                                </w:rPr>
                                <w:t>Key</w:t>
                              </w:r>
                              <w:r>
                                <w:rPr>
                                  <w:rFonts w:ascii="Arial"/>
                                  <w:color w:val="FFFFFF"/>
                                  <w:spacing w:val="17"/>
                                  <w:sz w:val="33"/>
                                </w:rPr>
                                <w:t> </w:t>
                              </w:r>
                              <w:r>
                                <w:rPr>
                                  <w:rFonts w:ascii="Arial"/>
                                  <w:color w:val="FFFFFF"/>
                                  <w:sz w:val="33"/>
                                </w:rPr>
                                <w:t>Points:</w:t>
                              </w:r>
                              <w:r>
                                <w:rPr>
                                  <w:rFonts w:ascii="Arial"/>
                                  <w:color w:val="FFFFFF"/>
                                  <w:spacing w:val="17"/>
                                  <w:sz w:val="33"/>
                                </w:rPr>
                                <w:t> </w:t>
                              </w:r>
                              <w:r>
                                <w:rPr>
                                  <w:rFonts w:ascii="Arial"/>
                                  <w:color w:val="FFFFFF"/>
                                  <w:sz w:val="33"/>
                                </w:rPr>
                                <w:t>Treatment</w:t>
                              </w:r>
                              <w:r>
                                <w:rPr>
                                  <w:rFonts w:ascii="Arial"/>
                                  <w:color w:val="FFFFFF"/>
                                  <w:spacing w:val="18"/>
                                  <w:sz w:val="33"/>
                                </w:rPr>
                                <w:t> </w:t>
                              </w:r>
                              <w:r>
                                <w:rPr>
                                  <w:rFonts w:ascii="Arial"/>
                                  <w:color w:val="FFFFFF"/>
                                  <w:sz w:val="33"/>
                                </w:rPr>
                                <w:t>With</w:t>
                              </w:r>
                              <w:r>
                                <w:rPr>
                                  <w:rFonts w:ascii="Arial"/>
                                  <w:color w:val="FFFFFF"/>
                                  <w:spacing w:val="17"/>
                                  <w:sz w:val="33"/>
                                </w:rPr>
                                <w:t> </w:t>
                              </w:r>
                              <w:r>
                                <w:rPr>
                                  <w:rFonts w:ascii="Arial"/>
                                  <w:color w:val="FFFFFF"/>
                                  <w:spacing w:val="-2"/>
                                  <w:sz w:val="33"/>
                                </w:rPr>
                                <w:t>Bisphosphonates</w:t>
                              </w:r>
                            </w:p>
                          </w:txbxContent>
                        </wps:txbx>
                        <wps:bodyPr wrap="square" lIns="0" tIns="0" rIns="0" bIns="0" rtlCol="0">
                          <a:noAutofit/>
                        </wps:bodyPr>
                      </wps:wsp>
                    </wpg:wgp>
                  </a:graphicData>
                </a:graphic>
              </wp:anchor>
            </w:drawing>
          </mc:Choice>
          <mc:Fallback>
            <w:pict>
              <v:group style="position:absolute;margin-left:77.25pt;margin-top:18.492945pt;width:457.5pt;height:319.5pt;mso-position-horizontal-relative:page;mso-position-vertical-relative:paragraph;z-index:-15701504;mso-wrap-distance-left:0;mso-wrap-distance-right:0" id="docshapegroup90" coordorigin="1545,370" coordsize="9150,6390">
                <v:rect style="position:absolute;left:1545;top:369;width:9150;height:30" id="docshape91" filled="true" fillcolor="#d5e699" stroked="false">
                  <v:fill type="solid"/>
                </v:rect>
                <v:rect style="position:absolute;left:1545;top:1539;width:9150;height:5220" id="docshape92" filled="true" fillcolor="#e9f1cd" stroked="false">
                  <v:fill type="solid"/>
                </v:rect>
                <v:rect style="position:absolute;left:1545;top:459;width:9150;height:1080" id="docshape93" filled="true" fillcolor="#2b816f" stroked="false">
                  <v:fill type="solid"/>
                </v:rect>
                <v:shape style="position:absolute;left:1875;top:729;width:585;height:90" id="docshape94" coordorigin="1875,730" coordsize="585,90" path="m1926,820l1914,820,1908,819,1897,814,1892,811,1888,807,1884,802,1881,798,1876,786,1875,781,1875,769,1876,763,1881,752,1884,747,1888,743,1892,739,1897,736,1903,733,1908,731,1914,730,1926,730,1932,731,1937,733,1943,736,1948,739,1952,743,1956,747,1959,752,1964,763,1965,769,1965,781,1964,786,1959,798,1956,802,1952,807,1948,811,1943,814,1932,819,1926,820xm2091,820l2079,820,2073,819,2062,814,2057,811,2053,807,2049,802,2046,798,2041,786,2040,781,2040,769,2041,763,2046,752,2049,747,2053,743,2057,739,2062,736,2068,733,2073,731,2079,730,2091,730,2097,731,2102,733,2108,736,2112,739,2117,743,2121,747,2124,752,2129,763,2130,769,2130,781,2129,786,2124,798,2121,802,2117,807,2112,811,2108,814,2097,819,2091,820xm2256,820l2244,820,2238,819,2227,814,2222,811,2218,807,2214,802,2210,798,2206,786,2205,781,2205,769,2206,763,2210,752,2214,747,2218,743,2222,739,2227,736,2232,733,2238,731,2244,730,2256,730,2261,731,2267,733,2272,736,2277,739,2282,743,2286,747,2289,752,2294,763,2295,769,2295,781,2294,786,2289,798,2286,802,2282,807,2277,811,2272,814,2261,819,2256,820xm2421,820l2409,820,2403,819,2392,814,2387,811,2383,807,2379,802,2375,798,2371,786,2370,781,2370,769,2371,763,2375,752,2379,747,2383,743,2387,739,2392,736,2397,733,2403,731,2409,730,2421,730,2426,731,2432,733,2437,736,2442,739,2446,743,2451,747,2454,752,2458,763,2460,769,2460,781,2458,786,2454,798,2451,802,2446,807,2442,811,2437,814,2426,819,2421,820xe" filled="true" fillcolor="#d0e399" stroked="false">
                  <v:path arrowok="t"/>
                  <v:fill type="solid"/>
                </v:shape>
                <v:shape style="position:absolute;left:1754;top:1944;width:75;height:3585" id="docshape95" coordorigin="1755,1945" coordsize="75,3585" path="m1830,5487l1829,5483,1825,5473,1823,5469,1816,5462,1811,5460,1802,5456,1797,5455,1788,5455,1783,5456,1774,5460,1769,5462,1762,5469,1760,5473,1756,5483,1755,5487,1755,5497,1756,5502,1760,5511,1762,5515,1769,5522,1774,5525,1783,5529,1788,5530,1797,5530,1802,5529,1811,5525,1816,5522,1823,5515,1825,5511,1829,5502,1830,5497,1830,5492,1830,5487xm1830,4947l1829,4943,1825,4933,1823,4929,1816,4922,1811,4920,1802,4916,1797,4915,1788,4915,1783,4916,1774,4920,1769,4922,1762,4929,1760,4933,1756,4943,1755,4947,1755,4957,1756,4962,1760,4971,1762,4975,1769,4982,1774,4985,1783,4989,1788,4990,1797,4990,1802,4989,1811,4985,1816,4982,1823,4975,1825,4971,1829,4962,1830,4957,1830,4952,1830,4947xm1830,3057l1829,3053,1825,3043,1823,3039,1816,3032,1811,3030,1802,3026,1797,3025,1788,3025,1783,3026,1774,3030,1769,3032,1762,3039,1760,3043,1756,3053,1755,3057,1755,3067,1756,3072,1760,3081,1762,3085,1769,3092,1774,3095,1783,3099,1788,3100,1797,3100,1802,3099,1811,3095,1816,3092,1823,3085,1825,3081,1829,3072,1830,3067,1830,3062,1830,3057xm1830,1977l1829,1973,1825,1963,1823,1959,1816,1952,1811,1950,1802,1946,1797,1945,1788,1945,1783,1946,1774,1950,1769,1952,1762,1959,1760,1963,1756,1973,1755,1977,1755,1987,1756,1992,1760,2001,1762,2005,1769,2012,1774,2015,1783,2019,1788,2020,1797,2020,1802,2019,1811,2015,1816,2012,1823,2005,1825,2001,1829,1992,1830,1987,1830,1982,1830,1977xe" filled="true" fillcolor="#2b816f" stroked="false">
                  <v:path arrowok="t"/>
                  <v:fill type="solid"/>
                </v:shape>
                <v:shape style="position:absolute;left:1545;top:1539;width:9150;height:5220" type="#_x0000_t202" id="docshape96" filled="false" stroked="false">
                  <v:textbox inset="0,0,0,0">
                    <w:txbxContent>
                      <w:p>
                        <w:pPr>
                          <w:spacing w:line="240" w:lineRule="auto" w:before="51"/>
                          <w:rPr>
                            <w:sz w:val="22"/>
                          </w:rPr>
                        </w:pPr>
                      </w:p>
                      <w:p>
                        <w:pPr>
                          <w:spacing w:line="256" w:lineRule="auto" w:before="0"/>
                          <w:ind w:left="444" w:right="748" w:firstLine="0"/>
                          <w:jc w:val="both"/>
                          <w:rPr>
                            <w:sz w:val="22"/>
                          </w:rPr>
                        </w:pPr>
                        <w:r>
                          <w:rPr>
                            <w:sz w:val="22"/>
                          </w:rPr>
                          <w:t>Bisphosphonate treatment is best reserved for older postmenopausal women. It is not a drug class of choice for the prevention of osteoporosis in relatively young</w:t>
                        </w:r>
                        <w:r>
                          <w:rPr>
                            <w:spacing w:val="40"/>
                            <w:sz w:val="22"/>
                          </w:rPr>
                          <w:t> </w:t>
                        </w:r>
                        <w:r>
                          <w:rPr>
                            <w:sz w:val="22"/>
                          </w:rPr>
                          <w:t>postmenopausal</w:t>
                        </w:r>
                        <w:r>
                          <w:rPr>
                            <w:spacing w:val="23"/>
                            <w:sz w:val="22"/>
                          </w:rPr>
                          <w:t> </w:t>
                        </w:r>
                        <w:r>
                          <w:rPr>
                            <w:sz w:val="22"/>
                          </w:rPr>
                          <w:t>women</w:t>
                        </w:r>
                        <w:r>
                          <w:rPr>
                            <w:spacing w:val="23"/>
                            <w:sz w:val="22"/>
                          </w:rPr>
                          <w:t> </w:t>
                        </w:r>
                        <w:r>
                          <w:rPr>
                            <w:sz w:val="22"/>
                          </w:rPr>
                          <w:t>in</w:t>
                        </w:r>
                        <w:r>
                          <w:rPr>
                            <w:spacing w:val="23"/>
                            <w:sz w:val="22"/>
                          </w:rPr>
                          <w:t> </w:t>
                        </w:r>
                        <w:r>
                          <w:rPr>
                            <w:sz w:val="22"/>
                          </w:rPr>
                          <w:t>whom</w:t>
                        </w:r>
                        <w:r>
                          <w:rPr>
                            <w:spacing w:val="23"/>
                            <w:sz w:val="22"/>
                          </w:rPr>
                          <w:t> </w:t>
                        </w:r>
                        <w:r>
                          <w:rPr>
                            <w:sz w:val="22"/>
                          </w:rPr>
                          <w:t>hormone</w:t>
                        </w:r>
                        <w:r>
                          <w:rPr>
                            <w:spacing w:val="23"/>
                            <w:sz w:val="22"/>
                          </w:rPr>
                          <w:t> </w:t>
                        </w:r>
                        <w:r>
                          <w:rPr>
                            <w:sz w:val="22"/>
                          </w:rPr>
                          <w:t>therapy</w:t>
                        </w:r>
                        <w:r>
                          <w:rPr>
                            <w:spacing w:val="23"/>
                            <w:sz w:val="22"/>
                          </w:rPr>
                          <w:t> </w:t>
                        </w:r>
                        <w:r>
                          <w:rPr>
                            <w:sz w:val="22"/>
                          </w:rPr>
                          <w:t>may</w:t>
                        </w:r>
                        <w:r>
                          <w:rPr>
                            <w:spacing w:val="23"/>
                            <w:sz w:val="22"/>
                          </w:rPr>
                          <w:t> </w:t>
                        </w:r>
                        <w:r>
                          <w:rPr>
                            <w:sz w:val="22"/>
                          </w:rPr>
                          <w:t>be</w:t>
                        </w:r>
                        <w:r>
                          <w:rPr>
                            <w:spacing w:val="23"/>
                            <w:sz w:val="22"/>
                          </w:rPr>
                          <w:t> </w:t>
                        </w:r>
                        <w:r>
                          <w:rPr>
                            <w:sz w:val="22"/>
                          </w:rPr>
                          <w:t>preferentially</w:t>
                        </w:r>
                        <w:r>
                          <w:rPr>
                            <w:spacing w:val="23"/>
                            <w:sz w:val="22"/>
                          </w:rPr>
                          <w:t> </w:t>
                        </w:r>
                        <w:r>
                          <w:rPr>
                            <w:sz w:val="22"/>
                          </w:rPr>
                          <w:t>considered</w:t>
                        </w:r>
                        <w:r>
                          <w:rPr>
                            <w:spacing w:val="23"/>
                            <w:sz w:val="22"/>
                          </w:rPr>
                          <w:t> </w:t>
                        </w:r>
                        <w:r>
                          <w:rPr>
                            <w:sz w:val="22"/>
                          </w:rPr>
                          <w:t>as a first-line approach for osteoporosis prevention and fracture risk reduction.</w:t>
                        </w:r>
                      </w:p>
                      <w:p>
                        <w:pPr>
                          <w:spacing w:line="256" w:lineRule="auto" w:before="0"/>
                          <w:ind w:left="444" w:right="745" w:firstLine="0"/>
                          <w:jc w:val="both"/>
                          <w:rPr>
                            <w:sz w:val="22"/>
                          </w:rPr>
                        </w:pPr>
                        <w:r>
                          <w:rPr>
                            <w:sz w:val="22"/>
                          </w:rPr>
                          <w:t>In</w:t>
                        </w:r>
                        <w:r>
                          <w:rPr>
                            <w:spacing w:val="40"/>
                            <w:sz w:val="22"/>
                          </w:rPr>
                          <w:t> </w:t>
                        </w:r>
                        <w:r>
                          <w:rPr>
                            <w:sz w:val="22"/>
                          </w:rPr>
                          <w:t>all</w:t>
                        </w:r>
                        <w:r>
                          <w:rPr>
                            <w:spacing w:val="40"/>
                            <w:sz w:val="22"/>
                          </w:rPr>
                          <w:t> </w:t>
                        </w:r>
                        <w:r>
                          <w:rPr>
                            <w:sz w:val="22"/>
                          </w:rPr>
                          <w:t>except</w:t>
                        </w:r>
                        <w:r>
                          <w:rPr>
                            <w:spacing w:val="40"/>
                            <w:sz w:val="22"/>
                          </w:rPr>
                          <w:t> </w:t>
                        </w:r>
                        <w:r>
                          <w:rPr>
                            <w:sz w:val="22"/>
                          </w:rPr>
                          <w:t>very-high-risk</w:t>
                        </w:r>
                        <w:r>
                          <w:rPr>
                            <w:spacing w:val="40"/>
                            <w:sz w:val="22"/>
                          </w:rPr>
                          <w:t> </w:t>
                        </w:r>
                        <w:r>
                          <w:rPr>
                            <w:sz w:val="22"/>
                          </w:rPr>
                          <w:t>patients</w:t>
                        </w:r>
                        <w:r>
                          <w:rPr>
                            <w:spacing w:val="40"/>
                            <w:sz w:val="22"/>
                          </w:rPr>
                          <w:t> </w:t>
                        </w:r>
                        <w:r>
                          <w:rPr>
                            <w:sz w:val="22"/>
                          </w:rPr>
                          <w:t>being</w:t>
                        </w:r>
                        <w:r>
                          <w:rPr>
                            <w:spacing w:val="40"/>
                            <w:sz w:val="22"/>
                          </w:rPr>
                          <w:t> </w:t>
                        </w:r>
                        <w:r>
                          <w:rPr>
                            <w:sz w:val="22"/>
                          </w:rPr>
                          <w:t>treated</w:t>
                        </w:r>
                        <w:r>
                          <w:rPr>
                            <w:spacing w:val="40"/>
                            <w:sz w:val="22"/>
                          </w:rPr>
                          <w:t> </w:t>
                        </w:r>
                        <w:r>
                          <w:rPr>
                            <w:sz w:val="22"/>
                          </w:rPr>
                          <w:t>with</w:t>
                        </w:r>
                        <w:r>
                          <w:rPr>
                            <w:spacing w:val="40"/>
                            <w:sz w:val="22"/>
                          </w:rPr>
                          <w:t> </w:t>
                        </w:r>
                        <w:r>
                          <w:rPr>
                            <w:sz w:val="22"/>
                          </w:rPr>
                          <w:t>bisphosphonates,</w:t>
                        </w:r>
                        <w:r>
                          <w:rPr>
                            <w:spacing w:val="40"/>
                            <w:sz w:val="22"/>
                          </w:rPr>
                          <w:t> </w:t>
                        </w:r>
                        <w:r>
                          <w:rPr>
                            <w:sz w:val="22"/>
                          </w:rPr>
                          <w:t>it</w:t>
                        </w:r>
                        <w:r>
                          <w:rPr>
                            <w:spacing w:val="40"/>
                            <w:sz w:val="22"/>
                          </w:rPr>
                          <w:t> </w:t>
                        </w:r>
                        <w:r>
                          <w:rPr>
                            <w:sz w:val="22"/>
                          </w:rPr>
                          <w:t>would</w:t>
                        </w:r>
                        <w:r>
                          <w:rPr>
                            <w:spacing w:val="40"/>
                            <w:sz w:val="22"/>
                          </w:rPr>
                          <w:t> </w:t>
                        </w:r>
                        <w:r>
                          <w:rPr>
                            <w:sz w:val="22"/>
                          </w:rPr>
                          <w:t>be wise to consider a time limit for the duration of exposure. Bone density should be measured after 2 to 4 years of treatment, and a period of “drug holiday” should </w:t>
                        </w:r>
                        <w:r>
                          <w:rPr>
                            <w:sz w:val="22"/>
                          </w:rPr>
                          <w:t>be considered after 5 years of use for those who are not deemed at a markedly high fracture risk. Patients should be followed by monitoring bone density, with a resumption of treatment</w:t>
                        </w:r>
                        <w:r>
                          <w:rPr>
                            <w:spacing w:val="31"/>
                            <w:sz w:val="22"/>
                          </w:rPr>
                          <w:t> </w:t>
                        </w:r>
                        <w:r>
                          <w:rPr>
                            <w:sz w:val="22"/>
                          </w:rPr>
                          <w:t>in</w:t>
                        </w:r>
                        <w:r>
                          <w:rPr>
                            <w:spacing w:val="31"/>
                            <w:sz w:val="22"/>
                          </w:rPr>
                          <w:t> </w:t>
                        </w:r>
                        <w:r>
                          <w:rPr>
                            <w:sz w:val="22"/>
                          </w:rPr>
                          <w:t>those</w:t>
                        </w:r>
                        <w:r>
                          <w:rPr>
                            <w:spacing w:val="31"/>
                            <w:sz w:val="22"/>
                          </w:rPr>
                          <w:t> </w:t>
                        </w:r>
                        <w:r>
                          <w:rPr>
                            <w:sz w:val="22"/>
                          </w:rPr>
                          <w:t>who</w:t>
                        </w:r>
                        <w:r>
                          <w:rPr>
                            <w:spacing w:val="31"/>
                            <w:sz w:val="22"/>
                          </w:rPr>
                          <w:t> </w:t>
                        </w:r>
                        <w:r>
                          <w:rPr>
                            <w:sz w:val="22"/>
                          </w:rPr>
                          <w:t>rapidly</w:t>
                        </w:r>
                        <w:r>
                          <w:rPr>
                            <w:spacing w:val="31"/>
                            <w:sz w:val="22"/>
                          </w:rPr>
                          <w:t> </w:t>
                        </w:r>
                        <w:r>
                          <w:rPr>
                            <w:sz w:val="22"/>
                          </w:rPr>
                          <w:t>lose</w:t>
                        </w:r>
                        <w:r>
                          <w:rPr>
                            <w:spacing w:val="31"/>
                            <w:sz w:val="22"/>
                          </w:rPr>
                          <w:t> </w:t>
                        </w:r>
                        <w:r>
                          <w:rPr>
                            <w:sz w:val="22"/>
                          </w:rPr>
                          <w:t>bone</w:t>
                        </w:r>
                        <w:r>
                          <w:rPr>
                            <w:spacing w:val="31"/>
                            <w:sz w:val="22"/>
                          </w:rPr>
                          <w:t> </w:t>
                        </w:r>
                        <w:r>
                          <w:rPr>
                            <w:sz w:val="22"/>
                          </w:rPr>
                          <w:t>or</w:t>
                        </w:r>
                        <w:r>
                          <w:rPr>
                            <w:spacing w:val="31"/>
                            <w:sz w:val="22"/>
                          </w:rPr>
                          <w:t> </w:t>
                        </w:r>
                        <w:r>
                          <w:rPr>
                            <w:sz w:val="22"/>
                          </w:rPr>
                          <w:t>in</w:t>
                        </w:r>
                        <w:r>
                          <w:rPr>
                            <w:spacing w:val="31"/>
                            <w:sz w:val="22"/>
                          </w:rPr>
                          <w:t> </w:t>
                        </w:r>
                        <w:r>
                          <w:rPr>
                            <w:sz w:val="22"/>
                          </w:rPr>
                          <w:t>those</w:t>
                        </w:r>
                        <w:r>
                          <w:rPr>
                            <w:spacing w:val="31"/>
                            <w:sz w:val="22"/>
                          </w:rPr>
                          <w:t> </w:t>
                        </w:r>
                        <w:r>
                          <w:rPr>
                            <w:sz w:val="22"/>
                          </w:rPr>
                          <w:t>who</w:t>
                        </w:r>
                        <w:r>
                          <w:rPr>
                            <w:spacing w:val="31"/>
                            <w:sz w:val="22"/>
                          </w:rPr>
                          <w:t> </w:t>
                        </w:r>
                        <w:r>
                          <w:rPr>
                            <w:sz w:val="22"/>
                          </w:rPr>
                          <w:t>accumulate</w:t>
                        </w:r>
                        <w:r>
                          <w:rPr>
                            <w:spacing w:val="31"/>
                            <w:sz w:val="22"/>
                          </w:rPr>
                          <w:t> </w:t>
                        </w:r>
                        <w:r>
                          <w:rPr>
                            <w:sz w:val="22"/>
                          </w:rPr>
                          <w:t>a</w:t>
                        </w:r>
                        <w:r>
                          <w:rPr>
                            <w:spacing w:val="31"/>
                            <w:sz w:val="22"/>
                          </w:rPr>
                          <w:t> </w:t>
                        </w:r>
                        <w:r>
                          <w:rPr>
                            <w:sz w:val="22"/>
                          </w:rPr>
                          <w:t>loss</w:t>
                        </w:r>
                        <w:r>
                          <w:rPr>
                            <w:spacing w:val="31"/>
                            <w:sz w:val="22"/>
                          </w:rPr>
                          <w:t> </w:t>
                        </w:r>
                        <w:r>
                          <w:rPr>
                            <w:sz w:val="22"/>
                          </w:rPr>
                          <w:t>of</w:t>
                        </w:r>
                        <w:r>
                          <w:rPr>
                            <w:spacing w:val="31"/>
                            <w:sz w:val="22"/>
                          </w:rPr>
                          <w:t> </w:t>
                        </w:r>
                        <w:r>
                          <w:rPr>
                            <w:sz w:val="22"/>
                          </w:rPr>
                          <w:t>5%</w:t>
                        </w:r>
                        <w:r>
                          <w:rPr>
                            <w:spacing w:val="31"/>
                            <w:sz w:val="22"/>
                          </w:rPr>
                          <w:t> </w:t>
                        </w:r>
                        <w:r>
                          <w:rPr>
                            <w:sz w:val="22"/>
                          </w:rPr>
                          <w:t>to 10% in 1 year.</w:t>
                        </w:r>
                      </w:p>
                      <w:p>
                        <w:pPr>
                          <w:spacing w:line="256" w:lineRule="auto" w:before="0"/>
                          <w:ind w:left="444" w:right="753" w:firstLine="0"/>
                          <w:jc w:val="both"/>
                          <w:rPr>
                            <w:sz w:val="22"/>
                          </w:rPr>
                        </w:pPr>
                        <w:r>
                          <w:rPr>
                            <w:sz w:val="22"/>
                          </w:rPr>
                          <w:t>The onset of severe pain at any site is an indication to discontinue </w:t>
                        </w:r>
                        <w:r>
                          <w:rPr>
                            <w:sz w:val="22"/>
                          </w:rPr>
                          <w:t>bisphosphonate </w:t>
                        </w:r>
                        <w:r>
                          <w:rPr>
                            <w:spacing w:val="-2"/>
                            <w:sz w:val="22"/>
                          </w:rPr>
                          <w:t>treatment.</w:t>
                        </w:r>
                      </w:p>
                      <w:p>
                        <w:pPr>
                          <w:spacing w:line="256" w:lineRule="auto" w:before="0"/>
                          <w:ind w:left="444" w:right="744" w:firstLine="0"/>
                          <w:jc w:val="both"/>
                          <w:rPr>
                            <w:sz w:val="22"/>
                          </w:rPr>
                        </w:pPr>
                        <w:r>
                          <w:rPr>
                            <w:sz w:val="22"/>
                          </w:rPr>
                          <w:t>In the absence of demonstrated fracture reduction benefit, the increased cost and likely increase in adverse events from a combination regimen (such as estrogen and bisphosphonate), such an approach is not currently recommended.</w:t>
                        </w:r>
                      </w:p>
                    </w:txbxContent>
                  </v:textbox>
                  <w10:wrap type="none"/>
                </v:shape>
                <v:shape style="position:absolute;left:1545;top:459;width:9150;height:1080" type="#_x0000_t202" id="docshape97" filled="false" stroked="false">
                  <v:textbox inset="0,0,0,0">
                    <w:txbxContent>
                      <w:p>
                        <w:pPr>
                          <w:spacing w:before="350"/>
                          <w:ind w:left="332" w:right="0" w:firstLine="0"/>
                          <w:jc w:val="left"/>
                          <w:rPr>
                            <w:rFonts w:ascii="Arial"/>
                            <w:sz w:val="33"/>
                          </w:rPr>
                        </w:pPr>
                        <w:r>
                          <w:rPr>
                            <w:rFonts w:ascii="Arial"/>
                            <w:color w:val="FFFFFF"/>
                            <w:sz w:val="33"/>
                          </w:rPr>
                          <w:t>Key</w:t>
                        </w:r>
                        <w:r>
                          <w:rPr>
                            <w:rFonts w:ascii="Arial"/>
                            <w:color w:val="FFFFFF"/>
                            <w:spacing w:val="17"/>
                            <w:sz w:val="33"/>
                          </w:rPr>
                          <w:t> </w:t>
                        </w:r>
                        <w:r>
                          <w:rPr>
                            <w:rFonts w:ascii="Arial"/>
                            <w:color w:val="FFFFFF"/>
                            <w:sz w:val="33"/>
                          </w:rPr>
                          <w:t>Points:</w:t>
                        </w:r>
                        <w:r>
                          <w:rPr>
                            <w:rFonts w:ascii="Arial"/>
                            <w:color w:val="FFFFFF"/>
                            <w:spacing w:val="17"/>
                            <w:sz w:val="33"/>
                          </w:rPr>
                          <w:t> </w:t>
                        </w:r>
                        <w:r>
                          <w:rPr>
                            <w:rFonts w:ascii="Arial"/>
                            <w:color w:val="FFFFFF"/>
                            <w:sz w:val="33"/>
                          </w:rPr>
                          <w:t>Treatment</w:t>
                        </w:r>
                        <w:r>
                          <w:rPr>
                            <w:rFonts w:ascii="Arial"/>
                            <w:color w:val="FFFFFF"/>
                            <w:spacing w:val="18"/>
                            <w:sz w:val="33"/>
                          </w:rPr>
                          <w:t> </w:t>
                        </w:r>
                        <w:r>
                          <w:rPr>
                            <w:rFonts w:ascii="Arial"/>
                            <w:color w:val="FFFFFF"/>
                            <w:sz w:val="33"/>
                          </w:rPr>
                          <w:t>With</w:t>
                        </w:r>
                        <w:r>
                          <w:rPr>
                            <w:rFonts w:ascii="Arial"/>
                            <w:color w:val="FFFFFF"/>
                            <w:spacing w:val="17"/>
                            <w:sz w:val="33"/>
                          </w:rPr>
                          <w:t> </w:t>
                        </w:r>
                        <w:r>
                          <w:rPr>
                            <w:rFonts w:ascii="Arial"/>
                            <w:color w:val="FFFFFF"/>
                            <w:spacing w:val="-2"/>
                            <w:sz w:val="33"/>
                          </w:rPr>
                          <w:t>Bisphosphonates</w:t>
                        </w:r>
                      </w:p>
                    </w:txbxContent>
                  </v:textbox>
                  <w10:wrap type="none"/>
                </v:shape>
                <w10:wrap type="topAndBottom"/>
              </v:group>
            </w:pict>
          </mc:Fallback>
        </mc:AlternateContent>
      </w:r>
    </w:p>
    <w:p>
      <w:pPr>
        <w:pStyle w:val="BodyText"/>
        <w:spacing w:before="0"/>
        <w:ind w:left="0"/>
        <w:jc w:val="left"/>
      </w:pPr>
    </w:p>
    <w:p>
      <w:pPr>
        <w:pStyle w:val="BodyText"/>
        <w:spacing w:before="213"/>
        <w:ind w:left="0"/>
        <w:jc w:val="left"/>
      </w:pPr>
    </w:p>
    <w:p>
      <w:pPr>
        <w:spacing w:before="0"/>
        <w:ind w:left="99" w:right="0" w:firstLine="0"/>
        <w:jc w:val="left"/>
        <w:rPr>
          <w:rFonts w:ascii="Arial"/>
          <w:b/>
          <w:sz w:val="30"/>
        </w:rPr>
      </w:pPr>
      <w:r>
        <w:rPr>
          <w:rFonts w:ascii="Arial"/>
          <w:b/>
          <w:color w:val="2674AE"/>
          <w:spacing w:val="-2"/>
          <w:sz w:val="30"/>
        </w:rPr>
        <w:t>Denosumab</w:t>
      </w:r>
    </w:p>
    <w:p>
      <w:pPr>
        <w:pStyle w:val="BodyText"/>
        <w:spacing w:line="249" w:lineRule="auto" w:before="167"/>
        <w:jc w:val="left"/>
      </w:pPr>
      <w:r>
        <w:rPr/>
        <w:t>Denosumab</w:t>
      </w:r>
      <w:r>
        <w:rPr>
          <w:spacing w:val="-1"/>
        </w:rPr>
        <w:t> </w:t>
      </w:r>
      <w:r>
        <w:rPr/>
        <w:t>(Prolia)</w:t>
      </w:r>
      <w:r>
        <w:rPr>
          <w:spacing w:val="-1"/>
        </w:rPr>
        <w:t> </w:t>
      </w:r>
      <w:r>
        <w:rPr/>
        <w:t>is</w:t>
      </w:r>
      <w:r>
        <w:rPr>
          <w:spacing w:val="-1"/>
        </w:rPr>
        <w:t> </w:t>
      </w:r>
      <w:r>
        <w:rPr/>
        <w:t>a</w:t>
      </w:r>
      <w:r>
        <w:rPr>
          <w:spacing w:val="-1"/>
        </w:rPr>
        <w:t> </w:t>
      </w:r>
      <w:r>
        <w:rPr/>
        <w:t>human</w:t>
      </w:r>
      <w:r>
        <w:rPr>
          <w:spacing w:val="-1"/>
        </w:rPr>
        <w:t> </w:t>
      </w:r>
      <w:r>
        <w:rPr/>
        <w:t>monoclonal</w:t>
      </w:r>
      <w:r>
        <w:rPr>
          <w:spacing w:val="-1"/>
        </w:rPr>
        <w:t> </w:t>
      </w:r>
      <w:r>
        <w:rPr/>
        <w:t>antibody</w:t>
      </w:r>
      <w:r>
        <w:rPr>
          <w:spacing w:val="-1"/>
        </w:rPr>
        <w:t> </w:t>
      </w:r>
      <w:r>
        <w:rPr/>
        <w:t>to</w:t>
      </w:r>
      <w:r>
        <w:rPr>
          <w:spacing w:val="-1"/>
        </w:rPr>
        <w:t> </w:t>
      </w:r>
      <w:r>
        <w:rPr/>
        <w:t>RANKL</w:t>
      </w:r>
      <w:r>
        <w:rPr>
          <w:spacing w:val="-1"/>
        </w:rPr>
        <w:t> </w:t>
      </w:r>
      <w:r>
        <w:rPr/>
        <w:t>and</w:t>
      </w:r>
      <w:r>
        <w:rPr>
          <w:spacing w:val="-1"/>
        </w:rPr>
        <w:t> </w:t>
      </w:r>
      <w:r>
        <w:rPr/>
        <w:t>is</w:t>
      </w:r>
      <w:r>
        <w:rPr>
          <w:spacing w:val="-1"/>
        </w:rPr>
        <w:t> </w:t>
      </w:r>
      <w:r>
        <w:rPr/>
        <w:t>one of</w:t>
      </w:r>
      <w:r>
        <w:rPr>
          <w:spacing w:val="17"/>
        </w:rPr>
        <w:t> </w:t>
      </w:r>
      <w:r>
        <w:rPr/>
        <w:t>the</w:t>
      </w:r>
      <w:r>
        <w:rPr>
          <w:spacing w:val="17"/>
        </w:rPr>
        <w:t> </w:t>
      </w:r>
      <w:r>
        <w:rPr/>
        <w:t>newest</w:t>
      </w:r>
      <w:r>
        <w:rPr>
          <w:spacing w:val="17"/>
        </w:rPr>
        <w:t> </w:t>
      </w:r>
      <w:r>
        <w:rPr/>
        <w:t>of</w:t>
      </w:r>
      <w:r>
        <w:rPr>
          <w:spacing w:val="17"/>
        </w:rPr>
        <w:t> </w:t>
      </w:r>
      <w:r>
        <w:rPr/>
        <w:t>the</w:t>
      </w:r>
      <w:r>
        <w:rPr>
          <w:spacing w:val="17"/>
        </w:rPr>
        <w:t> </w:t>
      </w:r>
      <w:r>
        <w:rPr/>
        <w:t>available</w:t>
      </w:r>
      <w:r>
        <w:rPr>
          <w:spacing w:val="17"/>
        </w:rPr>
        <w:t> </w:t>
      </w:r>
      <w:r>
        <w:rPr/>
        <w:t>antifracture</w:t>
      </w:r>
      <w:r>
        <w:rPr>
          <w:spacing w:val="17"/>
        </w:rPr>
        <w:t> </w:t>
      </w:r>
      <w:r>
        <w:rPr/>
        <w:t>agents</w:t>
      </w:r>
      <w:r>
        <w:rPr>
          <w:spacing w:val="17"/>
        </w:rPr>
        <w:t> </w:t>
      </w:r>
      <w:r>
        <w:rPr/>
        <w:t>that</w:t>
      </w:r>
      <w:r>
        <w:rPr>
          <w:spacing w:val="17"/>
        </w:rPr>
        <w:t> </w:t>
      </w:r>
      <w:r>
        <w:rPr/>
        <w:t>was</w:t>
      </w:r>
      <w:r>
        <w:rPr>
          <w:spacing w:val="17"/>
        </w:rPr>
        <w:t> </w:t>
      </w:r>
      <w:r>
        <w:rPr/>
        <w:t>approved</w:t>
      </w:r>
      <w:r>
        <w:rPr>
          <w:spacing w:val="17"/>
        </w:rPr>
        <w:t> </w:t>
      </w:r>
      <w:r>
        <w:rPr/>
        <w:t>for</w:t>
      </w:r>
      <w:r>
        <w:rPr>
          <w:spacing w:val="17"/>
        </w:rPr>
        <w:t> </w:t>
      </w:r>
      <w:r>
        <w:rPr>
          <w:spacing w:val="-5"/>
        </w:rPr>
        <w:t>the</w:t>
      </w:r>
    </w:p>
    <w:p>
      <w:pPr>
        <w:pStyle w:val="BodyText"/>
        <w:spacing w:after="0" w:line="249" w:lineRule="auto"/>
        <w:jc w:val="left"/>
        <w:sectPr>
          <w:pgSz w:w="12240" w:h="15840"/>
          <w:pgMar w:top="1380" w:bottom="280" w:left="1440" w:right="1440"/>
        </w:sectPr>
      </w:pPr>
    </w:p>
    <w:p>
      <w:pPr>
        <w:pStyle w:val="BodyText"/>
        <w:spacing w:line="249" w:lineRule="auto"/>
        <w:ind w:right="98"/>
      </w:pPr>
      <w:r>
        <w:rPr/>
        <w:t>treatment of osteoporosis in high-risk patients. RANKL is secreted by osteoblasts and binds to its receptor, RANK, on the surface of osteoclasts, stimulating</w:t>
      </w:r>
      <w:r>
        <w:rPr>
          <w:spacing w:val="-3"/>
        </w:rPr>
        <w:t> </w:t>
      </w:r>
      <w:r>
        <w:rPr/>
        <w:t>the</w:t>
      </w:r>
      <w:r>
        <w:rPr>
          <w:spacing w:val="-3"/>
        </w:rPr>
        <w:t> </w:t>
      </w:r>
      <w:r>
        <w:rPr/>
        <w:t>osteoclasts</w:t>
      </w:r>
      <w:r>
        <w:rPr>
          <w:spacing w:val="-3"/>
        </w:rPr>
        <w:t> </w:t>
      </w:r>
      <w:r>
        <w:rPr/>
        <w:t>to</w:t>
      </w:r>
      <w:r>
        <w:rPr>
          <w:spacing w:val="-3"/>
        </w:rPr>
        <w:t> </w:t>
      </w:r>
      <w:r>
        <w:rPr/>
        <w:t>mature</w:t>
      </w:r>
      <w:r>
        <w:rPr>
          <w:spacing w:val="-3"/>
        </w:rPr>
        <w:t> </w:t>
      </w:r>
      <w:r>
        <w:rPr/>
        <w:t>and</w:t>
      </w:r>
      <w:r>
        <w:rPr>
          <w:spacing w:val="-3"/>
        </w:rPr>
        <w:t> </w:t>
      </w:r>
      <w:r>
        <w:rPr/>
        <w:t>to</w:t>
      </w:r>
      <w:r>
        <w:rPr>
          <w:spacing w:val="-3"/>
        </w:rPr>
        <w:t> </w:t>
      </w:r>
      <w:r>
        <w:rPr/>
        <w:t>resorb</w:t>
      </w:r>
      <w:r>
        <w:rPr>
          <w:spacing w:val="-3"/>
        </w:rPr>
        <w:t> </w:t>
      </w:r>
      <w:r>
        <w:rPr/>
        <w:t>bone</w:t>
      </w:r>
      <w:r>
        <w:rPr>
          <w:spacing w:val="-3"/>
        </w:rPr>
        <w:t> </w:t>
      </w:r>
      <w:r>
        <w:rPr/>
        <w:t>(</w:t>
      </w:r>
      <w:r>
        <w:rPr>
          <w:b/>
          <w:color w:val="256E60"/>
        </w:rPr>
        <w:t>Figure</w:t>
      </w:r>
      <w:r>
        <w:rPr>
          <w:b/>
          <w:color w:val="256E60"/>
          <w:spacing w:val="-3"/>
        </w:rPr>
        <w:t> </w:t>
      </w:r>
      <w:r>
        <w:rPr>
          <w:b/>
          <w:color w:val="256E60"/>
        </w:rPr>
        <w:t>23.2</w:t>
      </w:r>
      <w:r>
        <w:rPr/>
        <w:t>).</w:t>
      </w:r>
      <w:r>
        <w:rPr>
          <w:spacing w:val="-4"/>
        </w:rPr>
        <w:t> </w:t>
      </w:r>
      <w:r>
        <w:rPr/>
        <w:t>OPG is a soluble receptor that is produced by the osteoblasts and that acts as a sponge to bind circulating RANKL, thereby preventing the </w:t>
      </w:r>
      <w:r>
        <w:rPr/>
        <w:t>RANK-mediated activation of osteoclasts; in the absence of RANK signaling, osteoclasts undergo apoptosis. An agent that could act like OPG, therefore, would prevent bone loss. Denosumab works like OPG, but rather than competing with RANK for its activator RANKL, it binds with great affinity to RANKL, thus preventing activation of RANK. The antiresorptive effects of denosumab are thus distinct from those of bisphosphonates and estrogens. Denosumab prevents both maturation and survival of osteoclasts and active bone resorption by osteoclasts.</w:t>
      </w:r>
    </w:p>
    <w:p>
      <w:pPr>
        <w:pStyle w:val="BodyText"/>
        <w:spacing w:line="249" w:lineRule="auto" w:before="16"/>
        <w:ind w:right="98" w:firstLine="450"/>
      </w:pPr>
      <w:r>
        <w:rPr/>
        <w:t>The impact of denosumab on bone density has been evaluated in phase</w:t>
      </w:r>
      <w:r>
        <w:rPr>
          <w:spacing w:val="40"/>
        </w:rPr>
        <w:t> </w:t>
      </w:r>
      <w:r>
        <w:rPr/>
        <w:t>2 clinical trials.</w:t>
      </w:r>
      <w:r>
        <w:rPr>
          <w:vertAlign w:val="superscript"/>
        </w:rPr>
        <w:t>287</w:t>
      </w:r>
      <w:r>
        <w:rPr>
          <w:vertAlign w:val="baseline"/>
        </w:rPr>
        <w:t> The participants were postmenopausal women up to </w:t>
      </w:r>
      <w:r>
        <w:rPr>
          <w:vertAlign w:val="baseline"/>
        </w:rPr>
        <w:t>age 80 who had osteoporosis based on low </w:t>
      </w:r>
      <w:r>
        <w:rPr>
          <w:i/>
          <w:vertAlign w:val="baseline"/>
        </w:rPr>
        <w:t>T</w:t>
      </w:r>
      <w:r>
        <w:rPr>
          <w:vertAlign w:val="baseline"/>
        </w:rPr>
        <w:t>-scores. For the first 2 years, the patients were randomized to one of seven denosumab doses, alendronate, or placebo.</w:t>
      </w:r>
      <w:r>
        <w:rPr>
          <w:spacing w:val="-2"/>
          <w:vertAlign w:val="baseline"/>
        </w:rPr>
        <w:t> </w:t>
      </w:r>
      <w:r>
        <w:rPr>
          <w:vertAlign w:val="baseline"/>
        </w:rPr>
        <w:t>After 2 years, patients in five of the treated groups were continued for 2 more years on 60 mg daily given subcutaneously only once every 6 months. One treatment arm was discontinued, and then after a year, treatment was resumed with 60 mg denosumab every 6 months. One treatment arm was discontinued after 2 years and followed. Two hundred and sixty-two women completed the study. Long-term treatment increased bone density in the spine and hip, whereas the placebo group continued to lose bone density. A reduction in markers for bone turnover was sustained. The group that discontinued treatment after 2 years lost bone density; after</w:t>
      </w:r>
      <w:r>
        <w:rPr>
          <w:spacing w:val="40"/>
          <w:vertAlign w:val="baseline"/>
        </w:rPr>
        <w:t> </w:t>
      </w:r>
      <w:r>
        <w:rPr>
          <w:vertAlign w:val="baseline"/>
        </w:rPr>
        <w:t>a year, retreatment with denosumab restored the bone to the level of the</w:t>
      </w:r>
      <w:r>
        <w:rPr>
          <w:spacing w:val="40"/>
          <w:vertAlign w:val="baseline"/>
        </w:rPr>
        <w:t> </w:t>
      </w:r>
      <w:r>
        <w:rPr>
          <w:vertAlign w:val="baseline"/>
        </w:rPr>
        <w:t>gain</w:t>
      </w:r>
      <w:r>
        <w:rPr>
          <w:spacing w:val="-2"/>
          <w:vertAlign w:val="baseline"/>
        </w:rPr>
        <w:t> </w:t>
      </w:r>
      <w:r>
        <w:rPr>
          <w:vertAlign w:val="baseline"/>
        </w:rPr>
        <w:t>achieved</w:t>
      </w:r>
      <w:r>
        <w:rPr>
          <w:spacing w:val="-2"/>
          <w:vertAlign w:val="baseline"/>
        </w:rPr>
        <w:t> </w:t>
      </w:r>
      <w:r>
        <w:rPr>
          <w:vertAlign w:val="baseline"/>
        </w:rPr>
        <w:t>in</w:t>
      </w:r>
      <w:r>
        <w:rPr>
          <w:spacing w:val="-2"/>
          <w:vertAlign w:val="baseline"/>
        </w:rPr>
        <w:t> </w:t>
      </w:r>
      <w:r>
        <w:rPr>
          <w:vertAlign w:val="baseline"/>
        </w:rPr>
        <w:t>the</w:t>
      </w:r>
      <w:r>
        <w:rPr>
          <w:spacing w:val="-2"/>
          <w:vertAlign w:val="baseline"/>
        </w:rPr>
        <w:t> </w:t>
      </w:r>
      <w:r>
        <w:rPr>
          <w:vertAlign w:val="baseline"/>
        </w:rPr>
        <w:t>first</w:t>
      </w:r>
      <w:r>
        <w:rPr>
          <w:spacing w:val="-2"/>
          <w:vertAlign w:val="baseline"/>
        </w:rPr>
        <w:t> </w:t>
      </w:r>
      <w:r>
        <w:rPr>
          <w:vertAlign w:val="baseline"/>
        </w:rPr>
        <w:t>2</w:t>
      </w:r>
      <w:r>
        <w:rPr>
          <w:spacing w:val="-2"/>
          <w:vertAlign w:val="baseline"/>
        </w:rPr>
        <w:t> </w:t>
      </w:r>
      <w:r>
        <w:rPr>
          <w:vertAlign w:val="baseline"/>
        </w:rPr>
        <w:t>years,</w:t>
      </w:r>
      <w:r>
        <w:rPr>
          <w:spacing w:val="-2"/>
          <w:vertAlign w:val="baseline"/>
        </w:rPr>
        <w:t> </w:t>
      </w:r>
      <w:r>
        <w:rPr>
          <w:vertAlign w:val="baseline"/>
        </w:rPr>
        <w:t>levels</w:t>
      </w:r>
      <w:r>
        <w:rPr>
          <w:spacing w:val="-2"/>
          <w:vertAlign w:val="baseline"/>
        </w:rPr>
        <w:t> </w:t>
      </w:r>
      <w:r>
        <w:rPr>
          <w:vertAlign w:val="baseline"/>
        </w:rPr>
        <w:t>similar</w:t>
      </w:r>
      <w:r>
        <w:rPr>
          <w:spacing w:val="-2"/>
          <w:vertAlign w:val="baseline"/>
        </w:rPr>
        <w:t> </w:t>
      </w:r>
      <w:r>
        <w:rPr>
          <w:vertAlign w:val="baseline"/>
        </w:rPr>
        <w:t>to</w:t>
      </w:r>
      <w:r>
        <w:rPr>
          <w:spacing w:val="-2"/>
          <w:vertAlign w:val="baseline"/>
        </w:rPr>
        <w:t> </w:t>
      </w:r>
      <w:r>
        <w:rPr>
          <w:vertAlign w:val="baseline"/>
        </w:rPr>
        <w:t>the</w:t>
      </w:r>
      <w:r>
        <w:rPr>
          <w:spacing w:val="-2"/>
          <w:vertAlign w:val="baseline"/>
        </w:rPr>
        <w:t> </w:t>
      </w:r>
      <w:r>
        <w:rPr>
          <w:vertAlign w:val="baseline"/>
        </w:rPr>
        <w:t>groups</w:t>
      </w:r>
      <w:r>
        <w:rPr>
          <w:spacing w:val="-2"/>
          <w:vertAlign w:val="baseline"/>
        </w:rPr>
        <w:t> </w:t>
      </w:r>
      <w:r>
        <w:rPr>
          <w:vertAlign w:val="baseline"/>
        </w:rPr>
        <w:t>who</w:t>
      </w:r>
      <w:r>
        <w:rPr>
          <w:spacing w:val="-2"/>
          <w:vertAlign w:val="baseline"/>
        </w:rPr>
        <w:t> </w:t>
      </w:r>
      <w:r>
        <w:rPr>
          <w:vertAlign w:val="baseline"/>
        </w:rPr>
        <w:t>continued treatment for 4 years. No significant differences in the treatment and placebo groups were noted for adverse events. Similar results have been reported in a phase 3 trial with 332 women in 21 centers in Canada and the United States.</w:t>
      </w:r>
      <w:r>
        <w:rPr>
          <w:vertAlign w:val="superscript"/>
        </w:rPr>
        <w:t>288</w:t>
      </w:r>
      <w:r>
        <w:rPr>
          <w:vertAlign w:val="baseline"/>
        </w:rPr>
        <w:t> In a large, 3-year, worldwide multicenter trial involving 7,868 women with osteoporosis, the Fracture Reduction Evaluation of Denosumab in Osteoporosis Every 6 Months (FREEDOM) trial, treatment with 60 mg denosumab subcutaneously every 6 months reduced vertebral fractures</w:t>
      </w:r>
      <w:r>
        <w:rPr>
          <w:spacing w:val="6"/>
          <w:vertAlign w:val="baseline"/>
        </w:rPr>
        <w:t> </w:t>
      </w:r>
      <w:r>
        <w:rPr>
          <w:vertAlign w:val="baseline"/>
        </w:rPr>
        <w:t>by</w:t>
      </w:r>
      <w:r>
        <w:rPr>
          <w:spacing w:val="6"/>
          <w:vertAlign w:val="baseline"/>
        </w:rPr>
        <w:t> </w:t>
      </w:r>
      <w:r>
        <w:rPr>
          <w:vertAlign w:val="baseline"/>
        </w:rPr>
        <w:t>68%,</w:t>
      </w:r>
      <w:r>
        <w:rPr>
          <w:spacing w:val="6"/>
          <w:vertAlign w:val="baseline"/>
        </w:rPr>
        <w:t> </w:t>
      </w:r>
      <w:r>
        <w:rPr>
          <w:vertAlign w:val="baseline"/>
        </w:rPr>
        <w:t>hip</w:t>
      </w:r>
      <w:r>
        <w:rPr>
          <w:spacing w:val="6"/>
          <w:vertAlign w:val="baseline"/>
        </w:rPr>
        <w:t> </w:t>
      </w:r>
      <w:r>
        <w:rPr>
          <w:vertAlign w:val="baseline"/>
        </w:rPr>
        <w:t>fractures</w:t>
      </w:r>
      <w:r>
        <w:rPr>
          <w:spacing w:val="6"/>
          <w:vertAlign w:val="baseline"/>
        </w:rPr>
        <w:t> </w:t>
      </w:r>
      <w:r>
        <w:rPr>
          <w:vertAlign w:val="baseline"/>
        </w:rPr>
        <w:t>by</w:t>
      </w:r>
      <w:r>
        <w:rPr>
          <w:spacing w:val="6"/>
          <w:vertAlign w:val="baseline"/>
        </w:rPr>
        <w:t> </w:t>
      </w:r>
      <w:r>
        <w:rPr>
          <w:vertAlign w:val="baseline"/>
        </w:rPr>
        <w:t>40%,</w:t>
      </w:r>
      <w:r>
        <w:rPr>
          <w:spacing w:val="6"/>
          <w:vertAlign w:val="baseline"/>
        </w:rPr>
        <w:t> </w:t>
      </w:r>
      <w:r>
        <w:rPr>
          <w:vertAlign w:val="baseline"/>
        </w:rPr>
        <w:t>and</w:t>
      </w:r>
      <w:r>
        <w:rPr>
          <w:spacing w:val="6"/>
          <w:vertAlign w:val="baseline"/>
        </w:rPr>
        <w:t> </w:t>
      </w:r>
      <w:r>
        <w:rPr>
          <w:vertAlign w:val="baseline"/>
        </w:rPr>
        <w:t>other</w:t>
      </w:r>
      <w:r>
        <w:rPr>
          <w:spacing w:val="6"/>
          <w:vertAlign w:val="baseline"/>
        </w:rPr>
        <w:t> </w:t>
      </w:r>
      <w:r>
        <w:rPr>
          <w:vertAlign w:val="baseline"/>
        </w:rPr>
        <w:t>nonvertebral</w:t>
      </w:r>
      <w:r>
        <w:rPr>
          <w:spacing w:val="6"/>
          <w:vertAlign w:val="baseline"/>
        </w:rPr>
        <w:t> </w:t>
      </w:r>
      <w:r>
        <w:rPr>
          <w:vertAlign w:val="baseline"/>
        </w:rPr>
        <w:t>fractures</w:t>
      </w:r>
      <w:r>
        <w:rPr>
          <w:spacing w:val="6"/>
          <w:vertAlign w:val="baseline"/>
        </w:rPr>
        <w:t> </w:t>
      </w:r>
      <w:r>
        <w:rPr>
          <w:spacing w:val="-5"/>
          <w:vertAlign w:val="baseline"/>
        </w:rPr>
        <w:t>by</w:t>
      </w:r>
    </w:p>
    <w:p>
      <w:pPr>
        <w:pStyle w:val="BodyText"/>
        <w:spacing w:after="0" w:line="249" w:lineRule="auto"/>
        <w:sectPr>
          <w:pgSz w:w="12240" w:h="15840"/>
          <w:pgMar w:top="1380" w:bottom="280" w:left="1440" w:right="1440"/>
        </w:sectPr>
      </w:pPr>
    </w:p>
    <w:p>
      <w:pPr>
        <w:pStyle w:val="BodyText"/>
        <w:spacing w:line="249" w:lineRule="auto"/>
        <w:ind w:right="98"/>
      </w:pPr>
      <w:r>
        <w:rPr/>
        <w:t>20%.</w:t>
      </w:r>
      <w:r>
        <w:rPr>
          <w:vertAlign w:val="superscript"/>
        </w:rPr>
        <w:t>289</w:t>
      </w:r>
      <w:r>
        <w:rPr>
          <w:vertAlign w:val="baseline"/>
        </w:rPr>
        <w:t> A separate phase 3 trial concluded that denosumab </w:t>
      </w:r>
      <w:r>
        <w:rPr>
          <w:vertAlign w:val="baseline"/>
        </w:rPr>
        <w:t>treatment increased BMD at the hip and spine significantly more than alendronate.</w:t>
      </w:r>
      <w:r>
        <w:rPr>
          <w:vertAlign w:val="superscript"/>
        </w:rPr>
        <w:t>290</w:t>
      </w:r>
      <w:r>
        <w:rPr>
          <w:vertAlign w:val="baseline"/>
        </w:rPr>
        <w:t> There were no differences in major adverse events in these trials, including osteonecrosis, or indications of suppressed immune function; however, eczema</w:t>
      </w:r>
      <w:r>
        <w:rPr>
          <w:spacing w:val="-3"/>
          <w:vertAlign w:val="baseline"/>
        </w:rPr>
        <w:t> </w:t>
      </w:r>
      <w:r>
        <w:rPr>
          <w:vertAlign w:val="baseline"/>
        </w:rPr>
        <w:t>and</w:t>
      </w:r>
      <w:r>
        <w:rPr>
          <w:spacing w:val="-3"/>
          <w:vertAlign w:val="baseline"/>
        </w:rPr>
        <w:t> </w:t>
      </w:r>
      <w:r>
        <w:rPr>
          <w:vertAlign w:val="baseline"/>
        </w:rPr>
        <w:t>cellulitis</w:t>
      </w:r>
      <w:r>
        <w:rPr>
          <w:spacing w:val="-3"/>
          <w:vertAlign w:val="baseline"/>
        </w:rPr>
        <w:t> </w:t>
      </w:r>
      <w:r>
        <w:rPr>
          <w:vertAlign w:val="baseline"/>
        </w:rPr>
        <w:t>were</w:t>
      </w:r>
      <w:r>
        <w:rPr>
          <w:spacing w:val="-3"/>
          <w:vertAlign w:val="baseline"/>
        </w:rPr>
        <w:t> </w:t>
      </w:r>
      <w:r>
        <w:rPr>
          <w:vertAlign w:val="baseline"/>
        </w:rPr>
        <w:t>significantly</w:t>
      </w:r>
      <w:r>
        <w:rPr>
          <w:spacing w:val="-3"/>
          <w:vertAlign w:val="baseline"/>
        </w:rPr>
        <w:t> </w:t>
      </w:r>
      <w:r>
        <w:rPr>
          <w:vertAlign w:val="baseline"/>
        </w:rPr>
        <w:t>increased</w:t>
      </w:r>
      <w:r>
        <w:rPr>
          <w:spacing w:val="-3"/>
          <w:vertAlign w:val="baseline"/>
        </w:rPr>
        <w:t> </w:t>
      </w:r>
      <w:r>
        <w:rPr>
          <w:vertAlign w:val="baseline"/>
        </w:rPr>
        <w:t>in</w:t>
      </w:r>
      <w:r>
        <w:rPr>
          <w:spacing w:val="-3"/>
          <w:vertAlign w:val="baseline"/>
        </w:rPr>
        <w:t> </w:t>
      </w:r>
      <w:r>
        <w:rPr>
          <w:vertAlign w:val="baseline"/>
        </w:rPr>
        <w:t>the</w:t>
      </w:r>
      <w:r>
        <w:rPr>
          <w:spacing w:val="-3"/>
          <w:vertAlign w:val="baseline"/>
        </w:rPr>
        <w:t> </w:t>
      </w:r>
      <w:r>
        <w:rPr>
          <w:vertAlign w:val="baseline"/>
        </w:rPr>
        <w:t>worldwide</w:t>
      </w:r>
      <w:r>
        <w:rPr>
          <w:spacing w:val="-3"/>
          <w:vertAlign w:val="baseline"/>
        </w:rPr>
        <w:t> </w:t>
      </w:r>
      <w:r>
        <w:rPr>
          <w:vertAlign w:val="baseline"/>
        </w:rPr>
        <w:t>study.</w:t>
      </w:r>
      <w:r>
        <w:rPr>
          <w:vertAlign w:val="superscript"/>
        </w:rPr>
        <w:t>289</w:t>
      </w:r>
      <w:r>
        <w:rPr>
          <w:vertAlign w:val="baseline"/>
        </w:rPr>
        <w:t> The data representing 10 years of denosumab exposure (3 years of exposure in the FREEDOM trial plus 7-year exposure in the open-label extension study) offer reassurance regarding safety and efficacy of long-term use. Not only did the incidence of fractures in the long-term users remain</w:t>
      </w:r>
      <w:r>
        <w:rPr>
          <w:spacing w:val="40"/>
          <w:vertAlign w:val="baseline"/>
        </w:rPr>
        <w:t> </w:t>
      </w:r>
      <w:r>
        <w:rPr>
          <w:vertAlign w:val="baseline"/>
        </w:rPr>
        <w:t>comparable to that observed during the FREEDOM trial; additionally, there was evidence of ongoing improvement in BMD during the 10-year period</w:t>
      </w:r>
      <w:r>
        <w:rPr>
          <w:spacing w:val="40"/>
          <w:vertAlign w:val="baseline"/>
        </w:rPr>
        <w:t> </w:t>
      </w:r>
      <w:r>
        <w:rPr>
          <w:vertAlign w:val="baseline"/>
        </w:rPr>
        <w:t>of exposure. Adverse event profile was similarly comparable to that encountered in the 3-year FREEDOM trial.</w:t>
      </w:r>
      <w:r>
        <w:rPr>
          <w:vertAlign w:val="superscript"/>
        </w:rPr>
        <w:t>291</w:t>
      </w:r>
    </w:p>
    <w:p>
      <w:pPr>
        <w:spacing w:line="249" w:lineRule="auto" w:before="16"/>
        <w:ind w:left="99" w:right="98" w:firstLine="450"/>
        <w:jc w:val="both"/>
        <w:rPr>
          <w:b/>
          <w:sz w:val="30"/>
        </w:rPr>
      </w:pPr>
      <w:r>
        <w:rPr>
          <w:sz w:val="30"/>
        </w:rPr>
        <w:t>How do the results compare with bisphosphonates? The increase in</w:t>
      </w:r>
      <w:r>
        <w:rPr>
          <w:spacing w:val="40"/>
          <w:sz w:val="30"/>
        </w:rPr>
        <w:t> </w:t>
      </w:r>
      <w:r>
        <w:rPr>
          <w:sz w:val="30"/>
        </w:rPr>
        <w:t>bone density at the spine and hip is greater with denosumab, and total body bone density, as exemplified by the radius, increases with denosumab, but not with bisphosphonates. </w:t>
      </w:r>
      <w:r>
        <w:rPr>
          <w:b/>
          <w:sz w:val="30"/>
        </w:rPr>
        <w:t>After</w:t>
      </w:r>
      <w:r>
        <w:rPr>
          <w:b/>
          <w:spacing w:val="-1"/>
          <w:sz w:val="30"/>
        </w:rPr>
        <w:t> </w:t>
      </w:r>
      <w:r>
        <w:rPr>
          <w:b/>
          <w:sz w:val="30"/>
        </w:rPr>
        <w:t>discontinuation</w:t>
      </w:r>
      <w:r>
        <w:rPr>
          <w:b/>
          <w:spacing w:val="-1"/>
          <w:sz w:val="30"/>
        </w:rPr>
        <w:t> </w:t>
      </w:r>
      <w:r>
        <w:rPr>
          <w:b/>
          <w:sz w:val="30"/>
        </w:rPr>
        <w:t>of</w:t>
      </w:r>
      <w:r>
        <w:rPr>
          <w:b/>
          <w:spacing w:val="-1"/>
          <w:sz w:val="30"/>
        </w:rPr>
        <w:t> </w:t>
      </w:r>
      <w:r>
        <w:rPr>
          <w:b/>
          <w:sz w:val="30"/>
        </w:rPr>
        <w:t>denosumab,</w:t>
      </w:r>
      <w:r>
        <w:rPr>
          <w:b/>
          <w:spacing w:val="-1"/>
          <w:sz w:val="30"/>
        </w:rPr>
        <w:t> </w:t>
      </w:r>
      <w:r>
        <w:rPr>
          <w:b/>
          <w:sz w:val="30"/>
        </w:rPr>
        <w:t>however, bone loss begins immediately and the concept of drug holiday does not hold for denosumab. Prescribing information warns of the possibility</w:t>
      </w:r>
      <w:r>
        <w:rPr>
          <w:b/>
          <w:spacing w:val="40"/>
          <w:sz w:val="30"/>
        </w:rPr>
        <w:t> </w:t>
      </w:r>
      <w:r>
        <w:rPr>
          <w:b/>
          <w:sz w:val="30"/>
        </w:rPr>
        <w:t>of an increased risk of multiple vertebral fractures following discontinuation.</w:t>
      </w:r>
      <w:r>
        <w:rPr>
          <w:sz w:val="30"/>
          <w:vertAlign w:val="superscript"/>
        </w:rPr>
        <w:t>292</w:t>
      </w:r>
      <w:r>
        <w:rPr>
          <w:sz w:val="30"/>
          <w:vertAlign w:val="baseline"/>
        </w:rPr>
        <w:t> This quick reversibility contrasts with </w:t>
      </w:r>
      <w:r>
        <w:rPr>
          <w:sz w:val="30"/>
          <w:vertAlign w:val="baseline"/>
        </w:rPr>
        <w:t>bisphosphonates that bind tightly to bone, remaining in bone for decades and maintaining a long-term effect. The 6-month dosing regimen of denosumab and subcutaneous route of administration offer convenience. Alternatively, the requirement for subcutaneous administration might seem to be an obstacle to some, but on the other hand, a required visit to the office might increase continuation rates. </w:t>
      </w:r>
      <w:r>
        <w:rPr>
          <w:b/>
          <w:sz w:val="30"/>
          <w:vertAlign w:val="baseline"/>
        </w:rPr>
        <w:t>Given that data on safety and ongoing efficacy of denosumab beyond 10 years of use are wanting, in our opinion, it is prudent to then consider switching to a bisphosphonate to ensure that the skeletal benefit gained from denosumab use persists beyond its </w:t>
      </w:r>
      <w:r>
        <w:rPr>
          <w:b/>
          <w:spacing w:val="-2"/>
          <w:sz w:val="30"/>
          <w:vertAlign w:val="baseline"/>
        </w:rPr>
        <w:t>discontinuation.</w:t>
      </w:r>
    </w:p>
    <w:p>
      <w:pPr>
        <w:pStyle w:val="BodyText"/>
        <w:ind w:left="0"/>
        <w:jc w:val="left"/>
        <w:rPr>
          <w:b/>
        </w:rPr>
      </w:pPr>
    </w:p>
    <w:p>
      <w:pPr>
        <w:spacing w:before="0"/>
        <w:ind w:left="99" w:right="0" w:firstLine="0"/>
        <w:jc w:val="left"/>
        <w:rPr>
          <w:rFonts w:ascii="Arial"/>
          <w:b/>
          <w:sz w:val="30"/>
        </w:rPr>
      </w:pPr>
      <w:r>
        <w:rPr>
          <w:rFonts w:ascii="Arial"/>
          <w:b/>
          <w:color w:val="2674AE"/>
          <w:spacing w:val="-2"/>
          <w:sz w:val="30"/>
        </w:rPr>
        <w:t>Calcitonin</w:t>
      </w:r>
    </w:p>
    <w:p>
      <w:pPr>
        <w:pStyle w:val="BodyText"/>
        <w:spacing w:line="249" w:lineRule="auto" w:before="167"/>
        <w:ind w:right="107"/>
      </w:pPr>
      <w:r>
        <w:rPr/>
        <w:t>Calcitonin regulates plasma calcium by inhibiting bone resorption and has been</w:t>
      </w:r>
      <w:r>
        <w:rPr>
          <w:spacing w:val="51"/>
          <w:w w:val="150"/>
        </w:rPr>
        <w:t> </w:t>
      </w:r>
      <w:r>
        <w:rPr/>
        <w:t>long</w:t>
      </w:r>
      <w:r>
        <w:rPr>
          <w:spacing w:val="52"/>
          <w:w w:val="150"/>
        </w:rPr>
        <w:t> </w:t>
      </w:r>
      <w:r>
        <w:rPr/>
        <w:t>recognized</w:t>
      </w:r>
      <w:r>
        <w:rPr>
          <w:spacing w:val="52"/>
          <w:w w:val="150"/>
        </w:rPr>
        <w:t> </w:t>
      </w:r>
      <w:r>
        <w:rPr/>
        <w:t>to</w:t>
      </w:r>
      <w:r>
        <w:rPr>
          <w:spacing w:val="52"/>
          <w:w w:val="150"/>
        </w:rPr>
        <w:t> </w:t>
      </w:r>
      <w:r>
        <w:rPr/>
        <w:t>offer</w:t>
      </w:r>
      <w:r>
        <w:rPr>
          <w:spacing w:val="52"/>
          <w:w w:val="150"/>
        </w:rPr>
        <w:t> </w:t>
      </w:r>
      <w:r>
        <w:rPr/>
        <w:t>fracture</w:t>
      </w:r>
      <w:r>
        <w:rPr>
          <w:spacing w:val="52"/>
          <w:w w:val="150"/>
        </w:rPr>
        <w:t> </w:t>
      </w:r>
      <w:r>
        <w:rPr/>
        <w:t>risk</w:t>
      </w:r>
      <w:r>
        <w:rPr>
          <w:spacing w:val="51"/>
          <w:w w:val="150"/>
        </w:rPr>
        <w:t> </w:t>
      </w:r>
      <w:r>
        <w:rPr/>
        <w:t>reduction.</w:t>
      </w:r>
      <w:r>
        <w:rPr>
          <w:spacing w:val="51"/>
          <w:w w:val="150"/>
        </w:rPr>
        <w:t> </w:t>
      </w:r>
      <w:r>
        <w:rPr/>
        <w:t>The</w:t>
      </w:r>
      <w:r>
        <w:rPr>
          <w:spacing w:val="52"/>
          <w:w w:val="150"/>
        </w:rPr>
        <w:t> </w:t>
      </w:r>
      <w:r>
        <w:rPr>
          <w:spacing w:val="-2"/>
        </w:rPr>
        <w:t>antifracture</w:t>
      </w:r>
    </w:p>
    <w:p>
      <w:pPr>
        <w:pStyle w:val="BodyText"/>
        <w:spacing w:after="0" w:line="249" w:lineRule="auto"/>
        <w:sectPr>
          <w:pgSz w:w="12240" w:h="15840"/>
          <w:pgMar w:top="1380" w:bottom="280" w:left="1440" w:right="1440"/>
        </w:sectPr>
      </w:pPr>
    </w:p>
    <w:p>
      <w:pPr>
        <w:pStyle w:val="BodyText"/>
        <w:spacing w:line="249" w:lineRule="auto"/>
        <w:ind w:right="98"/>
      </w:pPr>
      <w:r>
        <w:rPr/>
        <w:t>efficacy of calcitonin is inferior to the agents discussed earlier. In a randomized 5-year trial, calcitonin treatment reduced spinal fractures with less of an effect (about 33%) compared with estrogen, alendronate, and raloxifene and had no reduction in hip fractures.</w:t>
      </w:r>
      <w:r>
        <w:rPr>
          <w:vertAlign w:val="superscript"/>
        </w:rPr>
        <w:t>293</w:t>
      </w:r>
      <w:r>
        <w:rPr>
          <w:vertAlign w:val="baseline"/>
        </w:rPr>
        <w:t> Studies with </w:t>
      </w:r>
      <w:r>
        <w:rPr>
          <w:vertAlign w:val="baseline"/>
        </w:rPr>
        <w:t>intranasal delivery of salmon calcitonin (200 IU daily) indicate it can increase bone density. Human calcitonin is available, but recombinant salmon calcitonin (Fortical and Miacalcin) is more potent. Calcitonin treatment should be combined</w:t>
      </w:r>
      <w:r>
        <w:rPr>
          <w:spacing w:val="-1"/>
          <w:vertAlign w:val="baseline"/>
        </w:rPr>
        <w:t> </w:t>
      </w:r>
      <w:r>
        <w:rPr>
          <w:vertAlign w:val="baseline"/>
        </w:rPr>
        <w:t>with</w:t>
      </w:r>
      <w:r>
        <w:rPr>
          <w:spacing w:val="-1"/>
          <w:vertAlign w:val="baseline"/>
        </w:rPr>
        <w:t> </w:t>
      </w:r>
      <w:r>
        <w:rPr>
          <w:vertAlign w:val="baseline"/>
        </w:rPr>
        <w:t>vitamin</w:t>
      </w:r>
      <w:r>
        <w:rPr>
          <w:spacing w:val="-1"/>
          <w:vertAlign w:val="baseline"/>
        </w:rPr>
        <w:t> </w:t>
      </w:r>
      <w:r>
        <w:rPr>
          <w:vertAlign w:val="baseline"/>
        </w:rPr>
        <w:t>D</w:t>
      </w:r>
      <w:r>
        <w:rPr>
          <w:spacing w:val="-1"/>
          <w:vertAlign w:val="baseline"/>
        </w:rPr>
        <w:t> </w:t>
      </w:r>
      <w:r>
        <w:rPr>
          <w:vertAlign w:val="baseline"/>
        </w:rPr>
        <w:t>and</w:t>
      </w:r>
      <w:r>
        <w:rPr>
          <w:spacing w:val="-1"/>
          <w:vertAlign w:val="baseline"/>
        </w:rPr>
        <w:t> </w:t>
      </w:r>
      <w:r>
        <w:rPr>
          <w:vertAlign w:val="baseline"/>
        </w:rPr>
        <w:t>calcium</w:t>
      </w:r>
      <w:r>
        <w:rPr>
          <w:spacing w:val="-1"/>
          <w:vertAlign w:val="baseline"/>
        </w:rPr>
        <w:t> </w:t>
      </w:r>
      <w:r>
        <w:rPr>
          <w:vertAlign w:val="baseline"/>
        </w:rPr>
        <w:t>supplementation.</w:t>
      </w:r>
      <w:r>
        <w:rPr>
          <w:spacing w:val="-1"/>
          <w:vertAlign w:val="baseline"/>
        </w:rPr>
        <w:t> </w:t>
      </w:r>
      <w:r>
        <w:rPr>
          <w:vertAlign w:val="baseline"/>
        </w:rPr>
        <w:t>The lack of a dose-response and a high dropout rate raised questions regarding the potency and efficacy of calcitonin in preventing fractures. Calcitonin, however, still has a place for use in patients who are unable to tolerate alternative agents, as well as for patients with intractable back pain, given its analgesic </w:t>
      </w:r>
      <w:r>
        <w:rPr>
          <w:spacing w:val="-2"/>
          <w:vertAlign w:val="baseline"/>
        </w:rPr>
        <w:t>potential.</w:t>
      </w:r>
      <w:r>
        <w:rPr>
          <w:spacing w:val="-2"/>
          <w:vertAlign w:val="superscript"/>
        </w:rPr>
        <w:t>294</w:t>
      </w:r>
    </w:p>
    <w:p>
      <w:pPr>
        <w:pStyle w:val="BodyText"/>
        <w:spacing w:before="59"/>
        <w:ind w:left="0"/>
        <w:jc w:val="left"/>
      </w:pPr>
    </w:p>
    <w:p>
      <w:pPr>
        <w:spacing w:before="0"/>
        <w:ind w:left="99" w:right="0" w:firstLine="0"/>
        <w:jc w:val="left"/>
        <w:rPr>
          <w:rFonts w:ascii="Arial"/>
          <w:b/>
          <w:sz w:val="30"/>
        </w:rPr>
      </w:pPr>
      <w:r>
        <w:rPr>
          <w:rFonts w:ascii="Arial"/>
          <w:b/>
          <w:color w:val="2674AE"/>
          <w:spacing w:val="-2"/>
          <w:sz w:val="30"/>
        </w:rPr>
        <w:t>Fluoride</w:t>
      </w:r>
    </w:p>
    <w:p>
      <w:pPr>
        <w:pStyle w:val="BodyText"/>
        <w:spacing w:line="249" w:lineRule="auto" w:before="167"/>
        <w:ind w:right="98"/>
      </w:pPr>
      <w:r>
        <w:rPr/>
        <w:t>The addition of fluoride, a potent stimulator of bone formation, can offer significant protection against osteoporosis. The clinical response </w:t>
      </w:r>
      <w:r>
        <w:rPr/>
        <w:t>depends</w:t>
      </w:r>
      <w:r>
        <w:rPr>
          <w:spacing w:val="40"/>
        </w:rPr>
        <w:t> </w:t>
      </w:r>
      <w:r>
        <w:rPr/>
        <w:t>on the formulation and dose. Slow-release sodium fluoride (25 mg bid</w:t>
      </w:r>
      <w:r>
        <w:rPr>
          <w:spacing w:val="40"/>
        </w:rPr>
        <w:t> </w:t>
      </w:r>
      <w:r>
        <w:rPr/>
        <w:t>given 12 of every 14 months) combined with calcium supplementation reduced the vertebral fracture rate with essentially no side effects.</w:t>
      </w:r>
      <w:r>
        <w:rPr>
          <w:vertAlign w:val="superscript"/>
        </w:rPr>
        <w:t>295</w:t>
      </w:r>
      <w:r>
        <w:rPr>
          <w:vertAlign w:val="baseline"/>
        </w:rPr>
        <w:t> Treatment is recommended for no longer than 4 years to avoid the toxic accumulation of fluoride in bone.</w:t>
      </w:r>
      <w:r>
        <w:rPr>
          <w:vertAlign w:val="superscript"/>
        </w:rPr>
        <w:t>296</w:t>
      </w:r>
      <w:r>
        <w:rPr>
          <w:vertAlign w:val="baseline"/>
        </w:rPr>
        <w:t> This treatment is reserved for patients with established postmenopausal osteoporosis; however, a commercial preparation has not yet been approved.</w:t>
      </w:r>
    </w:p>
    <w:p>
      <w:pPr>
        <w:pStyle w:val="BodyText"/>
        <w:spacing w:before="54"/>
        <w:ind w:left="0"/>
        <w:jc w:val="left"/>
      </w:pPr>
    </w:p>
    <w:p>
      <w:pPr>
        <w:spacing w:before="0"/>
        <w:ind w:left="99" w:right="0" w:firstLine="0"/>
        <w:jc w:val="left"/>
        <w:rPr>
          <w:rFonts w:ascii="Arial"/>
          <w:b/>
          <w:sz w:val="30"/>
        </w:rPr>
      </w:pPr>
      <w:r>
        <w:rPr>
          <w:rFonts w:ascii="Arial"/>
          <w:b/>
          <w:color w:val="2674AE"/>
          <w:spacing w:val="-2"/>
          <w:sz w:val="30"/>
        </w:rPr>
        <w:t>Strontium</w:t>
      </w:r>
    </w:p>
    <w:p>
      <w:pPr>
        <w:pStyle w:val="BodyText"/>
        <w:spacing w:line="249" w:lineRule="auto" w:before="167"/>
        <w:ind w:right="100"/>
      </w:pPr>
      <w:r>
        <w:rPr/>
        <w:t>A divalent strontium salt of ranelic acid acts through uncoupling and rebalancing</w:t>
      </w:r>
      <w:r>
        <w:rPr>
          <w:spacing w:val="-3"/>
        </w:rPr>
        <w:t> </w:t>
      </w:r>
      <w:r>
        <w:rPr/>
        <w:t>of</w:t>
      </w:r>
      <w:r>
        <w:rPr>
          <w:spacing w:val="-3"/>
        </w:rPr>
        <w:t> </w:t>
      </w:r>
      <w:r>
        <w:rPr/>
        <w:t>the</w:t>
      </w:r>
      <w:r>
        <w:rPr>
          <w:spacing w:val="-3"/>
        </w:rPr>
        <w:t> </w:t>
      </w:r>
      <w:r>
        <w:rPr/>
        <w:t>bone</w:t>
      </w:r>
      <w:r>
        <w:rPr>
          <w:spacing w:val="-3"/>
        </w:rPr>
        <w:t> </w:t>
      </w:r>
      <w:r>
        <w:rPr/>
        <w:t>turnover</w:t>
      </w:r>
      <w:r>
        <w:rPr>
          <w:spacing w:val="-3"/>
        </w:rPr>
        <w:t> </w:t>
      </w:r>
      <w:r>
        <w:rPr/>
        <w:t>in</w:t>
      </w:r>
      <w:r>
        <w:rPr>
          <w:spacing w:val="-3"/>
        </w:rPr>
        <w:t> </w:t>
      </w:r>
      <w:r>
        <w:rPr/>
        <w:t>favor</w:t>
      </w:r>
      <w:r>
        <w:rPr>
          <w:spacing w:val="-3"/>
        </w:rPr>
        <w:t> </w:t>
      </w:r>
      <w:r>
        <w:rPr/>
        <w:t>of</w:t>
      </w:r>
      <w:r>
        <w:rPr>
          <w:spacing w:val="-3"/>
        </w:rPr>
        <w:t> </w:t>
      </w:r>
      <w:r>
        <w:rPr/>
        <w:t>net</w:t>
      </w:r>
      <w:r>
        <w:rPr>
          <w:spacing w:val="-3"/>
        </w:rPr>
        <w:t> </w:t>
      </w:r>
      <w:r>
        <w:rPr/>
        <w:t>bone</w:t>
      </w:r>
      <w:r>
        <w:rPr>
          <w:spacing w:val="-3"/>
        </w:rPr>
        <w:t> </w:t>
      </w:r>
      <w:r>
        <w:rPr/>
        <w:t>formation.</w:t>
      </w:r>
      <w:r>
        <w:rPr>
          <w:spacing w:val="-4"/>
        </w:rPr>
        <w:t> </w:t>
      </w:r>
      <w:r>
        <w:rPr/>
        <w:t>A</w:t>
      </w:r>
      <w:r>
        <w:rPr>
          <w:spacing w:val="-3"/>
        </w:rPr>
        <w:t> </w:t>
      </w:r>
      <w:r>
        <w:rPr/>
        <w:t>dose</w:t>
      </w:r>
      <w:r>
        <w:rPr>
          <w:spacing w:val="-3"/>
        </w:rPr>
        <w:t> </w:t>
      </w:r>
      <w:r>
        <w:rPr/>
        <w:t>of</w:t>
      </w:r>
      <w:r>
        <w:rPr>
          <w:spacing w:val="-3"/>
        </w:rPr>
        <w:t> </w:t>
      </w:r>
      <w:r>
        <w:rPr/>
        <w:t>2 g of strontium ranelate is dissolved in water and taken at bedtime. Clinical trials indicate that a reduction in spinal and nonvertebral fractures is achieved</w:t>
      </w:r>
      <w:r>
        <w:rPr>
          <w:spacing w:val="-9"/>
        </w:rPr>
        <w:t> </w:t>
      </w:r>
      <w:r>
        <w:rPr/>
        <w:t>comparable</w:t>
      </w:r>
      <w:r>
        <w:rPr>
          <w:spacing w:val="-9"/>
        </w:rPr>
        <w:t> </w:t>
      </w:r>
      <w:r>
        <w:rPr/>
        <w:t>to</w:t>
      </w:r>
      <w:r>
        <w:rPr>
          <w:spacing w:val="-9"/>
        </w:rPr>
        <w:t> </w:t>
      </w:r>
      <w:r>
        <w:rPr/>
        <w:t>antiresorptive</w:t>
      </w:r>
      <w:r>
        <w:rPr>
          <w:spacing w:val="-9"/>
        </w:rPr>
        <w:t> </w:t>
      </w:r>
      <w:r>
        <w:rPr/>
        <w:t>agents.</w:t>
      </w:r>
      <w:r>
        <w:rPr>
          <w:vertAlign w:val="superscript"/>
        </w:rPr>
        <w:t>297,298</w:t>
      </w:r>
      <w:r>
        <w:rPr>
          <w:spacing w:val="-4"/>
          <w:vertAlign w:val="baseline"/>
        </w:rPr>
        <w:t> </w:t>
      </w:r>
      <w:r>
        <w:rPr>
          <w:vertAlign w:val="baseline"/>
        </w:rPr>
        <w:t>Antifracture</w:t>
      </w:r>
      <w:r>
        <w:rPr>
          <w:spacing w:val="-3"/>
          <w:vertAlign w:val="baseline"/>
        </w:rPr>
        <w:t> </w:t>
      </w:r>
      <w:r>
        <w:rPr>
          <w:vertAlign w:val="baseline"/>
        </w:rPr>
        <w:t>efficacy</w:t>
      </w:r>
      <w:r>
        <w:rPr>
          <w:spacing w:val="-3"/>
          <w:vertAlign w:val="baseline"/>
        </w:rPr>
        <w:t> </w:t>
      </w:r>
      <w:r>
        <w:rPr>
          <w:vertAlign w:val="baseline"/>
        </w:rPr>
        <w:t>has been reported with up to 8 years of use. The main side effect is nausea and diarrhea that usually resolves in a few months. In pooled analyses, an increased risk of venous thromboembolism (VTE) was associated with strontium</w:t>
      </w:r>
      <w:r>
        <w:rPr>
          <w:spacing w:val="63"/>
          <w:w w:val="150"/>
          <w:vertAlign w:val="baseline"/>
        </w:rPr>
        <w:t> </w:t>
      </w:r>
      <w:r>
        <w:rPr>
          <w:vertAlign w:val="baseline"/>
        </w:rPr>
        <w:t>ranelate</w:t>
      </w:r>
      <w:r>
        <w:rPr>
          <w:spacing w:val="66"/>
          <w:w w:val="150"/>
          <w:vertAlign w:val="baseline"/>
        </w:rPr>
        <w:t> </w:t>
      </w:r>
      <w:r>
        <w:rPr>
          <w:vertAlign w:val="baseline"/>
        </w:rPr>
        <w:t>relative</w:t>
      </w:r>
      <w:r>
        <w:rPr>
          <w:spacing w:val="65"/>
          <w:w w:val="150"/>
          <w:vertAlign w:val="baseline"/>
        </w:rPr>
        <w:t> </w:t>
      </w:r>
      <w:r>
        <w:rPr>
          <w:vertAlign w:val="baseline"/>
        </w:rPr>
        <w:t>to</w:t>
      </w:r>
      <w:r>
        <w:rPr>
          <w:spacing w:val="66"/>
          <w:w w:val="150"/>
          <w:vertAlign w:val="baseline"/>
        </w:rPr>
        <w:t> </w:t>
      </w:r>
      <w:r>
        <w:rPr>
          <w:vertAlign w:val="baseline"/>
        </w:rPr>
        <w:t>placebo</w:t>
      </w:r>
      <w:r>
        <w:rPr>
          <w:spacing w:val="65"/>
          <w:w w:val="150"/>
          <w:vertAlign w:val="baseline"/>
        </w:rPr>
        <w:t> </w:t>
      </w:r>
      <w:r>
        <w:rPr>
          <w:vertAlign w:val="baseline"/>
        </w:rPr>
        <w:t>over</w:t>
      </w:r>
      <w:r>
        <w:rPr>
          <w:spacing w:val="66"/>
          <w:w w:val="150"/>
          <w:vertAlign w:val="baseline"/>
        </w:rPr>
        <w:t> </w:t>
      </w:r>
      <w:r>
        <w:rPr>
          <w:vertAlign w:val="baseline"/>
        </w:rPr>
        <w:t>5</w:t>
      </w:r>
      <w:r>
        <w:rPr>
          <w:spacing w:val="65"/>
          <w:w w:val="150"/>
          <w:vertAlign w:val="baseline"/>
        </w:rPr>
        <w:t> </w:t>
      </w:r>
      <w:r>
        <w:rPr>
          <w:vertAlign w:val="baseline"/>
        </w:rPr>
        <w:t>years</w:t>
      </w:r>
      <w:r>
        <w:rPr>
          <w:spacing w:val="66"/>
          <w:w w:val="150"/>
          <w:vertAlign w:val="baseline"/>
        </w:rPr>
        <w:t> </w:t>
      </w:r>
      <w:r>
        <w:rPr>
          <w:vertAlign w:val="baseline"/>
        </w:rPr>
        <w:t>of</w:t>
      </w:r>
      <w:r>
        <w:rPr>
          <w:spacing w:val="65"/>
          <w:w w:val="150"/>
          <w:vertAlign w:val="baseline"/>
        </w:rPr>
        <w:t> </w:t>
      </w:r>
      <w:r>
        <w:rPr>
          <w:vertAlign w:val="baseline"/>
        </w:rPr>
        <w:t>treatment,</w:t>
      </w:r>
      <w:r>
        <w:rPr>
          <w:spacing w:val="66"/>
          <w:w w:val="150"/>
          <w:vertAlign w:val="baseline"/>
        </w:rPr>
        <w:t> </w:t>
      </w:r>
      <w:r>
        <w:rPr>
          <w:spacing w:val="-5"/>
          <w:vertAlign w:val="baseline"/>
        </w:rPr>
        <w:t>and</w:t>
      </w:r>
    </w:p>
    <w:p>
      <w:pPr>
        <w:pStyle w:val="BodyText"/>
        <w:spacing w:after="0" w:line="249" w:lineRule="auto"/>
        <w:sectPr>
          <w:pgSz w:w="12240" w:h="15840"/>
          <w:pgMar w:top="1380" w:bottom="280" w:left="1440" w:right="1440"/>
        </w:sectPr>
      </w:pPr>
    </w:p>
    <w:p>
      <w:pPr>
        <w:pStyle w:val="BodyText"/>
        <w:spacing w:line="249" w:lineRule="auto"/>
        <w:ind w:right="100"/>
      </w:pPr>
      <w:r>
        <w:rPr/>
        <w:t>ongoing caution is advised. Strontium is not approved for the management of osteoporosis in the United States, but oral strontium ranelate is available in many countries (Protelos, Protos, Protaxos, Bivalos, Osseor) for use </w:t>
      </w:r>
      <w:r>
        <w:rPr/>
        <w:t>in the management of osteoporosis.</w:t>
      </w:r>
      <w:r>
        <w:rPr>
          <w:vertAlign w:val="superscript"/>
        </w:rPr>
        <w:t>299</w:t>
      </w:r>
    </w:p>
    <w:p>
      <w:pPr>
        <w:pStyle w:val="BodyText"/>
        <w:spacing w:before="48"/>
        <w:ind w:left="0"/>
        <w:jc w:val="left"/>
      </w:pPr>
    </w:p>
    <w:p>
      <w:pPr>
        <w:spacing w:before="0"/>
        <w:ind w:left="99" w:right="0" w:firstLine="0"/>
        <w:jc w:val="left"/>
        <w:rPr>
          <w:rFonts w:ascii="Arial"/>
          <w:b/>
          <w:sz w:val="30"/>
        </w:rPr>
      </w:pPr>
      <w:r>
        <w:rPr>
          <w:rFonts w:ascii="Arial"/>
          <w:b/>
          <w:color w:val="2674AE"/>
          <w:spacing w:val="-2"/>
          <w:sz w:val="30"/>
        </w:rPr>
        <w:t>Tibolone</w:t>
      </w:r>
    </w:p>
    <w:p>
      <w:pPr>
        <w:pStyle w:val="BodyText"/>
        <w:spacing w:line="249" w:lineRule="auto" w:before="167"/>
        <w:ind w:right="102"/>
      </w:pPr>
      <w:r>
        <w:rPr/>
        <w:t>Tibolone is structurally related to the 19-nortestosterone progestins </w:t>
      </w:r>
      <w:r>
        <w:rPr/>
        <w:t>used clinically in oral contraceptives. Its chemistry, mechanisms of action, and clinical effects were discussed in detail earlier in this chapter. Tibolone prevents bone loss in postmenopausal women as effectively as estrogen or estrogen-progestin therapy.</w:t>
      </w:r>
      <w:r>
        <w:rPr>
          <w:vertAlign w:val="superscript"/>
        </w:rPr>
        <w:t>300-306</w:t>
      </w:r>
      <w:r>
        <w:rPr>
          <w:vertAlign w:val="baseline"/>
        </w:rPr>
        <w:t> In a large U.S. dose-response study with doses ranging from 0.3 to 2.5 mg daily, only the 1.25- and 2.5-mg doses produced progressive bone density increases in the femoral neck. Indeed, the impact on bone was essentially the same for the two highest doses, 1.25 and 2.5 mg. Although the 1.25-mg dose is acceptable for the prevention of bone loss, the 2.5-mg dose is more effective for the alleviation of hot </w:t>
      </w:r>
      <w:r>
        <w:rPr>
          <w:spacing w:val="-2"/>
          <w:vertAlign w:val="baseline"/>
        </w:rPr>
        <w:t>flushes.</w:t>
      </w:r>
      <w:r>
        <w:rPr>
          <w:spacing w:val="-2"/>
          <w:vertAlign w:val="superscript"/>
        </w:rPr>
        <w:t>307</w:t>
      </w:r>
    </w:p>
    <w:p>
      <w:pPr>
        <w:pStyle w:val="BodyText"/>
        <w:spacing w:line="249" w:lineRule="auto" w:before="13"/>
        <w:ind w:right="99" w:firstLine="450"/>
      </w:pPr>
      <w:r>
        <w:rPr/>
        <w:t>The beneficial impact on bone can be attributed to tibolone’s estrogenic metabolites acting through the estrogen receptor because it is blocked by an antiestrogen, but not by an antiandrogen or an antiprogestin.</w:t>
      </w:r>
      <w:r>
        <w:rPr>
          <w:vertAlign w:val="superscript"/>
        </w:rPr>
        <w:t>308</w:t>
      </w:r>
      <w:r>
        <w:rPr>
          <w:vertAlign w:val="baseline"/>
        </w:rPr>
        <w:t> </w:t>
      </w:r>
      <w:r>
        <w:rPr>
          <w:vertAlign w:val="baseline"/>
        </w:rPr>
        <w:t>Tibolone prevents the bone loss associated with gonadotropin-releasing hormone (GnRH) agonist treatment (and the side effect of hot flushing).</w:t>
      </w:r>
      <w:r>
        <w:rPr>
          <w:vertAlign w:val="superscript"/>
        </w:rPr>
        <w:t>309,310</w:t>
      </w:r>
      <w:r>
        <w:rPr>
          <w:vertAlign w:val="baseline"/>
        </w:rPr>
        <w:t> The BMD data are similar to those associated with hormonal and alendronate </w:t>
      </w:r>
      <w:r>
        <w:rPr>
          <w:spacing w:val="-2"/>
          <w:vertAlign w:val="baseline"/>
        </w:rPr>
        <w:t>therapy.</w:t>
      </w:r>
    </w:p>
    <w:p>
      <w:pPr>
        <w:pStyle w:val="BodyText"/>
        <w:spacing w:line="249" w:lineRule="auto" w:before="9"/>
        <w:ind w:right="100" w:firstLine="450"/>
      </w:pPr>
      <w:r>
        <w:rPr/>
        <w:t>The Long-term Intervention on Fractures with Tibolone (LIFT) study was a randomized, placebo-controlled multicenter trial in 22 countries </w:t>
      </w:r>
      <w:r>
        <w:rPr/>
        <w:t>of tibolone, 1.25 mg, given daily over 3 years.</w:t>
      </w:r>
      <w:r>
        <w:rPr>
          <w:vertAlign w:val="superscript"/>
        </w:rPr>
        <w:t>311</w:t>
      </w:r>
      <w:r>
        <w:rPr>
          <w:vertAlign w:val="baseline"/>
        </w:rPr>
        <w:t> The 4,538 women who participated in the trial were aged 60 to 85, all at high risk of fractures because of osteoporosis, and all treated with calcium and vitamin D supplementation. The study was stopped in February 2006 after a mean treatment of 34 months because of an increased risk of stroke. The risks of all events were assessed after 5 years of follow-up. The reduction of fractures was about 4 times as great in women who already had a vertebral fracture upon entry to the study compared with women who had not had a fracture</w:t>
      </w:r>
      <w:r>
        <w:rPr>
          <w:spacing w:val="20"/>
          <w:vertAlign w:val="baseline"/>
        </w:rPr>
        <w:t> </w:t>
      </w:r>
      <w:r>
        <w:rPr>
          <w:vertAlign w:val="baseline"/>
        </w:rPr>
        <w:t>at</w:t>
      </w:r>
      <w:r>
        <w:rPr>
          <w:spacing w:val="20"/>
          <w:vertAlign w:val="baseline"/>
        </w:rPr>
        <w:t> </w:t>
      </w:r>
      <w:r>
        <w:rPr>
          <w:vertAlign w:val="baseline"/>
        </w:rPr>
        <w:t>baseline.</w:t>
      </w:r>
      <w:r>
        <w:rPr>
          <w:spacing w:val="19"/>
          <w:vertAlign w:val="baseline"/>
        </w:rPr>
        <w:t> </w:t>
      </w:r>
      <w:r>
        <w:rPr>
          <w:vertAlign w:val="baseline"/>
        </w:rPr>
        <w:t>It</w:t>
      </w:r>
      <w:r>
        <w:rPr>
          <w:spacing w:val="24"/>
          <w:vertAlign w:val="baseline"/>
        </w:rPr>
        <w:t> </w:t>
      </w:r>
      <w:r>
        <w:rPr>
          <w:vertAlign w:val="baseline"/>
        </w:rPr>
        <w:t>is</w:t>
      </w:r>
      <w:r>
        <w:rPr>
          <w:spacing w:val="24"/>
          <w:vertAlign w:val="baseline"/>
        </w:rPr>
        <w:t> </w:t>
      </w:r>
      <w:r>
        <w:rPr>
          <w:vertAlign w:val="baseline"/>
        </w:rPr>
        <w:t>noteworthy</w:t>
      </w:r>
      <w:r>
        <w:rPr>
          <w:spacing w:val="24"/>
          <w:vertAlign w:val="baseline"/>
        </w:rPr>
        <w:t> </w:t>
      </w:r>
      <w:r>
        <w:rPr>
          <w:vertAlign w:val="baseline"/>
        </w:rPr>
        <w:t>that</w:t>
      </w:r>
      <w:r>
        <w:rPr>
          <w:spacing w:val="24"/>
          <w:vertAlign w:val="baseline"/>
        </w:rPr>
        <w:t> </w:t>
      </w:r>
      <w:r>
        <w:rPr>
          <w:vertAlign w:val="baseline"/>
        </w:rPr>
        <w:t>the</w:t>
      </w:r>
      <w:r>
        <w:rPr>
          <w:spacing w:val="24"/>
          <w:vertAlign w:val="baseline"/>
        </w:rPr>
        <w:t> </w:t>
      </w:r>
      <w:r>
        <w:rPr>
          <w:vertAlign w:val="baseline"/>
        </w:rPr>
        <w:t>number</w:t>
      </w:r>
      <w:r>
        <w:rPr>
          <w:spacing w:val="24"/>
          <w:vertAlign w:val="baseline"/>
        </w:rPr>
        <w:t> </w:t>
      </w:r>
      <w:r>
        <w:rPr>
          <w:vertAlign w:val="baseline"/>
        </w:rPr>
        <w:t>of</w:t>
      </w:r>
      <w:r>
        <w:rPr>
          <w:spacing w:val="24"/>
          <w:vertAlign w:val="baseline"/>
        </w:rPr>
        <w:t> </w:t>
      </w:r>
      <w:r>
        <w:rPr>
          <w:vertAlign w:val="baseline"/>
        </w:rPr>
        <w:t>falls</w:t>
      </w:r>
      <w:r>
        <w:rPr>
          <w:spacing w:val="24"/>
          <w:vertAlign w:val="baseline"/>
        </w:rPr>
        <w:t> </w:t>
      </w:r>
      <w:r>
        <w:rPr>
          <w:vertAlign w:val="baseline"/>
        </w:rPr>
        <w:t>in</w:t>
      </w:r>
      <w:r>
        <w:rPr>
          <w:spacing w:val="24"/>
          <w:vertAlign w:val="baseline"/>
        </w:rPr>
        <w:t> </w:t>
      </w:r>
      <w:r>
        <w:rPr>
          <w:vertAlign w:val="baseline"/>
        </w:rPr>
        <w:t>the</w:t>
      </w:r>
      <w:r>
        <w:rPr>
          <w:spacing w:val="24"/>
          <w:vertAlign w:val="baseline"/>
        </w:rPr>
        <w:t> </w:t>
      </w:r>
      <w:r>
        <w:rPr>
          <w:spacing w:val="-2"/>
          <w:vertAlign w:val="baseline"/>
        </w:rPr>
        <w:t>treated</w:t>
      </w:r>
    </w:p>
    <w:p>
      <w:pPr>
        <w:pStyle w:val="BodyText"/>
        <w:spacing w:after="0" w:line="249" w:lineRule="auto"/>
        <w:sectPr>
          <w:pgSz w:w="12240" w:h="15840"/>
          <w:pgMar w:top="1380" w:bottom="280" w:left="1440" w:right="1440"/>
        </w:sectPr>
      </w:pPr>
    </w:p>
    <w:p>
      <w:pPr>
        <w:pStyle w:val="BodyText"/>
        <w:spacing w:line="249" w:lineRule="auto"/>
        <w:ind w:right="112"/>
      </w:pPr>
      <w:r>
        <w:rPr/>
        <w:t>group</w:t>
      </w:r>
      <w:r>
        <w:rPr>
          <w:spacing w:val="-3"/>
        </w:rPr>
        <w:t> </w:t>
      </w:r>
      <w:r>
        <w:rPr/>
        <w:t>was</w:t>
      </w:r>
      <w:r>
        <w:rPr>
          <w:spacing w:val="-3"/>
        </w:rPr>
        <w:t> </w:t>
      </w:r>
      <w:r>
        <w:rPr/>
        <w:t>25%</w:t>
      </w:r>
      <w:r>
        <w:rPr>
          <w:spacing w:val="-3"/>
        </w:rPr>
        <w:t> </w:t>
      </w:r>
      <w:r>
        <w:rPr/>
        <w:t>less.</w:t>
      </w:r>
      <w:r>
        <w:rPr>
          <w:spacing w:val="-4"/>
        </w:rPr>
        <w:t> </w:t>
      </w:r>
      <w:r>
        <w:rPr/>
        <w:t>The</w:t>
      </w:r>
      <w:r>
        <w:rPr>
          <w:spacing w:val="-2"/>
        </w:rPr>
        <w:t> </w:t>
      </w:r>
      <w:r>
        <w:rPr/>
        <w:t>increase</w:t>
      </w:r>
      <w:r>
        <w:rPr>
          <w:spacing w:val="-2"/>
        </w:rPr>
        <w:t> </w:t>
      </w:r>
      <w:r>
        <w:rPr/>
        <w:t>in</w:t>
      </w:r>
      <w:r>
        <w:rPr>
          <w:spacing w:val="-2"/>
        </w:rPr>
        <w:t> </w:t>
      </w:r>
      <w:r>
        <w:rPr/>
        <w:t>stroke</w:t>
      </w:r>
      <w:r>
        <w:rPr>
          <w:spacing w:val="-2"/>
        </w:rPr>
        <w:t> </w:t>
      </w:r>
      <w:r>
        <w:rPr/>
        <w:t>was</w:t>
      </w:r>
      <w:r>
        <w:rPr>
          <w:spacing w:val="-2"/>
        </w:rPr>
        <w:t> </w:t>
      </w:r>
      <w:r>
        <w:rPr/>
        <w:t>greater</w:t>
      </w:r>
      <w:r>
        <w:rPr>
          <w:spacing w:val="-2"/>
        </w:rPr>
        <w:t> </w:t>
      </w:r>
      <w:r>
        <w:rPr/>
        <w:t>in</w:t>
      </w:r>
      <w:r>
        <w:rPr>
          <w:spacing w:val="-2"/>
        </w:rPr>
        <w:t> </w:t>
      </w:r>
      <w:r>
        <w:rPr/>
        <w:t>the</w:t>
      </w:r>
      <w:r>
        <w:rPr>
          <w:spacing w:val="-2"/>
        </w:rPr>
        <w:t> </w:t>
      </w:r>
      <w:r>
        <w:rPr/>
        <w:t>oldest</w:t>
      </w:r>
      <w:r>
        <w:rPr>
          <w:spacing w:val="-2"/>
        </w:rPr>
        <w:t> </w:t>
      </w:r>
      <w:r>
        <w:rPr/>
        <w:t>women (over age 70).</w:t>
      </w:r>
    </w:p>
    <w:p>
      <w:pPr>
        <w:pStyle w:val="BodyText"/>
        <w:spacing w:line="249" w:lineRule="auto" w:before="2"/>
        <w:ind w:right="104" w:firstLine="450"/>
      </w:pPr>
      <w:r>
        <w:rPr/>
        <w:t>Based on previous bone density studies, the results of the LIFT trial </w:t>
      </w:r>
      <w:r>
        <w:rPr/>
        <w:t>on fracture reduction were not unexpected. The magnitude of the effect is roughly</w:t>
      </w:r>
      <w:r>
        <w:rPr>
          <w:spacing w:val="-2"/>
        </w:rPr>
        <w:t> </w:t>
      </w:r>
      <w:r>
        <w:rPr/>
        <w:t>comparable</w:t>
      </w:r>
      <w:r>
        <w:rPr>
          <w:spacing w:val="-2"/>
        </w:rPr>
        <w:t> </w:t>
      </w:r>
      <w:r>
        <w:rPr/>
        <w:t>to</w:t>
      </w:r>
      <w:r>
        <w:rPr>
          <w:spacing w:val="-2"/>
        </w:rPr>
        <w:t> </w:t>
      </w:r>
      <w:r>
        <w:rPr/>
        <w:t>those</w:t>
      </w:r>
      <w:r>
        <w:rPr>
          <w:spacing w:val="-2"/>
        </w:rPr>
        <w:t> </w:t>
      </w:r>
      <w:r>
        <w:rPr/>
        <w:t>with</w:t>
      </w:r>
      <w:r>
        <w:rPr>
          <w:spacing w:val="-2"/>
        </w:rPr>
        <w:t> </w:t>
      </w:r>
      <w:r>
        <w:rPr/>
        <w:t>estrogen,</w:t>
      </w:r>
      <w:r>
        <w:rPr>
          <w:spacing w:val="-2"/>
        </w:rPr>
        <w:t> </w:t>
      </w:r>
      <w:r>
        <w:rPr/>
        <w:t>bisphosphonates,</w:t>
      </w:r>
      <w:r>
        <w:rPr>
          <w:spacing w:val="-2"/>
        </w:rPr>
        <w:t> </w:t>
      </w:r>
      <w:r>
        <w:rPr/>
        <w:t>and</w:t>
      </w:r>
      <w:r>
        <w:rPr>
          <w:spacing w:val="-2"/>
        </w:rPr>
        <w:t> </w:t>
      </w:r>
      <w:r>
        <w:rPr/>
        <w:t>raloxifene (with the important exception being a lack of effect of raloxifene on hip fractures). A reduction of breast cancer was comparable to that reported with tamoxifen and raloxifene, but this was not a primary endpoint of the </w:t>
      </w:r>
      <w:r>
        <w:rPr>
          <w:spacing w:val="-2"/>
        </w:rPr>
        <w:t>study.</w:t>
      </w:r>
    </w:p>
    <w:p>
      <w:pPr>
        <w:pStyle w:val="BodyText"/>
        <w:spacing w:line="249" w:lineRule="auto" w:before="9"/>
        <w:ind w:right="97" w:firstLine="450"/>
      </w:pPr>
      <w:r>
        <w:rPr/>
        <w:t>The reported risk of stroke is similar to that observed with estrogen. In the WHI, no increase in stroke was observed in women under age 60 who had an absence of stroke risk factors. </w:t>
      </w:r>
      <w:r>
        <w:rPr>
          <w:b/>
        </w:rPr>
        <w:t>It seems prudent to avoid the use of tibolone in older adult women and in women who are at risk for stroke </w:t>
      </w:r>
      <w:r>
        <w:rPr/>
        <w:t>(specifically those with hypertension, smoking, diabetes, or atrial fibrillation). The Osteoporosis Prevention and Arterial effects of </w:t>
      </w:r>
      <w:r>
        <w:rPr/>
        <w:t>tibolone (OPAL) study was a 3-year, randomized, double-blind trial in six U.S. centers and five European centers, treating 866 postmenopausal women with 2.5 mg tibolone daily, 0.625/2.5 mg daily of conjugated estrogens/medroxyprogesterone acetate, or placebo.</w:t>
      </w:r>
      <w:r>
        <w:rPr>
          <w:vertAlign w:val="superscript"/>
        </w:rPr>
        <w:t>312</w:t>
      </w:r>
      <w:r>
        <w:rPr>
          <w:vertAlign w:val="baseline"/>
        </w:rPr>
        <w:t> Unfortunately, the OPAL trial did not achieve its goal of providing robust data on cardiovascular effects, due to the older age of the women and the notably different results in American and European women. There continues to be good reason to believe that tibolone will have a neutral effect in terms of </w:t>
      </w:r>
      <w:r>
        <w:rPr>
          <w:spacing w:val="-4"/>
          <w:vertAlign w:val="baseline"/>
        </w:rPr>
        <w:t>CHD.</w:t>
      </w:r>
    </w:p>
    <w:p>
      <w:pPr>
        <w:pStyle w:val="BodyText"/>
        <w:spacing w:line="249" w:lineRule="auto" w:before="18"/>
        <w:ind w:right="99" w:firstLine="450"/>
      </w:pPr>
      <w:r>
        <w:rPr/>
        <w:t>In summary, tibolone treatment of postmenopausal women is as effective as estrogen therapy in relieving hot flushes, preventing bone </w:t>
      </w:r>
      <w:r>
        <w:rPr/>
        <w:t>loss, and increasing vaginal lubrication and stimulates libido to a greater degree than estrogen. There is less breast tenderness and mastalgia with tibolone. Endometrial safety has been reported to be comparable to that achieved</w:t>
      </w:r>
      <w:r>
        <w:rPr>
          <w:spacing w:val="40"/>
        </w:rPr>
        <w:t> </w:t>
      </w:r>
      <w:r>
        <w:rPr/>
        <w:t>with continuous combined estrogen-progestin regimens and with a lower rate</w:t>
      </w:r>
      <w:r>
        <w:rPr>
          <w:spacing w:val="-3"/>
        </w:rPr>
        <w:t> </w:t>
      </w:r>
      <w:r>
        <w:rPr/>
        <w:t>of</w:t>
      </w:r>
      <w:r>
        <w:rPr>
          <w:spacing w:val="-3"/>
        </w:rPr>
        <w:t> </w:t>
      </w:r>
      <w:r>
        <w:rPr/>
        <w:t>breakthrough</w:t>
      </w:r>
      <w:r>
        <w:rPr>
          <w:spacing w:val="-3"/>
        </w:rPr>
        <w:t> </w:t>
      </w:r>
      <w:r>
        <w:rPr/>
        <w:t>bleeding.</w:t>
      </w:r>
      <w:r>
        <w:rPr>
          <w:spacing w:val="-4"/>
        </w:rPr>
        <w:t> </w:t>
      </w:r>
      <w:r>
        <w:rPr/>
        <w:t>The</w:t>
      </w:r>
      <w:r>
        <w:rPr>
          <w:spacing w:val="-3"/>
        </w:rPr>
        <w:t> </w:t>
      </w:r>
      <w:r>
        <w:rPr/>
        <w:t>standard</w:t>
      </w:r>
      <w:r>
        <w:rPr>
          <w:spacing w:val="-3"/>
        </w:rPr>
        <w:t> </w:t>
      </w:r>
      <w:r>
        <w:rPr/>
        <w:t>dose</w:t>
      </w:r>
      <w:r>
        <w:rPr>
          <w:spacing w:val="-3"/>
        </w:rPr>
        <w:t> </w:t>
      </w:r>
      <w:r>
        <w:rPr/>
        <w:t>of</w:t>
      </w:r>
      <w:r>
        <w:rPr>
          <w:spacing w:val="-3"/>
        </w:rPr>
        <w:t> </w:t>
      </w:r>
      <w:r>
        <w:rPr/>
        <w:t>tibolone</w:t>
      </w:r>
      <w:r>
        <w:rPr>
          <w:spacing w:val="-3"/>
        </w:rPr>
        <w:t> </w:t>
      </w:r>
      <w:r>
        <w:rPr/>
        <w:t>for</w:t>
      </w:r>
      <w:r>
        <w:rPr>
          <w:spacing w:val="-3"/>
        </w:rPr>
        <w:t> </w:t>
      </w:r>
      <w:r>
        <w:rPr/>
        <w:t>many</w:t>
      </w:r>
      <w:r>
        <w:rPr>
          <w:spacing w:val="-3"/>
        </w:rPr>
        <w:t> </w:t>
      </w:r>
      <w:r>
        <w:rPr/>
        <w:t>years was</w:t>
      </w:r>
      <w:r>
        <w:rPr>
          <w:spacing w:val="35"/>
        </w:rPr>
        <w:t> </w:t>
      </w:r>
      <w:r>
        <w:rPr/>
        <w:t>2.5</w:t>
      </w:r>
      <w:r>
        <w:rPr>
          <w:spacing w:val="38"/>
        </w:rPr>
        <w:t> </w:t>
      </w:r>
      <w:r>
        <w:rPr/>
        <w:t>mg</w:t>
      </w:r>
      <w:r>
        <w:rPr>
          <w:spacing w:val="37"/>
        </w:rPr>
        <w:t> </w:t>
      </w:r>
      <w:r>
        <w:rPr/>
        <w:t>daily,</w:t>
      </w:r>
      <w:r>
        <w:rPr>
          <w:spacing w:val="38"/>
        </w:rPr>
        <w:t> </w:t>
      </w:r>
      <w:r>
        <w:rPr/>
        <w:t>but</w:t>
      </w:r>
      <w:r>
        <w:rPr>
          <w:spacing w:val="37"/>
        </w:rPr>
        <w:t> </w:t>
      </w:r>
      <w:r>
        <w:rPr/>
        <w:t>the</w:t>
      </w:r>
      <w:r>
        <w:rPr>
          <w:spacing w:val="38"/>
        </w:rPr>
        <w:t> </w:t>
      </w:r>
      <w:r>
        <w:rPr/>
        <w:t>new</w:t>
      </w:r>
      <w:r>
        <w:rPr>
          <w:spacing w:val="38"/>
        </w:rPr>
        <w:t> </w:t>
      </w:r>
      <w:r>
        <w:rPr/>
        <w:t>studies</w:t>
      </w:r>
      <w:r>
        <w:rPr>
          <w:spacing w:val="37"/>
        </w:rPr>
        <w:t> </w:t>
      </w:r>
      <w:r>
        <w:rPr/>
        <w:t>support</w:t>
      </w:r>
      <w:r>
        <w:rPr>
          <w:spacing w:val="38"/>
        </w:rPr>
        <w:t> </w:t>
      </w:r>
      <w:r>
        <w:rPr/>
        <w:t>the</w:t>
      </w:r>
      <w:r>
        <w:rPr>
          <w:spacing w:val="37"/>
        </w:rPr>
        <w:t> </w:t>
      </w:r>
      <w:r>
        <w:rPr/>
        <w:t>use</w:t>
      </w:r>
      <w:r>
        <w:rPr>
          <w:spacing w:val="38"/>
        </w:rPr>
        <w:t> </w:t>
      </w:r>
      <w:r>
        <w:rPr/>
        <w:t>of</w:t>
      </w:r>
      <w:r>
        <w:rPr>
          <w:spacing w:val="37"/>
        </w:rPr>
        <w:t> </w:t>
      </w:r>
      <w:r>
        <w:rPr/>
        <w:t>the</w:t>
      </w:r>
      <w:r>
        <w:rPr>
          <w:spacing w:val="38"/>
        </w:rPr>
        <w:t> </w:t>
      </w:r>
      <w:r>
        <w:rPr/>
        <w:t>lower</w:t>
      </w:r>
      <w:r>
        <w:rPr>
          <w:spacing w:val="38"/>
        </w:rPr>
        <w:t> </w:t>
      </w:r>
      <w:r>
        <w:rPr>
          <w:spacing w:val="-2"/>
        </w:rPr>
        <w:t>dose,</w:t>
      </w:r>
    </w:p>
    <w:p>
      <w:pPr>
        <w:pStyle w:val="BodyText"/>
        <w:spacing w:line="249" w:lineRule="auto" w:before="10"/>
        <w:ind w:right="109"/>
      </w:pPr>
      <w:r>
        <w:rPr/>
        <w:t>1.25 mg, with no apparent loss of bone efficacy. Tibolone continues to </w:t>
      </w:r>
      <w:r>
        <w:rPr/>
        <w:t>be an appropriate choice for hormonal therapy, suitable for many postmenopausal women.</w:t>
      </w:r>
    </w:p>
    <w:p>
      <w:pPr>
        <w:pStyle w:val="BodyText"/>
        <w:spacing w:after="0" w:line="249" w:lineRule="auto"/>
        <w:sectPr>
          <w:pgSz w:w="12240" w:h="15840"/>
          <w:pgMar w:top="1380" w:bottom="280" w:left="1440" w:right="1440"/>
        </w:sectPr>
      </w:pPr>
    </w:p>
    <w:p>
      <w:pPr>
        <w:spacing w:before="63"/>
        <w:ind w:left="99" w:right="0" w:firstLine="0"/>
        <w:jc w:val="both"/>
        <w:rPr>
          <w:rFonts w:ascii="Arial"/>
          <w:b/>
          <w:sz w:val="30"/>
        </w:rPr>
      </w:pPr>
      <w:r>
        <w:rPr>
          <w:rFonts w:ascii="Arial"/>
          <w:b/>
          <w:color w:val="2674AE"/>
          <w:sz w:val="30"/>
        </w:rPr>
        <w:t>Parathyroid Hormone </w:t>
      </w:r>
      <w:r>
        <w:rPr>
          <w:rFonts w:ascii="Arial"/>
          <w:b/>
          <w:color w:val="2674AE"/>
          <w:spacing w:val="-2"/>
          <w:sz w:val="30"/>
        </w:rPr>
        <w:t>Analogues</w:t>
      </w:r>
    </w:p>
    <w:p>
      <w:pPr>
        <w:pStyle w:val="BodyText"/>
        <w:spacing w:line="249" w:lineRule="auto" w:before="167"/>
        <w:ind w:right="99"/>
      </w:pPr>
      <w:r>
        <w:rPr/>
        <w:t>PTH increases bone formation. Teriparatide (Forteo) is the </w:t>
      </w:r>
      <w:r>
        <w:rPr/>
        <w:t>recombinant human 1 to 34 amino acid fragment of PTH. Another preparation encompasses the 1 to 84 sequence and has shown efficacy in vertebral and nonvertebral fracture risk reduction but is not available in the United States.</w:t>
      </w:r>
      <w:r>
        <w:rPr>
          <w:vertAlign w:val="superscript"/>
        </w:rPr>
        <w:t>313</w:t>
      </w:r>
      <w:r>
        <w:rPr>
          <w:vertAlign w:val="baseline"/>
        </w:rPr>
        <w:t> Given to postmenopausal women with osteoporosis in a once-daily, subcutaneous dose of 20 mg, teriparatide produces a greater increase in bone density and possibly a greater reduction in fractures compared with estrogen or alendronate.</w:t>
      </w:r>
      <w:r>
        <w:rPr>
          <w:vertAlign w:val="superscript"/>
        </w:rPr>
        <w:t>314,315</w:t>
      </w:r>
      <w:r>
        <w:rPr>
          <w:vertAlign w:val="baseline"/>
        </w:rPr>
        <w:t> Statistically significant reductions in both vertebral and nonvertebral fractures were observed in randomized</w:t>
      </w:r>
      <w:r>
        <w:rPr>
          <w:spacing w:val="40"/>
          <w:vertAlign w:val="baseline"/>
        </w:rPr>
        <w:t> </w:t>
      </w:r>
      <w:r>
        <w:rPr>
          <w:vertAlign w:val="baseline"/>
        </w:rPr>
        <w:t>controlled trials. In patients with osteoporosis, teriparatide can reduce the risk of vertebral fractures by 65% to 77%, and nonvertebral fractures by 35% to 53%, after an average of 18 months of treatment.</w:t>
      </w:r>
      <w:r>
        <w:rPr>
          <w:vertAlign w:val="superscript"/>
        </w:rPr>
        <w:t>316</w:t>
      </w:r>
      <w:r>
        <w:rPr>
          <w:spacing w:val="-4"/>
          <w:vertAlign w:val="baseline"/>
        </w:rPr>
        <w:t> </w:t>
      </w:r>
      <w:r>
        <w:rPr>
          <w:b/>
          <w:vertAlign w:val="baseline"/>
        </w:rPr>
        <w:t>Because of the expense and difficulty in self-administration, treatment with the parathyroid fragment is best directed to individuals with severe osteoporosis and at high risk for fractures. </w:t>
      </w:r>
      <w:r>
        <w:rPr>
          <w:vertAlign w:val="baseline"/>
        </w:rPr>
        <w:t>After a relatively short period of treatment, no more than 2 years, the gain in bone can be maintained with one of the antiresorptive agents.</w:t>
      </w:r>
      <w:r>
        <w:rPr>
          <w:vertAlign w:val="superscript"/>
        </w:rPr>
        <w:t>317-320</w:t>
      </w:r>
      <w:r>
        <w:rPr>
          <w:vertAlign w:val="baseline"/>
        </w:rPr>
        <w:t> Forteo is currently available as a 20 μg daily subcutaneous injection and generic preparations are now available as the patent expired in 2019.</w:t>
      </w:r>
      <w:r>
        <w:rPr>
          <w:vertAlign w:val="superscript"/>
        </w:rPr>
        <w:t>321</w:t>
      </w:r>
    </w:p>
    <w:p>
      <w:pPr>
        <w:pStyle w:val="BodyText"/>
        <w:spacing w:line="249" w:lineRule="auto" w:before="23"/>
        <w:ind w:right="99" w:firstLine="450"/>
      </w:pPr>
      <w:r>
        <w:rPr/>
        <w:t>Abaloparatide (Tymlos)is an analogue of parathyroid hormone-related protein (PTHrP), which was approved by the FDA in April 2017 for the treatment of postmenopausal women with osteoporosis. The recommended dosage is 80 μg administered subcutaneously once daily. Both </w:t>
      </w:r>
      <w:r>
        <w:rPr/>
        <w:t>teriparatide and abaloparatide are effective in reducing the risk of new vertebral and nonvertebral fractures.</w:t>
      </w:r>
      <w:r>
        <w:rPr>
          <w:vertAlign w:val="superscript"/>
        </w:rPr>
        <w:t>321</w:t>
      </w:r>
    </w:p>
    <w:p>
      <w:pPr>
        <w:spacing w:before="306"/>
        <w:ind w:left="99" w:right="0" w:firstLine="0"/>
        <w:jc w:val="left"/>
        <w:rPr>
          <w:rFonts w:ascii="Arial"/>
          <w:b/>
          <w:i/>
          <w:sz w:val="22"/>
        </w:rPr>
      </w:pPr>
      <w:r>
        <w:rPr>
          <w:rFonts w:ascii="Arial"/>
          <w:b/>
          <w:i/>
          <w:color w:val="A0234E"/>
          <w:spacing w:val="-2"/>
          <w:sz w:val="22"/>
        </w:rPr>
        <w:t>Romosozumab</w:t>
      </w:r>
    </w:p>
    <w:p>
      <w:pPr>
        <w:pStyle w:val="BodyText"/>
        <w:spacing w:line="249" w:lineRule="auto" w:before="123"/>
        <w:ind w:right="101"/>
      </w:pPr>
      <w:r>
        <w:rPr/>
        <w:t>Romosozumab (Evenity) is a humanized monoclonal antibody (immunoglobulin G [IgG]2) produced in a mammalian cell line (Chinese hamster ovary) by recombinant DNA technology that binds to and </w:t>
      </w:r>
      <w:r>
        <w:rPr/>
        <w:t>inhibits sclerostin. Sclerostin is a regulatory protein secreted by the osteocytes, and in turn regulates and suppresses osteoblast bone formation by acting</w:t>
      </w:r>
      <w:r>
        <w:rPr>
          <w:spacing w:val="40"/>
        </w:rPr>
        <w:t> </w:t>
      </w:r>
      <w:r>
        <w:rPr/>
        <w:t>through</w:t>
      </w:r>
      <w:r>
        <w:rPr>
          <w:spacing w:val="-1"/>
        </w:rPr>
        <w:t> </w:t>
      </w:r>
      <w:r>
        <w:rPr/>
        <w:t>a</w:t>
      </w:r>
      <w:r>
        <w:rPr>
          <w:spacing w:val="-1"/>
        </w:rPr>
        <w:t> </w:t>
      </w:r>
      <w:r>
        <w:rPr/>
        <w:t>cell</w:t>
      </w:r>
      <w:r>
        <w:rPr>
          <w:spacing w:val="-1"/>
        </w:rPr>
        <w:t> </w:t>
      </w:r>
      <w:r>
        <w:rPr/>
        <w:t>surface</w:t>
      </w:r>
      <w:r>
        <w:rPr>
          <w:spacing w:val="-1"/>
        </w:rPr>
        <w:t> </w:t>
      </w:r>
      <w:r>
        <w:rPr/>
        <w:t>receptor</w:t>
      </w:r>
      <w:r>
        <w:rPr>
          <w:spacing w:val="-1"/>
        </w:rPr>
        <w:t> </w:t>
      </w:r>
      <w:r>
        <w:rPr/>
        <w:t>on</w:t>
      </w:r>
      <w:r>
        <w:rPr>
          <w:spacing w:val="-1"/>
        </w:rPr>
        <w:t> </w:t>
      </w:r>
      <w:r>
        <w:rPr/>
        <w:t>the</w:t>
      </w:r>
      <w:r>
        <w:rPr>
          <w:spacing w:val="-1"/>
        </w:rPr>
        <w:t> </w:t>
      </w:r>
      <w:r>
        <w:rPr/>
        <w:t>osteoblasts;</w:t>
      </w:r>
      <w:r>
        <w:rPr>
          <w:spacing w:val="-1"/>
        </w:rPr>
        <w:t> </w:t>
      </w:r>
      <w:r>
        <w:rPr/>
        <w:t>the</w:t>
      </w:r>
      <w:r>
        <w:rPr>
          <w:spacing w:val="-1"/>
        </w:rPr>
        <w:t> </w:t>
      </w:r>
      <w:r>
        <w:rPr/>
        <w:t>net</w:t>
      </w:r>
      <w:r>
        <w:rPr>
          <w:spacing w:val="-1"/>
        </w:rPr>
        <w:t> </w:t>
      </w:r>
      <w:r>
        <w:rPr/>
        <w:t>effect</w:t>
      </w:r>
      <w:r>
        <w:rPr>
          <w:spacing w:val="-1"/>
        </w:rPr>
        <w:t> </w:t>
      </w:r>
      <w:r>
        <w:rPr/>
        <w:t>of</w:t>
      </w:r>
      <w:r>
        <w:rPr>
          <w:spacing w:val="-1"/>
        </w:rPr>
        <w:t> </w:t>
      </w:r>
      <w:r>
        <w:rPr/>
        <w:t>sclerostin is</w:t>
      </w:r>
      <w:r>
        <w:rPr>
          <w:spacing w:val="46"/>
        </w:rPr>
        <w:t> </w:t>
      </w:r>
      <w:r>
        <w:rPr/>
        <w:t>inhibition</w:t>
      </w:r>
      <w:r>
        <w:rPr>
          <w:spacing w:val="46"/>
        </w:rPr>
        <w:t> </w:t>
      </w:r>
      <w:r>
        <w:rPr/>
        <w:t>of</w:t>
      </w:r>
      <w:r>
        <w:rPr>
          <w:spacing w:val="46"/>
        </w:rPr>
        <w:t> </w:t>
      </w:r>
      <w:r>
        <w:rPr/>
        <w:t>bone</w:t>
      </w:r>
      <w:r>
        <w:rPr>
          <w:spacing w:val="46"/>
        </w:rPr>
        <w:t> </w:t>
      </w:r>
      <w:r>
        <w:rPr/>
        <w:t>formation.</w:t>
      </w:r>
      <w:r>
        <w:rPr>
          <w:vertAlign w:val="superscript"/>
        </w:rPr>
        <w:t>322</w:t>
      </w:r>
      <w:r>
        <w:rPr>
          <w:spacing w:val="47"/>
          <w:vertAlign w:val="baseline"/>
        </w:rPr>
        <w:t> </w:t>
      </w:r>
      <w:r>
        <w:rPr>
          <w:vertAlign w:val="baseline"/>
        </w:rPr>
        <w:t>Inhibition</w:t>
      </w:r>
      <w:r>
        <w:rPr>
          <w:spacing w:val="48"/>
          <w:vertAlign w:val="baseline"/>
        </w:rPr>
        <w:t> </w:t>
      </w:r>
      <w:r>
        <w:rPr>
          <w:vertAlign w:val="baseline"/>
        </w:rPr>
        <w:t>of</w:t>
      </w:r>
      <w:r>
        <w:rPr>
          <w:spacing w:val="47"/>
          <w:vertAlign w:val="baseline"/>
        </w:rPr>
        <w:t> </w:t>
      </w:r>
      <w:r>
        <w:rPr>
          <w:vertAlign w:val="baseline"/>
        </w:rPr>
        <w:t>sclerotin,</w:t>
      </w:r>
      <w:r>
        <w:rPr>
          <w:spacing w:val="48"/>
          <w:vertAlign w:val="baseline"/>
        </w:rPr>
        <w:t> </w:t>
      </w:r>
      <w:r>
        <w:rPr>
          <w:vertAlign w:val="baseline"/>
        </w:rPr>
        <w:t>therefore,</w:t>
      </w:r>
      <w:r>
        <w:rPr>
          <w:spacing w:val="48"/>
          <w:vertAlign w:val="baseline"/>
        </w:rPr>
        <w:t> </w:t>
      </w:r>
      <w:r>
        <w:rPr>
          <w:vertAlign w:val="baseline"/>
        </w:rPr>
        <w:t>is</w:t>
      </w:r>
      <w:r>
        <w:rPr>
          <w:spacing w:val="48"/>
          <w:vertAlign w:val="baseline"/>
        </w:rPr>
        <w:t> </w:t>
      </w:r>
      <w:r>
        <w:rPr>
          <w:spacing w:val="-5"/>
          <w:vertAlign w:val="baseline"/>
        </w:rPr>
        <w:t>an</w:t>
      </w:r>
    </w:p>
    <w:p>
      <w:pPr>
        <w:pStyle w:val="BodyText"/>
        <w:spacing w:after="0" w:line="249" w:lineRule="auto"/>
        <w:sectPr>
          <w:pgSz w:w="12240" w:h="15840"/>
          <w:pgMar w:top="1380" w:bottom="280" w:left="1440" w:right="1440"/>
        </w:sectPr>
      </w:pPr>
    </w:p>
    <w:p>
      <w:pPr>
        <w:pStyle w:val="BodyText"/>
        <w:spacing w:line="249" w:lineRule="auto"/>
        <w:ind w:right="98"/>
      </w:pPr>
      <w:r>
        <w:rPr/>
        <w:t>effective</w:t>
      </w:r>
      <w:r>
        <w:rPr>
          <w:spacing w:val="-1"/>
        </w:rPr>
        <w:t> </w:t>
      </w:r>
      <w:r>
        <w:rPr/>
        <w:t>approach</w:t>
      </w:r>
      <w:r>
        <w:rPr>
          <w:spacing w:val="-1"/>
        </w:rPr>
        <w:t> </w:t>
      </w:r>
      <w:r>
        <w:rPr/>
        <w:t>to</w:t>
      </w:r>
      <w:r>
        <w:rPr>
          <w:spacing w:val="-1"/>
        </w:rPr>
        <w:t> </w:t>
      </w:r>
      <w:r>
        <w:rPr/>
        <w:t>stimulate</w:t>
      </w:r>
      <w:r>
        <w:rPr>
          <w:spacing w:val="-1"/>
        </w:rPr>
        <w:t> </w:t>
      </w:r>
      <w:r>
        <w:rPr/>
        <w:t>bone</w:t>
      </w:r>
      <w:r>
        <w:rPr>
          <w:spacing w:val="-1"/>
        </w:rPr>
        <w:t> </w:t>
      </w:r>
      <w:r>
        <w:rPr/>
        <w:t>formation</w:t>
      </w:r>
      <w:r>
        <w:rPr>
          <w:spacing w:val="-1"/>
        </w:rPr>
        <w:t> </w:t>
      </w:r>
      <w:r>
        <w:rPr/>
        <w:t>and</w:t>
      </w:r>
      <w:r>
        <w:rPr>
          <w:spacing w:val="-1"/>
        </w:rPr>
        <w:t> </w:t>
      </w:r>
      <w:r>
        <w:rPr/>
        <w:t>thereby</w:t>
      </w:r>
      <w:r>
        <w:rPr>
          <w:spacing w:val="-1"/>
        </w:rPr>
        <w:t> </w:t>
      </w:r>
      <w:r>
        <w:rPr/>
        <w:t>achieve</w:t>
      </w:r>
      <w:r>
        <w:rPr>
          <w:spacing w:val="-1"/>
        </w:rPr>
        <w:t> </w:t>
      </w:r>
      <w:r>
        <w:rPr/>
        <w:t>net</w:t>
      </w:r>
      <w:r>
        <w:rPr>
          <w:spacing w:val="-1"/>
        </w:rPr>
        <w:t> </w:t>
      </w:r>
      <w:r>
        <w:rPr/>
        <w:t>gain in bone mass. Romosozumab is approved for the treatment of osteoporosis in postmenopausal women at high risk for fracture, or for those who have failed or cannot tolerate other available osteoporosis treatment. It is available as a subcutaneous monthly injection, and recommended duration of use is limited to 12 months, beyond which an alternative regimen should be substituted. Romosozumab and PTH analogues are the only two classes of </w:t>
      </w:r>
      <w:r>
        <w:rPr>
          <w:b/>
        </w:rPr>
        <w:t>anabolic agents </w:t>
      </w:r>
      <w:r>
        <w:rPr/>
        <w:t>available for those at a significantly high risk for fracture (such as those with existing/multiple fractures). The anabolic effect gets attenuated beyond 12 months use and hence switching to an alternative antiresorptive regimen is recommended. In the Fracture Study in Postmenopausal Women with Osteoporosis (FRAME) trial, romosozumab treatment for 12 months resulted in reduced risk of new vertebral fracture</w:t>
      </w:r>
      <w:r>
        <w:rPr>
          <w:spacing w:val="40"/>
        </w:rPr>
        <w:t> </w:t>
      </w:r>
      <w:r>
        <w:rPr/>
        <w:t>by 73% and clinical fractures by 36% compared to placebo.</w:t>
      </w:r>
      <w:r>
        <w:rPr>
          <w:vertAlign w:val="superscript"/>
        </w:rPr>
        <w:t>323</w:t>
      </w:r>
    </w:p>
    <w:p>
      <w:pPr>
        <w:pStyle w:val="BodyText"/>
        <w:spacing w:before="60"/>
        <w:ind w:left="0"/>
        <w:jc w:val="left"/>
      </w:pPr>
    </w:p>
    <w:p>
      <w:pPr>
        <w:spacing w:before="1"/>
        <w:ind w:left="99" w:right="0" w:firstLine="0"/>
        <w:jc w:val="both"/>
        <w:rPr>
          <w:rFonts w:ascii="Arial"/>
          <w:b/>
          <w:sz w:val="30"/>
        </w:rPr>
      </w:pPr>
      <w:r>
        <w:rPr>
          <w:rFonts w:ascii="Arial"/>
          <w:b/>
          <w:color w:val="2674AE"/>
          <w:sz w:val="30"/>
        </w:rPr>
        <w:t>Alternative Therapies to Prevent Bone </w:t>
      </w:r>
      <w:r>
        <w:rPr>
          <w:rFonts w:ascii="Arial"/>
          <w:b/>
          <w:color w:val="2674AE"/>
          <w:spacing w:val="-4"/>
          <w:sz w:val="30"/>
        </w:rPr>
        <w:t>Loss</w:t>
      </w:r>
    </w:p>
    <w:p>
      <w:pPr>
        <w:pStyle w:val="BodyText"/>
        <w:spacing w:line="249" w:lineRule="auto" w:before="166"/>
        <w:ind w:right="99"/>
      </w:pPr>
      <w:r>
        <w:rPr/>
        <w:t>Phytoestrogens are effective in preventing bone loss in rats, but not in monkeys.</w:t>
      </w:r>
      <w:r>
        <w:rPr>
          <w:vertAlign w:val="superscript"/>
        </w:rPr>
        <w:t>324-326</w:t>
      </w:r>
      <w:r>
        <w:rPr>
          <w:vertAlign w:val="baseline"/>
        </w:rPr>
        <w:t> In women, some studies demonstrated at best a slight </w:t>
      </w:r>
      <w:r>
        <w:rPr>
          <w:vertAlign w:val="baseline"/>
        </w:rPr>
        <w:t>effect on spinal bone, but most found no benefit in either the spine or hip.</w:t>
      </w:r>
      <w:r>
        <w:rPr>
          <w:vertAlign w:val="superscript"/>
        </w:rPr>
        <w:t>87,327-329</w:t>
      </w:r>
      <w:r>
        <w:rPr>
          <w:vertAlign w:val="baseline"/>
        </w:rPr>
        <w:t> Flaxseed supplementation had no effect on biomarkers of bone metabolism.</w:t>
      </w:r>
      <w:r>
        <w:rPr>
          <w:vertAlign w:val="superscript"/>
        </w:rPr>
        <w:t>330</w:t>
      </w:r>
      <w:r>
        <w:rPr>
          <w:vertAlign w:val="baseline"/>
        </w:rPr>
        <w:t> The difference between hip fracture incidence in Japanese and American women may be due to structural and/or genetic differences, not dietary intake of soy.</w:t>
      </w:r>
      <w:r>
        <w:rPr>
          <w:vertAlign w:val="superscript"/>
        </w:rPr>
        <w:t>331</w:t>
      </w:r>
    </w:p>
    <w:p>
      <w:pPr>
        <w:pStyle w:val="BodyText"/>
        <w:spacing w:line="249" w:lineRule="auto" w:before="9"/>
        <w:ind w:right="100" w:firstLine="450"/>
      </w:pPr>
      <w:r>
        <w:rPr/>
        <w:t>Ipriflavone</w:t>
      </w:r>
      <w:r>
        <w:rPr>
          <w:spacing w:val="-2"/>
        </w:rPr>
        <w:t> </w:t>
      </w:r>
      <w:r>
        <w:rPr/>
        <w:t>is</w:t>
      </w:r>
      <w:r>
        <w:rPr>
          <w:spacing w:val="-2"/>
        </w:rPr>
        <w:t> </w:t>
      </w:r>
      <w:r>
        <w:rPr/>
        <w:t>a</w:t>
      </w:r>
      <w:r>
        <w:rPr>
          <w:spacing w:val="-2"/>
        </w:rPr>
        <w:t> </w:t>
      </w:r>
      <w:r>
        <w:rPr/>
        <w:t>synthetic</w:t>
      </w:r>
      <w:r>
        <w:rPr>
          <w:spacing w:val="-2"/>
        </w:rPr>
        <w:t> </w:t>
      </w:r>
      <w:r>
        <w:rPr/>
        <w:t>isoflavone</w:t>
      </w:r>
      <w:r>
        <w:rPr>
          <w:spacing w:val="-2"/>
        </w:rPr>
        <w:t> </w:t>
      </w:r>
      <w:r>
        <w:rPr/>
        <w:t>which</w:t>
      </w:r>
      <w:r>
        <w:rPr>
          <w:spacing w:val="-2"/>
        </w:rPr>
        <w:t> </w:t>
      </w:r>
      <w:r>
        <w:rPr/>
        <w:t>gets</w:t>
      </w:r>
      <w:r>
        <w:rPr>
          <w:spacing w:val="-2"/>
        </w:rPr>
        <w:t> </w:t>
      </w:r>
      <w:r>
        <w:rPr/>
        <w:t>metabolized</w:t>
      </w:r>
      <w:r>
        <w:rPr>
          <w:spacing w:val="-2"/>
        </w:rPr>
        <w:t> </w:t>
      </w:r>
      <w:r>
        <w:rPr/>
        <w:t>to</w:t>
      </w:r>
      <w:r>
        <w:rPr>
          <w:spacing w:val="-2"/>
        </w:rPr>
        <w:t> </w:t>
      </w:r>
      <w:r>
        <w:rPr/>
        <w:t>daidzein. Studies with ipriflavone demonstrated prevention of bone loss over </w:t>
      </w:r>
      <w:r>
        <w:rPr/>
        <w:t>a year.</w:t>
      </w:r>
      <w:r>
        <w:rPr>
          <w:vertAlign w:val="superscript"/>
        </w:rPr>
        <w:t>332-335</w:t>
      </w:r>
      <w:r>
        <w:rPr>
          <w:spacing w:val="-1"/>
          <w:vertAlign w:val="baseline"/>
        </w:rPr>
        <w:t> </w:t>
      </w:r>
      <w:r>
        <w:rPr>
          <w:vertAlign w:val="baseline"/>
        </w:rPr>
        <w:t>Overall,</w:t>
      </w:r>
      <w:r>
        <w:rPr>
          <w:spacing w:val="-1"/>
          <w:vertAlign w:val="baseline"/>
        </w:rPr>
        <w:t> </w:t>
      </w:r>
      <w:r>
        <w:rPr>
          <w:vertAlign w:val="baseline"/>
        </w:rPr>
        <w:t>the</w:t>
      </w:r>
      <w:r>
        <w:rPr>
          <w:spacing w:val="-1"/>
          <w:vertAlign w:val="baseline"/>
        </w:rPr>
        <w:t> </w:t>
      </w:r>
      <w:r>
        <w:rPr>
          <w:vertAlign w:val="baseline"/>
        </w:rPr>
        <w:t>effect</w:t>
      </w:r>
      <w:r>
        <w:rPr>
          <w:spacing w:val="-1"/>
          <w:vertAlign w:val="baseline"/>
        </w:rPr>
        <w:t> </w:t>
      </w:r>
      <w:r>
        <w:rPr>
          <w:vertAlign w:val="baseline"/>
        </w:rPr>
        <w:t>on</w:t>
      </w:r>
      <w:r>
        <w:rPr>
          <w:spacing w:val="-1"/>
          <w:vertAlign w:val="baseline"/>
        </w:rPr>
        <w:t> </w:t>
      </w:r>
      <w:r>
        <w:rPr>
          <w:vertAlign w:val="baseline"/>
        </w:rPr>
        <w:t>bone</w:t>
      </w:r>
      <w:r>
        <w:rPr>
          <w:spacing w:val="-1"/>
          <w:vertAlign w:val="baseline"/>
        </w:rPr>
        <w:t> </w:t>
      </w:r>
      <w:r>
        <w:rPr>
          <w:vertAlign w:val="baseline"/>
        </w:rPr>
        <w:t>was</w:t>
      </w:r>
      <w:r>
        <w:rPr>
          <w:spacing w:val="-1"/>
          <w:vertAlign w:val="baseline"/>
        </w:rPr>
        <w:t> </w:t>
      </w:r>
      <w:r>
        <w:rPr>
          <w:vertAlign w:val="baseline"/>
        </w:rPr>
        <w:t>not</w:t>
      </w:r>
      <w:r>
        <w:rPr>
          <w:spacing w:val="-1"/>
          <w:vertAlign w:val="baseline"/>
        </w:rPr>
        <w:t> </w:t>
      </w:r>
      <w:r>
        <w:rPr>
          <w:vertAlign w:val="baseline"/>
        </w:rPr>
        <w:t>as</w:t>
      </w:r>
      <w:r>
        <w:rPr>
          <w:spacing w:val="-1"/>
          <w:vertAlign w:val="baseline"/>
        </w:rPr>
        <w:t> </w:t>
      </w:r>
      <w:r>
        <w:rPr>
          <w:vertAlign w:val="baseline"/>
        </w:rPr>
        <w:t>great</w:t>
      </w:r>
      <w:r>
        <w:rPr>
          <w:spacing w:val="-1"/>
          <w:vertAlign w:val="baseline"/>
        </w:rPr>
        <w:t> </w:t>
      </w:r>
      <w:r>
        <w:rPr>
          <w:vertAlign w:val="baseline"/>
        </w:rPr>
        <w:t>as</w:t>
      </w:r>
      <w:r>
        <w:rPr>
          <w:spacing w:val="-1"/>
          <w:vertAlign w:val="baseline"/>
        </w:rPr>
        <w:t> </w:t>
      </w:r>
      <w:r>
        <w:rPr>
          <w:vertAlign w:val="baseline"/>
        </w:rPr>
        <w:t>that</w:t>
      </w:r>
      <w:r>
        <w:rPr>
          <w:spacing w:val="-1"/>
          <w:vertAlign w:val="baseline"/>
        </w:rPr>
        <w:t> </w:t>
      </w:r>
      <w:r>
        <w:rPr>
          <w:vertAlign w:val="baseline"/>
        </w:rPr>
        <w:t>observed</w:t>
      </w:r>
      <w:r>
        <w:rPr>
          <w:spacing w:val="-1"/>
          <w:vertAlign w:val="baseline"/>
        </w:rPr>
        <w:t> </w:t>
      </w:r>
      <w:r>
        <w:rPr>
          <w:vertAlign w:val="baseline"/>
        </w:rPr>
        <w:t>with a standard dose of estrogen, or alendronate, perhaps not great enough to yield a benefit. A 4-year randomized trial in Europe assessed the effect of ipriflavone on bone density, urinary markers, and vertebral fractures in 474 women and could find no difference in the treated group compared with the placebo group.</w:t>
      </w:r>
      <w:r>
        <w:rPr>
          <w:vertAlign w:val="superscript"/>
        </w:rPr>
        <w:t>336</w:t>
      </w:r>
    </w:p>
    <w:p>
      <w:pPr>
        <w:pStyle w:val="BodyText"/>
        <w:spacing w:line="249" w:lineRule="auto" w:before="9"/>
        <w:ind w:right="102" w:firstLine="450"/>
      </w:pPr>
      <w:r>
        <w:rPr/>
        <w:t>Equol is a bacterial metabolite, and the only hormonally </w:t>
      </w:r>
      <w:r>
        <w:rPr/>
        <w:t>active metabolite, of the soy phytoestrogen, daidzein. At least in vitro, equol stimulates gene transcription with both estrogen receptors and with a</w:t>
      </w:r>
      <w:r>
        <w:rPr>
          <w:spacing w:val="40"/>
        </w:rPr>
        <w:t> </w:t>
      </w:r>
      <w:r>
        <w:rPr/>
        <w:t>greater</w:t>
      </w:r>
      <w:r>
        <w:rPr>
          <w:spacing w:val="72"/>
        </w:rPr>
        <w:t> </w:t>
      </w:r>
      <w:r>
        <w:rPr/>
        <w:t>potency</w:t>
      </w:r>
      <w:r>
        <w:rPr>
          <w:spacing w:val="73"/>
        </w:rPr>
        <w:t> </w:t>
      </w:r>
      <w:r>
        <w:rPr/>
        <w:t>than</w:t>
      </w:r>
      <w:r>
        <w:rPr>
          <w:spacing w:val="73"/>
        </w:rPr>
        <w:t> </w:t>
      </w:r>
      <w:r>
        <w:rPr/>
        <w:t>any</w:t>
      </w:r>
      <w:r>
        <w:rPr>
          <w:spacing w:val="73"/>
        </w:rPr>
        <w:t> </w:t>
      </w:r>
      <w:r>
        <w:rPr/>
        <w:t>other</w:t>
      </w:r>
      <w:r>
        <w:rPr>
          <w:spacing w:val="72"/>
        </w:rPr>
        <w:t> </w:t>
      </w:r>
      <w:r>
        <w:rPr/>
        <w:t>isoflavone.</w:t>
      </w:r>
      <w:r>
        <w:rPr>
          <w:vertAlign w:val="superscript"/>
        </w:rPr>
        <w:t>337</w:t>
      </w:r>
      <w:r>
        <w:rPr>
          <w:spacing w:val="72"/>
          <w:vertAlign w:val="baseline"/>
        </w:rPr>
        <w:t> </w:t>
      </w:r>
      <w:r>
        <w:rPr>
          <w:vertAlign w:val="baseline"/>
        </w:rPr>
        <w:t>Equol</w:t>
      </w:r>
      <w:r>
        <w:rPr>
          <w:spacing w:val="73"/>
          <w:vertAlign w:val="baseline"/>
        </w:rPr>
        <w:t> </w:t>
      </w:r>
      <w:r>
        <w:rPr>
          <w:vertAlign w:val="baseline"/>
        </w:rPr>
        <w:t>formation</w:t>
      </w:r>
      <w:r>
        <w:rPr>
          <w:spacing w:val="73"/>
          <w:vertAlign w:val="baseline"/>
        </w:rPr>
        <w:t> </w:t>
      </w:r>
      <w:r>
        <w:rPr>
          <w:vertAlign w:val="baseline"/>
        </w:rPr>
        <w:t>is</w:t>
      </w:r>
      <w:r>
        <w:rPr>
          <w:spacing w:val="72"/>
          <w:vertAlign w:val="baseline"/>
        </w:rPr>
        <w:t> </w:t>
      </w:r>
      <w:r>
        <w:rPr>
          <w:spacing w:val="-2"/>
          <w:vertAlign w:val="baseline"/>
        </w:rPr>
        <w:t>totally</w:t>
      </w:r>
    </w:p>
    <w:p>
      <w:pPr>
        <w:pStyle w:val="BodyText"/>
        <w:spacing w:after="0" w:line="249" w:lineRule="auto"/>
        <w:sectPr>
          <w:pgSz w:w="12240" w:h="15840"/>
          <w:pgMar w:top="1380" w:bottom="280" w:left="1440" w:right="1440"/>
        </w:sectPr>
      </w:pPr>
    </w:p>
    <w:p>
      <w:pPr>
        <w:pStyle w:val="BodyText"/>
        <w:spacing w:line="249" w:lineRule="auto"/>
        <w:ind w:right="97"/>
      </w:pPr>
      <w:r>
        <w:rPr/>
        <w:t>dependent on intestinal microflora. The most important observation regarding equol is that most adults do not produce equol, even </w:t>
      </w:r>
      <w:r>
        <w:rPr/>
        <w:t>when challenged with high doses of soy.</w:t>
      </w:r>
      <w:r>
        <w:rPr>
          <w:vertAlign w:val="superscript"/>
        </w:rPr>
        <w:t>338</w:t>
      </w:r>
      <w:r>
        <w:rPr>
          <w:vertAlign w:val="baseline"/>
        </w:rPr>
        <w:t> This is a contrast to nonhuman primates and other animals; all that have been studied produce high levels</w:t>
      </w:r>
      <w:r>
        <w:rPr>
          <w:spacing w:val="40"/>
          <w:vertAlign w:val="baseline"/>
        </w:rPr>
        <w:t> </w:t>
      </w:r>
      <w:r>
        <w:rPr>
          <w:vertAlign w:val="baseline"/>
        </w:rPr>
        <w:t>of equol. Thus, there are two human populations: equol producers and nonequol producers. The key question is whether equol producers receive greater clinical effects from phytoestrogens than nonequol producers. As noted, thus far the clinical effects of isoflavones on bone have not been impressive. In a 2-year randomized trial of postmenopausal women, isoflavone-rich soy milk increased spinal bone mass in the 45% of the subjects who were equol producers, with essentially no effect in nonequol producers.</w:t>
      </w:r>
      <w:r>
        <w:rPr>
          <w:vertAlign w:val="superscript"/>
        </w:rPr>
        <w:t>338</w:t>
      </w:r>
      <w:r>
        <w:rPr>
          <w:vertAlign w:val="baseline"/>
        </w:rPr>
        <w:t> Similar results were obtained in a Japanese trial testing the effect of isoflavone treatment in equol producers and nonproducers.</w:t>
      </w:r>
      <w:r>
        <w:rPr>
          <w:vertAlign w:val="superscript"/>
        </w:rPr>
        <w:t>339</w:t>
      </w:r>
      <w:r>
        <w:rPr>
          <w:vertAlign w:val="baseline"/>
        </w:rPr>
        <w:t> Therefore, the population destined to receive a benefit from soy intake may be limited to equol producers. Studies need to be repeated measuring the responses in individuals who are identified as equol producers or nonequol producers.</w:t>
      </w:r>
      <w:r>
        <w:rPr>
          <w:spacing w:val="-3"/>
          <w:vertAlign w:val="baseline"/>
        </w:rPr>
        <w:t> </w:t>
      </w:r>
      <w:r>
        <w:rPr>
          <w:vertAlign w:val="baseline"/>
        </w:rPr>
        <w:t>If the population destined to receive a benefit from soy intake is limited to equol producers, a convenient, inexpensive method must be developed to identify equol production. It may be possible to convert nonproducers to producers. A more straightforward approach is to administer equol itself. Daidzein yields two forms in equol producers, the</w:t>
      </w:r>
      <w:r>
        <w:rPr>
          <w:spacing w:val="40"/>
          <w:vertAlign w:val="baseline"/>
        </w:rPr>
        <w:t> </w:t>
      </w:r>
      <w:r>
        <w:rPr>
          <w:i/>
          <w:vertAlign w:val="baseline"/>
        </w:rPr>
        <w:t>R</w:t>
      </w:r>
      <w:r>
        <w:rPr>
          <w:vertAlign w:val="baseline"/>
        </w:rPr>
        <w:t>-equol inactive isomer and </w:t>
      </w:r>
      <w:r>
        <w:rPr>
          <w:i/>
          <w:vertAlign w:val="baseline"/>
        </w:rPr>
        <w:t>S</w:t>
      </w:r>
      <w:r>
        <w:rPr>
          <w:vertAlign w:val="baseline"/>
        </w:rPr>
        <w:t>-equol, the active isomer that binds to estrogen receptor-β. </w:t>
      </w:r>
      <w:r>
        <w:rPr>
          <w:i/>
          <w:vertAlign w:val="baseline"/>
        </w:rPr>
        <w:t>S</w:t>
      </w:r>
      <w:r>
        <w:rPr>
          <w:vertAlign w:val="baseline"/>
        </w:rPr>
        <w:t>-equol has been synthesized and its administration is effective for the treatment of menopausal symptoms.</w:t>
      </w:r>
      <w:r>
        <w:rPr>
          <w:vertAlign w:val="superscript"/>
        </w:rPr>
        <w:t>340</w:t>
      </w:r>
      <w:r>
        <w:rPr>
          <w:vertAlign w:val="baseline"/>
        </w:rPr>
        <w:t> Another alternative is the </w:t>
      </w:r>
      <w:r>
        <w:rPr>
          <w:i/>
          <w:vertAlign w:val="baseline"/>
        </w:rPr>
        <w:t>S</w:t>
      </w:r>
      <w:r>
        <w:rPr>
          <w:vertAlign w:val="baseline"/>
        </w:rPr>
        <w:t>-equol supplement made by incubating equol-producing bacteria with soy isoflavones.</w:t>
      </w:r>
      <w:r>
        <w:rPr>
          <w:vertAlign w:val="superscript"/>
        </w:rPr>
        <w:t>341,342</w:t>
      </w:r>
      <w:r>
        <w:rPr>
          <w:vertAlign w:val="baseline"/>
        </w:rPr>
        <w:t> It is absorbed readily with high bioavailability; low doses must be administered twice daily because of a relatively short </w:t>
      </w:r>
      <w:r>
        <w:rPr>
          <w:spacing w:val="-2"/>
          <w:vertAlign w:val="baseline"/>
        </w:rPr>
        <w:t>half-life.</w:t>
      </w:r>
    </w:p>
    <w:p>
      <w:pPr>
        <w:pStyle w:val="BodyText"/>
        <w:spacing w:before="78"/>
        <w:ind w:left="0"/>
        <w:jc w:val="left"/>
      </w:pPr>
    </w:p>
    <w:p>
      <w:pPr>
        <w:spacing w:before="0"/>
        <w:ind w:left="99" w:right="0" w:firstLine="0"/>
        <w:jc w:val="left"/>
        <w:rPr>
          <w:rFonts w:ascii="Arial"/>
          <w:b/>
          <w:sz w:val="30"/>
        </w:rPr>
      </w:pPr>
      <w:r>
        <w:rPr>
          <w:rFonts w:ascii="Arial"/>
          <w:b/>
          <w:color w:val="2674AE"/>
          <w:spacing w:val="-2"/>
          <w:sz w:val="30"/>
        </w:rPr>
        <w:t>Statins</w:t>
      </w:r>
    </w:p>
    <w:p>
      <w:pPr>
        <w:pStyle w:val="BodyText"/>
        <w:spacing w:line="249" w:lineRule="auto" w:before="166"/>
        <w:ind w:right="99"/>
      </w:pPr>
      <w:r>
        <w:rPr/>
        <w:t>Statin treatment is, of course, a mainstay in programs designed to </w:t>
      </w:r>
      <w:r>
        <w:rPr/>
        <w:t>prevent cardiovascular disease. Prompted by animal experiments indicating that statins increase bone formation, case-control studies reported that statin treatment was associated with a reduced risk of fracture.</w:t>
      </w:r>
      <w:r>
        <w:rPr>
          <w:vertAlign w:val="superscript"/>
        </w:rPr>
        <w:t>343,344</w:t>
      </w:r>
      <w:r>
        <w:rPr>
          <w:vertAlign w:val="baseline"/>
        </w:rPr>
        <w:t> However, analysis</w:t>
      </w:r>
      <w:r>
        <w:rPr>
          <w:spacing w:val="30"/>
          <w:vertAlign w:val="baseline"/>
        </w:rPr>
        <w:t> </w:t>
      </w:r>
      <w:r>
        <w:rPr>
          <w:vertAlign w:val="baseline"/>
        </w:rPr>
        <w:t>of</w:t>
      </w:r>
      <w:r>
        <w:rPr>
          <w:spacing w:val="30"/>
          <w:vertAlign w:val="baseline"/>
        </w:rPr>
        <w:t> </w:t>
      </w:r>
      <w:r>
        <w:rPr>
          <w:vertAlign w:val="baseline"/>
        </w:rPr>
        <w:t>a</w:t>
      </w:r>
      <w:r>
        <w:rPr>
          <w:spacing w:val="30"/>
          <w:vertAlign w:val="baseline"/>
        </w:rPr>
        <w:t> </w:t>
      </w:r>
      <w:r>
        <w:rPr>
          <w:vertAlign w:val="baseline"/>
        </w:rPr>
        <w:t>randomized</w:t>
      </w:r>
      <w:r>
        <w:rPr>
          <w:spacing w:val="30"/>
          <w:vertAlign w:val="baseline"/>
        </w:rPr>
        <w:t> </w:t>
      </w:r>
      <w:r>
        <w:rPr>
          <w:vertAlign w:val="baseline"/>
        </w:rPr>
        <w:t>trial</w:t>
      </w:r>
      <w:r>
        <w:rPr>
          <w:spacing w:val="30"/>
          <w:vertAlign w:val="baseline"/>
        </w:rPr>
        <w:t> </w:t>
      </w:r>
      <w:r>
        <w:rPr>
          <w:vertAlign w:val="baseline"/>
        </w:rPr>
        <w:t>of</w:t>
      </w:r>
      <w:r>
        <w:rPr>
          <w:spacing w:val="30"/>
          <w:vertAlign w:val="baseline"/>
        </w:rPr>
        <w:t> </w:t>
      </w:r>
      <w:r>
        <w:rPr>
          <w:vertAlign w:val="baseline"/>
        </w:rPr>
        <w:t>statin</w:t>
      </w:r>
      <w:r>
        <w:rPr>
          <w:spacing w:val="30"/>
          <w:vertAlign w:val="baseline"/>
        </w:rPr>
        <w:t> </w:t>
      </w:r>
      <w:r>
        <w:rPr>
          <w:vertAlign w:val="baseline"/>
        </w:rPr>
        <w:t>therapy</w:t>
      </w:r>
      <w:r>
        <w:rPr>
          <w:spacing w:val="30"/>
          <w:vertAlign w:val="baseline"/>
        </w:rPr>
        <w:t> </w:t>
      </w:r>
      <w:r>
        <w:rPr>
          <w:vertAlign w:val="baseline"/>
        </w:rPr>
        <w:t>and</w:t>
      </w:r>
      <w:r>
        <w:rPr>
          <w:spacing w:val="30"/>
          <w:vertAlign w:val="baseline"/>
        </w:rPr>
        <w:t> </w:t>
      </w:r>
      <w:r>
        <w:rPr>
          <w:vertAlign w:val="baseline"/>
        </w:rPr>
        <w:t>cardiovascular</w:t>
      </w:r>
      <w:r>
        <w:rPr>
          <w:spacing w:val="30"/>
          <w:vertAlign w:val="baseline"/>
        </w:rPr>
        <w:t> </w:t>
      </w:r>
      <w:r>
        <w:rPr>
          <w:spacing w:val="-2"/>
          <w:vertAlign w:val="baseline"/>
        </w:rPr>
        <w:t>disease</w:t>
      </w:r>
    </w:p>
    <w:p>
      <w:pPr>
        <w:pStyle w:val="BodyText"/>
        <w:spacing w:after="0" w:line="249" w:lineRule="auto"/>
        <w:sectPr>
          <w:pgSz w:w="12240" w:h="15840"/>
          <w:pgMar w:top="1380" w:bottom="280" w:left="1440" w:right="1440"/>
        </w:sectPr>
      </w:pPr>
    </w:p>
    <w:p>
      <w:pPr>
        <w:pStyle w:val="BodyText"/>
        <w:spacing w:line="249" w:lineRule="auto"/>
        <w:ind w:right="100"/>
      </w:pPr>
      <w:r>
        <w:rPr/>
        <w:t>failed</w:t>
      </w:r>
      <w:r>
        <w:rPr>
          <w:spacing w:val="-1"/>
        </w:rPr>
        <w:t> </w:t>
      </w:r>
      <w:r>
        <w:rPr/>
        <w:t>to</w:t>
      </w:r>
      <w:r>
        <w:rPr>
          <w:spacing w:val="-1"/>
        </w:rPr>
        <w:t> </w:t>
      </w:r>
      <w:r>
        <w:rPr/>
        <w:t>detect</w:t>
      </w:r>
      <w:r>
        <w:rPr>
          <w:spacing w:val="-1"/>
        </w:rPr>
        <w:t> </w:t>
      </w:r>
      <w:r>
        <w:rPr/>
        <w:t>an</w:t>
      </w:r>
      <w:r>
        <w:rPr>
          <w:spacing w:val="-1"/>
        </w:rPr>
        <w:t> </w:t>
      </w:r>
      <w:r>
        <w:rPr/>
        <w:t>effect</w:t>
      </w:r>
      <w:r>
        <w:rPr>
          <w:spacing w:val="-1"/>
        </w:rPr>
        <w:t> </w:t>
      </w:r>
      <w:r>
        <w:rPr/>
        <w:t>on</w:t>
      </w:r>
      <w:r>
        <w:rPr>
          <w:spacing w:val="-1"/>
        </w:rPr>
        <w:t> </w:t>
      </w:r>
      <w:r>
        <w:rPr/>
        <w:t>fracture</w:t>
      </w:r>
      <w:r>
        <w:rPr>
          <w:spacing w:val="-1"/>
        </w:rPr>
        <w:t> </w:t>
      </w:r>
      <w:r>
        <w:rPr/>
        <w:t>risk,</w:t>
      </w:r>
      <w:r>
        <w:rPr>
          <w:spacing w:val="-1"/>
        </w:rPr>
        <w:t> </w:t>
      </w:r>
      <w:r>
        <w:rPr/>
        <w:t>and</w:t>
      </w:r>
      <w:r>
        <w:rPr>
          <w:spacing w:val="-1"/>
        </w:rPr>
        <w:t> </w:t>
      </w:r>
      <w:r>
        <w:rPr/>
        <w:t>a</w:t>
      </w:r>
      <w:r>
        <w:rPr>
          <w:spacing w:val="-1"/>
        </w:rPr>
        <w:t> </w:t>
      </w:r>
      <w:r>
        <w:rPr/>
        <w:t>cohort</w:t>
      </w:r>
      <w:r>
        <w:rPr>
          <w:spacing w:val="-1"/>
        </w:rPr>
        <w:t> </w:t>
      </w:r>
      <w:r>
        <w:rPr/>
        <w:t>study</w:t>
      </w:r>
      <w:r>
        <w:rPr>
          <w:spacing w:val="-1"/>
        </w:rPr>
        <w:t> </w:t>
      </w:r>
      <w:r>
        <w:rPr/>
        <w:t>reported</w:t>
      </w:r>
      <w:r>
        <w:rPr>
          <w:spacing w:val="-1"/>
        </w:rPr>
        <w:t> </w:t>
      </w:r>
      <w:r>
        <w:rPr/>
        <w:t>that</w:t>
      </w:r>
      <w:r>
        <w:rPr>
          <w:spacing w:val="-1"/>
        </w:rPr>
        <w:t> </w:t>
      </w:r>
      <w:r>
        <w:rPr/>
        <w:t>an apparent beneficial effect of statin on fracture risk was influenced </w:t>
      </w:r>
      <w:r>
        <w:rPr/>
        <w:t>by various</w:t>
      </w:r>
      <w:r>
        <w:rPr>
          <w:spacing w:val="-7"/>
        </w:rPr>
        <w:t> </w:t>
      </w:r>
      <w:r>
        <w:rPr/>
        <w:t>confounding</w:t>
      </w:r>
      <w:r>
        <w:rPr>
          <w:spacing w:val="-7"/>
        </w:rPr>
        <w:t> </w:t>
      </w:r>
      <w:r>
        <w:rPr/>
        <w:t>factors.</w:t>
      </w:r>
      <w:r>
        <w:rPr>
          <w:vertAlign w:val="superscript"/>
        </w:rPr>
        <w:t>345,346</w:t>
      </w:r>
      <w:r>
        <w:rPr>
          <w:spacing w:val="-6"/>
          <w:vertAlign w:val="baseline"/>
        </w:rPr>
        <w:t> </w:t>
      </w:r>
      <w:r>
        <w:rPr>
          <w:vertAlign w:val="baseline"/>
        </w:rPr>
        <w:t>In</w:t>
      </w:r>
      <w:r>
        <w:rPr>
          <w:spacing w:val="-6"/>
          <w:vertAlign w:val="baseline"/>
        </w:rPr>
        <w:t> </w:t>
      </w:r>
      <w:r>
        <w:rPr>
          <w:vertAlign w:val="baseline"/>
        </w:rPr>
        <w:t>the</w:t>
      </w:r>
      <w:r>
        <w:rPr>
          <w:spacing w:val="-6"/>
          <w:vertAlign w:val="baseline"/>
        </w:rPr>
        <w:t> </w:t>
      </w:r>
      <w:r>
        <w:rPr>
          <w:vertAlign w:val="baseline"/>
        </w:rPr>
        <w:t>prospective</w:t>
      </w:r>
      <w:r>
        <w:rPr>
          <w:spacing w:val="-6"/>
          <w:vertAlign w:val="baseline"/>
        </w:rPr>
        <w:t> </w:t>
      </w:r>
      <w:r>
        <w:rPr>
          <w:vertAlign w:val="baseline"/>
        </w:rPr>
        <w:t>cohort</w:t>
      </w:r>
      <w:r>
        <w:rPr>
          <w:spacing w:val="-6"/>
          <w:vertAlign w:val="baseline"/>
        </w:rPr>
        <w:t> </w:t>
      </w:r>
      <w:r>
        <w:rPr>
          <w:vertAlign w:val="baseline"/>
        </w:rPr>
        <w:t>arm</w:t>
      </w:r>
      <w:r>
        <w:rPr>
          <w:spacing w:val="-6"/>
          <w:vertAlign w:val="baseline"/>
        </w:rPr>
        <w:t> </w:t>
      </w:r>
      <w:r>
        <w:rPr>
          <w:vertAlign w:val="baseline"/>
        </w:rPr>
        <w:t>of</w:t>
      </w:r>
      <w:r>
        <w:rPr>
          <w:spacing w:val="-6"/>
          <w:vertAlign w:val="baseline"/>
        </w:rPr>
        <w:t> </w:t>
      </w:r>
      <w:r>
        <w:rPr>
          <w:vertAlign w:val="baseline"/>
        </w:rPr>
        <w:t>the</w:t>
      </w:r>
      <w:r>
        <w:rPr>
          <w:spacing w:val="-6"/>
          <w:vertAlign w:val="baseline"/>
        </w:rPr>
        <w:t> </w:t>
      </w:r>
      <w:r>
        <w:rPr>
          <w:vertAlign w:val="baseline"/>
        </w:rPr>
        <w:t>WHI, bone densities and fracture rates were similar when comparing statin users with</w:t>
      </w:r>
      <w:r>
        <w:rPr>
          <w:spacing w:val="-6"/>
          <w:vertAlign w:val="baseline"/>
        </w:rPr>
        <w:t> </w:t>
      </w:r>
      <w:r>
        <w:rPr>
          <w:vertAlign w:val="baseline"/>
        </w:rPr>
        <w:t>nonusers.</w:t>
      </w:r>
      <w:r>
        <w:rPr>
          <w:vertAlign w:val="superscript"/>
        </w:rPr>
        <w:t>347</w:t>
      </w:r>
      <w:r>
        <w:rPr>
          <w:spacing w:val="-1"/>
          <w:vertAlign w:val="baseline"/>
        </w:rPr>
        <w:t> </w:t>
      </w:r>
      <w:r>
        <w:rPr>
          <w:vertAlign w:val="baseline"/>
        </w:rPr>
        <w:t>A</w:t>
      </w:r>
      <w:r>
        <w:rPr>
          <w:spacing w:val="-1"/>
          <w:vertAlign w:val="baseline"/>
        </w:rPr>
        <w:t> </w:t>
      </w:r>
      <w:r>
        <w:rPr>
          <w:vertAlign w:val="baseline"/>
        </w:rPr>
        <w:t>recent</w:t>
      </w:r>
      <w:r>
        <w:rPr>
          <w:spacing w:val="-1"/>
          <w:vertAlign w:val="baseline"/>
        </w:rPr>
        <w:t> </w:t>
      </w:r>
      <w:r>
        <w:rPr>
          <w:vertAlign w:val="baseline"/>
        </w:rPr>
        <w:t>systematic</w:t>
      </w:r>
      <w:r>
        <w:rPr>
          <w:spacing w:val="-1"/>
          <w:vertAlign w:val="baseline"/>
        </w:rPr>
        <w:t> </w:t>
      </w:r>
      <w:r>
        <w:rPr>
          <w:vertAlign w:val="baseline"/>
        </w:rPr>
        <w:t>review</w:t>
      </w:r>
      <w:r>
        <w:rPr>
          <w:spacing w:val="-1"/>
          <w:vertAlign w:val="baseline"/>
        </w:rPr>
        <w:t> </w:t>
      </w:r>
      <w:r>
        <w:rPr>
          <w:vertAlign w:val="baseline"/>
        </w:rPr>
        <w:t>and</w:t>
      </w:r>
      <w:r>
        <w:rPr>
          <w:spacing w:val="-1"/>
          <w:vertAlign w:val="baseline"/>
        </w:rPr>
        <w:t> </w:t>
      </w:r>
      <w:r>
        <w:rPr>
          <w:vertAlign w:val="baseline"/>
        </w:rPr>
        <w:t>meta-analysis</w:t>
      </w:r>
      <w:r>
        <w:rPr>
          <w:spacing w:val="-1"/>
          <w:vertAlign w:val="baseline"/>
        </w:rPr>
        <w:t> </w:t>
      </w:r>
      <w:r>
        <w:rPr>
          <w:vertAlign w:val="baseline"/>
        </w:rPr>
        <w:t>assessed</w:t>
      </w:r>
      <w:r>
        <w:rPr>
          <w:spacing w:val="-1"/>
          <w:vertAlign w:val="baseline"/>
        </w:rPr>
        <w:t> </w:t>
      </w:r>
      <w:r>
        <w:rPr>
          <w:vertAlign w:val="baseline"/>
        </w:rPr>
        <w:t>the efficacy of statins on bone density, on markers of bone turnover, and on fracture risk by examining data from 33 clinical trials.</w:t>
      </w:r>
      <w:r>
        <w:rPr>
          <w:vertAlign w:val="superscript"/>
        </w:rPr>
        <w:t>348</w:t>
      </w:r>
      <w:r>
        <w:rPr>
          <w:vertAlign w:val="baseline"/>
        </w:rPr>
        <w:t> Statin use was associated with a decreased risk of overall fractures (odds ratio [OR] =</w:t>
      </w:r>
      <w:r>
        <w:rPr>
          <w:spacing w:val="40"/>
          <w:vertAlign w:val="baseline"/>
        </w:rPr>
        <w:t> </w:t>
      </w:r>
      <w:r>
        <w:rPr>
          <w:vertAlign w:val="baseline"/>
        </w:rPr>
        <w:t>0.81;</w:t>
      </w:r>
      <w:r>
        <w:rPr>
          <w:spacing w:val="23"/>
          <w:vertAlign w:val="baseline"/>
        </w:rPr>
        <w:t> </w:t>
      </w:r>
      <w:r>
        <w:rPr>
          <w:vertAlign w:val="baseline"/>
        </w:rPr>
        <w:t>95%</w:t>
      </w:r>
      <w:r>
        <w:rPr>
          <w:spacing w:val="26"/>
          <w:vertAlign w:val="baseline"/>
        </w:rPr>
        <w:t> </w:t>
      </w:r>
      <w:r>
        <w:rPr>
          <w:vertAlign w:val="baseline"/>
        </w:rPr>
        <w:t>CI</w:t>
      </w:r>
      <w:r>
        <w:rPr>
          <w:spacing w:val="25"/>
          <w:vertAlign w:val="baseline"/>
        </w:rPr>
        <w:t> </w:t>
      </w:r>
      <w:r>
        <w:rPr>
          <w:vertAlign w:val="baseline"/>
        </w:rPr>
        <w:t>=</w:t>
      </w:r>
      <w:r>
        <w:rPr>
          <w:spacing w:val="26"/>
          <w:vertAlign w:val="baseline"/>
        </w:rPr>
        <w:t> </w:t>
      </w:r>
      <w:r>
        <w:rPr>
          <w:vertAlign w:val="baseline"/>
        </w:rPr>
        <w:t>0.73-0.89)</w:t>
      </w:r>
      <w:r>
        <w:rPr>
          <w:spacing w:val="25"/>
          <w:vertAlign w:val="baseline"/>
        </w:rPr>
        <w:t> </w:t>
      </w:r>
      <w:r>
        <w:rPr>
          <w:vertAlign w:val="baseline"/>
        </w:rPr>
        <w:t>and</w:t>
      </w:r>
      <w:r>
        <w:rPr>
          <w:spacing w:val="26"/>
          <w:vertAlign w:val="baseline"/>
        </w:rPr>
        <w:t> </w:t>
      </w:r>
      <w:r>
        <w:rPr>
          <w:vertAlign w:val="baseline"/>
        </w:rPr>
        <w:t>hip</w:t>
      </w:r>
      <w:r>
        <w:rPr>
          <w:spacing w:val="26"/>
          <w:vertAlign w:val="baseline"/>
        </w:rPr>
        <w:t> </w:t>
      </w:r>
      <w:r>
        <w:rPr>
          <w:vertAlign w:val="baseline"/>
        </w:rPr>
        <w:t>fractures</w:t>
      </w:r>
      <w:r>
        <w:rPr>
          <w:spacing w:val="25"/>
          <w:vertAlign w:val="baseline"/>
        </w:rPr>
        <w:t> </w:t>
      </w:r>
      <w:r>
        <w:rPr>
          <w:vertAlign w:val="baseline"/>
        </w:rPr>
        <w:t>(OR</w:t>
      </w:r>
      <w:r>
        <w:rPr>
          <w:spacing w:val="26"/>
          <w:vertAlign w:val="baseline"/>
        </w:rPr>
        <w:t> </w:t>
      </w:r>
      <w:r>
        <w:rPr>
          <w:vertAlign w:val="baseline"/>
        </w:rPr>
        <w:t>=</w:t>
      </w:r>
      <w:r>
        <w:rPr>
          <w:spacing w:val="25"/>
          <w:vertAlign w:val="baseline"/>
        </w:rPr>
        <w:t> </w:t>
      </w:r>
      <w:r>
        <w:rPr>
          <w:vertAlign w:val="baseline"/>
        </w:rPr>
        <w:t>0.75;</w:t>
      </w:r>
      <w:r>
        <w:rPr>
          <w:spacing w:val="26"/>
          <w:vertAlign w:val="baseline"/>
        </w:rPr>
        <w:t> </w:t>
      </w:r>
      <w:r>
        <w:rPr>
          <w:vertAlign w:val="baseline"/>
        </w:rPr>
        <w:t>95%</w:t>
      </w:r>
      <w:r>
        <w:rPr>
          <w:spacing w:val="25"/>
          <w:vertAlign w:val="baseline"/>
        </w:rPr>
        <w:t> </w:t>
      </w:r>
      <w:r>
        <w:rPr>
          <w:vertAlign w:val="baseline"/>
        </w:rPr>
        <w:t>CI</w:t>
      </w:r>
      <w:r>
        <w:rPr>
          <w:spacing w:val="26"/>
          <w:vertAlign w:val="baseline"/>
        </w:rPr>
        <w:t> </w:t>
      </w:r>
      <w:r>
        <w:rPr>
          <w:vertAlign w:val="baseline"/>
        </w:rPr>
        <w:t>=</w:t>
      </w:r>
      <w:r>
        <w:rPr>
          <w:spacing w:val="26"/>
          <w:vertAlign w:val="baseline"/>
        </w:rPr>
        <w:t> </w:t>
      </w:r>
      <w:r>
        <w:rPr>
          <w:spacing w:val="-2"/>
          <w:vertAlign w:val="baseline"/>
        </w:rPr>
        <w:t>0.60-</w:t>
      </w:r>
    </w:p>
    <w:p>
      <w:pPr>
        <w:spacing w:line="249" w:lineRule="auto" w:before="11"/>
        <w:ind w:left="99" w:right="98" w:firstLine="0"/>
        <w:jc w:val="both"/>
        <w:rPr>
          <w:b/>
          <w:sz w:val="30"/>
        </w:rPr>
      </w:pPr>
      <w:r>
        <w:rPr>
          <w:sz w:val="30"/>
        </w:rPr>
        <w:t>0.92). Statin use was associated with statistically significantly higher bone density parameters at the total hip and the lumbar spine and with improved bone</w:t>
      </w:r>
      <w:r>
        <w:rPr>
          <w:spacing w:val="-9"/>
          <w:sz w:val="30"/>
        </w:rPr>
        <w:t> </w:t>
      </w:r>
      <w:r>
        <w:rPr>
          <w:sz w:val="30"/>
        </w:rPr>
        <w:t>formation</w:t>
      </w:r>
      <w:r>
        <w:rPr>
          <w:spacing w:val="-9"/>
          <w:sz w:val="30"/>
        </w:rPr>
        <w:t> </w:t>
      </w:r>
      <w:r>
        <w:rPr>
          <w:sz w:val="30"/>
        </w:rPr>
        <w:t>marker,</w:t>
      </w:r>
      <w:r>
        <w:rPr>
          <w:spacing w:val="-9"/>
          <w:sz w:val="30"/>
        </w:rPr>
        <w:t> </w:t>
      </w:r>
      <w:r>
        <w:rPr>
          <w:sz w:val="30"/>
        </w:rPr>
        <w:t>osteocalcin.</w:t>
      </w:r>
      <w:r>
        <w:rPr>
          <w:spacing w:val="-10"/>
          <w:sz w:val="30"/>
        </w:rPr>
        <w:t> </w:t>
      </w:r>
      <w:r>
        <w:rPr>
          <w:sz w:val="30"/>
        </w:rPr>
        <w:t>Interestingly,</w:t>
      </w:r>
      <w:r>
        <w:rPr>
          <w:spacing w:val="-9"/>
          <w:sz w:val="30"/>
        </w:rPr>
        <w:t> </w:t>
      </w:r>
      <w:r>
        <w:rPr>
          <w:sz w:val="30"/>
        </w:rPr>
        <w:t>skeletal</w:t>
      </w:r>
      <w:r>
        <w:rPr>
          <w:spacing w:val="-9"/>
          <w:sz w:val="30"/>
        </w:rPr>
        <w:t> </w:t>
      </w:r>
      <w:r>
        <w:rPr>
          <w:sz w:val="30"/>
        </w:rPr>
        <w:t>benefits</w:t>
      </w:r>
      <w:r>
        <w:rPr>
          <w:spacing w:val="-9"/>
          <w:sz w:val="30"/>
        </w:rPr>
        <w:t> </w:t>
      </w:r>
      <w:r>
        <w:rPr>
          <w:sz w:val="30"/>
        </w:rPr>
        <w:t>of</w:t>
      </w:r>
      <w:r>
        <w:rPr>
          <w:spacing w:val="-9"/>
          <w:sz w:val="30"/>
        </w:rPr>
        <w:t> </w:t>
      </w:r>
      <w:r>
        <w:rPr>
          <w:sz w:val="30"/>
        </w:rPr>
        <w:t>statins demonstrated a gender differential being more robust in males compared to female users. </w:t>
      </w:r>
      <w:r>
        <w:rPr>
          <w:b/>
          <w:sz w:val="30"/>
        </w:rPr>
        <w:t>Based on existing evidence, statin users should be reassured</w:t>
      </w:r>
      <w:r>
        <w:rPr>
          <w:b/>
          <w:spacing w:val="-4"/>
          <w:sz w:val="30"/>
        </w:rPr>
        <w:t> </w:t>
      </w:r>
      <w:r>
        <w:rPr>
          <w:b/>
          <w:sz w:val="30"/>
        </w:rPr>
        <w:t>regarding</w:t>
      </w:r>
      <w:r>
        <w:rPr>
          <w:b/>
          <w:spacing w:val="-4"/>
          <w:sz w:val="30"/>
        </w:rPr>
        <w:t> </w:t>
      </w:r>
      <w:r>
        <w:rPr>
          <w:b/>
          <w:sz w:val="30"/>
        </w:rPr>
        <w:t>the</w:t>
      </w:r>
      <w:r>
        <w:rPr>
          <w:b/>
          <w:spacing w:val="-4"/>
          <w:sz w:val="30"/>
        </w:rPr>
        <w:t> </w:t>
      </w:r>
      <w:r>
        <w:rPr>
          <w:b/>
          <w:sz w:val="30"/>
        </w:rPr>
        <w:t>potential</w:t>
      </w:r>
      <w:r>
        <w:rPr>
          <w:b/>
          <w:spacing w:val="-4"/>
          <w:sz w:val="30"/>
        </w:rPr>
        <w:t> </w:t>
      </w:r>
      <w:r>
        <w:rPr>
          <w:b/>
          <w:sz w:val="30"/>
        </w:rPr>
        <w:t>for</w:t>
      </w:r>
      <w:r>
        <w:rPr>
          <w:b/>
          <w:spacing w:val="-4"/>
          <w:sz w:val="30"/>
        </w:rPr>
        <w:t> </w:t>
      </w:r>
      <w:r>
        <w:rPr>
          <w:b/>
          <w:sz w:val="30"/>
        </w:rPr>
        <w:t>skeletal</w:t>
      </w:r>
      <w:r>
        <w:rPr>
          <w:b/>
          <w:spacing w:val="-4"/>
          <w:sz w:val="30"/>
        </w:rPr>
        <w:t> </w:t>
      </w:r>
      <w:r>
        <w:rPr>
          <w:b/>
          <w:sz w:val="30"/>
        </w:rPr>
        <w:t>benefit,</w:t>
      </w:r>
      <w:r>
        <w:rPr>
          <w:b/>
          <w:spacing w:val="-4"/>
          <w:sz w:val="30"/>
        </w:rPr>
        <w:t> </w:t>
      </w:r>
      <w:r>
        <w:rPr>
          <w:b/>
          <w:sz w:val="30"/>
        </w:rPr>
        <w:t>but</w:t>
      </w:r>
      <w:r>
        <w:rPr>
          <w:b/>
          <w:spacing w:val="-4"/>
          <w:sz w:val="30"/>
        </w:rPr>
        <w:t> </w:t>
      </w:r>
      <w:r>
        <w:rPr>
          <w:b/>
          <w:sz w:val="30"/>
        </w:rPr>
        <w:t>statins</w:t>
      </w:r>
      <w:r>
        <w:rPr>
          <w:b/>
          <w:spacing w:val="-4"/>
          <w:sz w:val="30"/>
        </w:rPr>
        <w:t> </w:t>
      </w:r>
      <w:r>
        <w:rPr>
          <w:b/>
          <w:sz w:val="30"/>
        </w:rPr>
        <w:t>should not replace proven effective medications to prevent or treat </w:t>
      </w:r>
      <w:r>
        <w:rPr>
          <w:b/>
          <w:spacing w:val="-2"/>
          <w:sz w:val="30"/>
        </w:rPr>
        <w:t>osteoporosis.</w:t>
      </w:r>
    </w:p>
    <w:p>
      <w:pPr>
        <w:pStyle w:val="BodyText"/>
        <w:spacing w:before="53"/>
        <w:ind w:left="0"/>
        <w:jc w:val="left"/>
        <w:rPr>
          <w:b/>
        </w:rPr>
      </w:pPr>
    </w:p>
    <w:p>
      <w:pPr>
        <w:spacing w:before="0"/>
        <w:ind w:left="99" w:right="0" w:firstLine="0"/>
        <w:jc w:val="both"/>
        <w:rPr>
          <w:rFonts w:ascii="Arial"/>
          <w:b/>
          <w:sz w:val="30"/>
        </w:rPr>
      </w:pPr>
      <w:r>
        <w:rPr>
          <w:rFonts w:ascii="Arial"/>
          <w:b/>
          <w:color w:val="2674AE"/>
          <w:sz w:val="30"/>
        </w:rPr>
        <w:t>Thiazide </w:t>
      </w:r>
      <w:r>
        <w:rPr>
          <w:rFonts w:ascii="Arial"/>
          <w:b/>
          <w:color w:val="2674AE"/>
          <w:spacing w:val="-2"/>
          <w:sz w:val="30"/>
        </w:rPr>
        <w:t>Diuretics</w:t>
      </w:r>
    </w:p>
    <w:p>
      <w:pPr>
        <w:spacing w:line="249" w:lineRule="auto" w:before="167"/>
        <w:ind w:left="99" w:right="97" w:firstLine="0"/>
        <w:jc w:val="both"/>
        <w:rPr>
          <w:b/>
          <w:sz w:val="30"/>
        </w:rPr>
      </w:pPr>
      <w:r>
        <w:rPr>
          <w:sz w:val="30"/>
        </w:rPr>
        <w:t>Older women are often treated with thiazides for hypertension. Thiazides reduce the urinary loss of calcium and induce a positive calcium balance, and treatment is associated with a higher bone density. It is useful to know that estrogen and thiazides are additive; a significantly higher bone </w:t>
      </w:r>
      <w:r>
        <w:rPr>
          <w:sz w:val="30"/>
        </w:rPr>
        <w:t>density is achieved with combined use.</w:t>
      </w:r>
      <w:r>
        <w:rPr>
          <w:sz w:val="30"/>
          <w:vertAlign w:val="superscript"/>
        </w:rPr>
        <w:t>349</w:t>
      </w:r>
      <w:r>
        <w:rPr>
          <w:sz w:val="30"/>
          <w:vertAlign w:val="baseline"/>
        </w:rPr>
        <w:t> A recent meta-analysis that included 2,193,160 participants from 11 cohort studies evaluated the relationship between thiazide diuretic use and fracture. Users of thiazide diuretics experienced a statistically significant 14% reduction in the risk of all fractures and 18% reduction in the risk of hip fracture compared to nonusers.</w:t>
      </w:r>
      <w:r>
        <w:rPr>
          <w:sz w:val="30"/>
          <w:vertAlign w:val="superscript"/>
        </w:rPr>
        <w:t>350</w:t>
      </w:r>
      <w:r>
        <w:rPr>
          <w:sz w:val="30"/>
          <w:vertAlign w:val="baseline"/>
        </w:rPr>
        <w:t> </w:t>
      </w:r>
      <w:r>
        <w:rPr>
          <w:b/>
          <w:sz w:val="30"/>
          <w:vertAlign w:val="baseline"/>
        </w:rPr>
        <w:t>Based on existing evidence, users of thiazide diuretics should be reassured regarding the potential for skeletal benefit, but thiazides should not replace proven effective medications to prevent or treat osteoporosis.</w:t>
      </w:r>
    </w:p>
    <w:p>
      <w:pPr>
        <w:pStyle w:val="BodyText"/>
        <w:spacing w:before="59"/>
        <w:ind w:left="0"/>
        <w:jc w:val="left"/>
        <w:rPr>
          <w:b/>
        </w:rPr>
      </w:pPr>
    </w:p>
    <w:p>
      <w:pPr>
        <w:spacing w:before="0"/>
        <w:ind w:left="99" w:right="0" w:firstLine="0"/>
        <w:jc w:val="both"/>
        <w:rPr>
          <w:rFonts w:ascii="Arial"/>
          <w:b/>
          <w:sz w:val="30"/>
        </w:rPr>
      </w:pPr>
      <w:r>
        <w:rPr>
          <w:rFonts w:ascii="Arial"/>
          <w:b/>
          <w:color w:val="2674AE"/>
          <w:sz w:val="30"/>
        </w:rPr>
        <w:t>Lifestyle </w:t>
      </w:r>
      <w:r>
        <w:rPr>
          <w:rFonts w:ascii="Arial"/>
          <w:b/>
          <w:color w:val="2674AE"/>
          <w:spacing w:val="-2"/>
          <w:sz w:val="30"/>
        </w:rPr>
        <w:t>Modifications</w:t>
      </w:r>
    </w:p>
    <w:p>
      <w:pPr>
        <w:spacing w:after="0"/>
        <w:jc w:val="both"/>
        <w:rPr>
          <w:rFonts w:ascii="Arial"/>
          <w:b/>
          <w:sz w:val="30"/>
        </w:rPr>
        <w:sectPr>
          <w:pgSz w:w="12240" w:h="15840"/>
          <w:pgMar w:top="1380" w:bottom="280" w:left="1440" w:right="1440"/>
        </w:sectPr>
      </w:pPr>
    </w:p>
    <w:p>
      <w:pPr>
        <w:pStyle w:val="BodyText"/>
        <w:spacing w:line="249" w:lineRule="auto"/>
        <w:ind w:right="101"/>
      </w:pPr>
      <w:r>
        <w:rPr/>
        <w:t>Lifestyle can have a beneficial effect on bone density as well as reduce fracture</w:t>
      </w:r>
      <w:r>
        <w:rPr>
          <w:spacing w:val="-4"/>
        </w:rPr>
        <w:t> </w:t>
      </w:r>
      <w:r>
        <w:rPr/>
        <w:t>risk.</w:t>
      </w:r>
      <w:r>
        <w:rPr>
          <w:spacing w:val="-5"/>
        </w:rPr>
        <w:t> </w:t>
      </w:r>
      <w:r>
        <w:rPr/>
        <w:t>Physical</w:t>
      </w:r>
      <w:r>
        <w:rPr>
          <w:spacing w:val="-4"/>
        </w:rPr>
        <w:t> </w:t>
      </w:r>
      <w:r>
        <w:rPr/>
        <w:t>activity</w:t>
      </w:r>
      <w:r>
        <w:rPr>
          <w:spacing w:val="-4"/>
        </w:rPr>
        <w:t> </w:t>
      </w:r>
      <w:r>
        <w:rPr/>
        <w:t>(weight-bearing),</w:t>
      </w:r>
      <w:r>
        <w:rPr>
          <w:spacing w:val="-4"/>
        </w:rPr>
        <w:t> </w:t>
      </w:r>
      <w:r>
        <w:rPr/>
        <w:t>as</w:t>
      </w:r>
      <w:r>
        <w:rPr>
          <w:spacing w:val="-4"/>
        </w:rPr>
        <w:t> </w:t>
      </w:r>
      <w:r>
        <w:rPr/>
        <w:t>little</w:t>
      </w:r>
      <w:r>
        <w:rPr>
          <w:spacing w:val="-4"/>
        </w:rPr>
        <w:t> </w:t>
      </w:r>
      <w:r>
        <w:rPr/>
        <w:t>as</w:t>
      </w:r>
      <w:r>
        <w:rPr>
          <w:spacing w:val="-4"/>
        </w:rPr>
        <w:t> </w:t>
      </w:r>
      <w:r>
        <w:rPr/>
        <w:t>30</w:t>
      </w:r>
      <w:r>
        <w:rPr>
          <w:spacing w:val="-4"/>
        </w:rPr>
        <w:t> </w:t>
      </w:r>
      <w:r>
        <w:rPr/>
        <w:t>minutes</w:t>
      </w:r>
      <w:r>
        <w:rPr>
          <w:spacing w:val="-4"/>
        </w:rPr>
        <w:t> </w:t>
      </w:r>
      <w:r>
        <w:rPr/>
        <w:t>a</w:t>
      </w:r>
      <w:r>
        <w:rPr>
          <w:spacing w:val="-4"/>
        </w:rPr>
        <w:t> </w:t>
      </w:r>
      <w:r>
        <w:rPr/>
        <w:t>day for 3 days a week, will increase the mineral content of bone in older women.</w:t>
      </w:r>
      <w:r>
        <w:rPr>
          <w:vertAlign w:val="superscript"/>
        </w:rPr>
        <w:t>351</w:t>
      </w:r>
      <w:r>
        <w:rPr>
          <w:vertAlign w:val="baseline"/>
        </w:rPr>
        <w:t> To be effective, exercise must exert a load on bone, especially the spine.</w:t>
      </w:r>
      <w:r>
        <w:rPr>
          <w:vertAlign w:val="superscript"/>
        </w:rPr>
        <w:t>352</w:t>
      </w:r>
      <w:r>
        <w:rPr>
          <w:vertAlign w:val="baseline"/>
        </w:rPr>
        <w:t> Ordinary walking, while beneficial for balance and for overall health, alone will not suffice for improving bone density.</w:t>
      </w:r>
      <w:r>
        <w:rPr>
          <w:vertAlign w:val="superscript"/>
        </w:rPr>
        <w:t>353</w:t>
      </w:r>
      <w:r>
        <w:rPr>
          <w:vertAlign w:val="baseline"/>
        </w:rPr>
        <w:t> Even brisk walking achieves a significant increase in bone density only in the calcaneus, the site subjected to stress with walking.</w:t>
      </w:r>
      <w:r>
        <w:rPr>
          <w:vertAlign w:val="superscript"/>
        </w:rPr>
        <w:t>354</w:t>
      </w:r>
      <w:r>
        <w:rPr>
          <w:vertAlign w:val="baseline"/>
        </w:rPr>
        <w:t> However, brisk walking may slow the rate of bone loss in the hip.</w:t>
      </w:r>
      <w:r>
        <w:rPr>
          <w:vertAlign w:val="superscript"/>
        </w:rPr>
        <w:t>355</w:t>
      </w:r>
      <w:r>
        <w:rPr>
          <w:vertAlign w:val="baseline"/>
        </w:rPr>
        <w:t> In other words, weight lifting is better for the spine than is ordinary walking, although running probably helps hip bone mass. The activities that are beneficial are running, weight training, aerobics, stair climbing, and sports other than swimming. The effect of weight-bearing exercise on bone density is additive when combined with hormone therapy.</w:t>
      </w:r>
      <w:r>
        <w:rPr>
          <w:vertAlign w:val="superscript"/>
        </w:rPr>
        <w:t>356</w:t>
      </w:r>
      <w:r>
        <w:rPr>
          <w:vertAlign w:val="baseline"/>
        </w:rPr>
        <w:t> Although ordinary walking has little impact on bone density, it is still reasonable to expect walking to have an overall beneficial effect on the risk of fracture. Walking improves the cardiovascular status of patients and reduces body mass. These changes</w:t>
      </w:r>
      <w:r>
        <w:rPr>
          <w:spacing w:val="40"/>
          <w:vertAlign w:val="baseline"/>
        </w:rPr>
        <w:t> </w:t>
      </w:r>
      <w:r>
        <w:rPr>
          <w:vertAlign w:val="baseline"/>
        </w:rPr>
        <w:t>plus the exercise itself improve balance and decrease the risk of falling. For these reasons, walking, even after adjusting for bone density and body weight, is associated with a reduced risk of hip fracture.</w:t>
      </w:r>
      <w:r>
        <w:rPr>
          <w:vertAlign w:val="superscript"/>
        </w:rPr>
        <w:t>94,357</w:t>
      </w:r>
    </w:p>
    <w:p>
      <w:pPr>
        <w:pStyle w:val="BodyText"/>
        <w:spacing w:line="249" w:lineRule="auto" w:before="24"/>
        <w:ind w:right="101" w:firstLine="450"/>
      </w:pPr>
      <w:r>
        <w:rPr/>
        <w:t>The impact of exercise on bone is significantly less than that </w:t>
      </w:r>
      <w:r>
        <w:rPr/>
        <w:t>achieved by hormone therapy.</w:t>
      </w:r>
      <w:r>
        <w:rPr>
          <w:vertAlign w:val="superscript"/>
        </w:rPr>
        <w:t>188</w:t>
      </w:r>
      <w:r>
        <w:rPr>
          <w:vertAlign w:val="baseline"/>
        </w:rPr>
        <w:t> Women require the full combination of pharmacologic therapy, calcium and vitamin D supplementation, and exercise in order to minimize the risk of fractures. For each of these, the beneficial impact lasts only as long as the therapy is continued.</w:t>
      </w:r>
    </w:p>
    <w:p>
      <w:pPr>
        <w:spacing w:line="249" w:lineRule="auto" w:before="6"/>
        <w:ind w:left="99" w:right="101" w:firstLine="450"/>
        <w:jc w:val="both"/>
        <w:rPr>
          <w:sz w:val="30"/>
        </w:rPr>
      </w:pPr>
      <w:r>
        <w:rPr>
          <w:b/>
          <w:sz w:val="30"/>
        </w:rPr>
        <w:t>Cigarette smoking and excessive alcohol consumption are</w:t>
      </w:r>
      <w:r>
        <w:rPr>
          <w:b/>
          <w:spacing w:val="40"/>
          <w:sz w:val="30"/>
        </w:rPr>
        <w:t> </w:t>
      </w:r>
      <w:r>
        <w:rPr>
          <w:b/>
          <w:sz w:val="30"/>
        </w:rPr>
        <w:t>associated with an increased risk of osteoporosis. </w:t>
      </w:r>
      <w:r>
        <w:rPr>
          <w:sz w:val="30"/>
        </w:rPr>
        <w:t>The magnitude of </w:t>
      </w:r>
      <w:r>
        <w:rPr>
          <w:sz w:val="30"/>
        </w:rPr>
        <w:t>bone loss associated with cigarette smoking is consistent with a 40% to 45% increase in the risk of hip fracture.</w:t>
      </w:r>
      <w:r>
        <w:rPr>
          <w:sz w:val="30"/>
          <w:vertAlign w:val="superscript"/>
        </w:rPr>
        <w:t>358</w:t>
      </w:r>
      <w:r>
        <w:rPr>
          <w:sz w:val="30"/>
          <w:vertAlign w:val="baseline"/>
        </w:rPr>
        <w:t> Women who smoke also enter menopause earlier and lose bone at a greater rate in the first years of the postmenopausal period.</w:t>
      </w:r>
      <w:r>
        <w:rPr>
          <w:sz w:val="30"/>
          <w:vertAlign w:val="superscript"/>
        </w:rPr>
        <w:t>359</w:t>
      </w:r>
    </w:p>
    <w:p>
      <w:pPr>
        <w:pStyle w:val="BodyText"/>
        <w:spacing w:line="249" w:lineRule="auto" w:before="8"/>
        <w:ind w:right="98" w:firstLine="450"/>
      </w:pPr>
      <w:r>
        <w:rPr/>
        <w:t>A high coffee intake has been reported to be associated with </w:t>
      </w:r>
      <w:r>
        <w:rPr/>
        <w:t>an increased</w:t>
      </w:r>
      <w:r>
        <w:rPr>
          <w:spacing w:val="-7"/>
        </w:rPr>
        <w:t> </w:t>
      </w:r>
      <w:r>
        <w:rPr/>
        <w:t>risk</w:t>
      </w:r>
      <w:r>
        <w:rPr>
          <w:spacing w:val="-7"/>
        </w:rPr>
        <w:t> </w:t>
      </w:r>
      <w:r>
        <w:rPr/>
        <w:t>of</w:t>
      </w:r>
      <w:r>
        <w:rPr>
          <w:spacing w:val="-7"/>
        </w:rPr>
        <w:t> </w:t>
      </w:r>
      <w:r>
        <w:rPr/>
        <w:t>osteoporosis.</w:t>
      </w:r>
      <w:r>
        <w:rPr>
          <w:vertAlign w:val="superscript"/>
        </w:rPr>
        <w:t>360</w:t>
      </w:r>
      <w:r>
        <w:rPr>
          <w:spacing w:val="-2"/>
          <w:vertAlign w:val="baseline"/>
        </w:rPr>
        <w:t> </w:t>
      </w:r>
      <w:r>
        <w:rPr>
          <w:vertAlign w:val="baseline"/>
        </w:rPr>
        <w:t>However,</w:t>
      </w:r>
      <w:r>
        <w:rPr>
          <w:spacing w:val="-2"/>
          <w:vertAlign w:val="baseline"/>
        </w:rPr>
        <w:t> </w:t>
      </w:r>
      <w:r>
        <w:rPr>
          <w:vertAlign w:val="baseline"/>
        </w:rPr>
        <w:t>this</w:t>
      </w:r>
      <w:r>
        <w:rPr>
          <w:spacing w:val="-2"/>
          <w:vertAlign w:val="baseline"/>
        </w:rPr>
        <w:t> </w:t>
      </w:r>
      <w:r>
        <w:rPr>
          <w:vertAlign w:val="baseline"/>
        </w:rPr>
        <w:t>increase</w:t>
      </w:r>
      <w:r>
        <w:rPr>
          <w:spacing w:val="-2"/>
          <w:vertAlign w:val="baseline"/>
        </w:rPr>
        <w:t> </w:t>
      </w:r>
      <w:r>
        <w:rPr>
          <w:vertAlign w:val="baseline"/>
        </w:rPr>
        <w:t>in</w:t>
      </w:r>
      <w:r>
        <w:rPr>
          <w:spacing w:val="-2"/>
          <w:vertAlign w:val="baseline"/>
        </w:rPr>
        <w:t> </w:t>
      </w:r>
      <w:r>
        <w:rPr>
          <w:vertAlign w:val="baseline"/>
        </w:rPr>
        <w:t>risk</w:t>
      </w:r>
      <w:r>
        <w:rPr>
          <w:spacing w:val="-2"/>
          <w:vertAlign w:val="baseline"/>
        </w:rPr>
        <w:t> </w:t>
      </w:r>
      <w:r>
        <w:rPr>
          <w:vertAlign w:val="baseline"/>
        </w:rPr>
        <w:t>is</w:t>
      </w:r>
      <w:r>
        <w:rPr>
          <w:spacing w:val="-2"/>
          <w:vertAlign w:val="baseline"/>
        </w:rPr>
        <w:t> </w:t>
      </w:r>
      <w:r>
        <w:rPr>
          <w:vertAlign w:val="baseline"/>
        </w:rPr>
        <w:t>dependent on dietary calcium intake. In women who drank at least one glass of milk (300 mg calcium) per day throughout most of their lives, increasing caffeinated</w:t>
      </w:r>
      <w:r>
        <w:rPr>
          <w:spacing w:val="38"/>
          <w:vertAlign w:val="baseline"/>
        </w:rPr>
        <w:t> </w:t>
      </w:r>
      <w:r>
        <w:rPr>
          <w:vertAlign w:val="baseline"/>
        </w:rPr>
        <w:t>coffee</w:t>
      </w:r>
      <w:r>
        <w:rPr>
          <w:spacing w:val="39"/>
          <w:vertAlign w:val="baseline"/>
        </w:rPr>
        <w:t> </w:t>
      </w:r>
      <w:r>
        <w:rPr>
          <w:vertAlign w:val="baseline"/>
        </w:rPr>
        <w:t>intake</w:t>
      </w:r>
      <w:r>
        <w:rPr>
          <w:spacing w:val="39"/>
          <w:vertAlign w:val="baseline"/>
        </w:rPr>
        <w:t> </w:t>
      </w:r>
      <w:r>
        <w:rPr>
          <w:vertAlign w:val="baseline"/>
        </w:rPr>
        <w:t>was</w:t>
      </w:r>
      <w:r>
        <w:rPr>
          <w:spacing w:val="39"/>
          <w:vertAlign w:val="baseline"/>
        </w:rPr>
        <w:t> </w:t>
      </w:r>
      <w:r>
        <w:rPr>
          <w:vertAlign w:val="baseline"/>
        </w:rPr>
        <w:t>not</w:t>
      </w:r>
      <w:r>
        <w:rPr>
          <w:spacing w:val="39"/>
          <w:vertAlign w:val="baseline"/>
        </w:rPr>
        <w:t> </w:t>
      </w:r>
      <w:r>
        <w:rPr>
          <w:vertAlign w:val="baseline"/>
        </w:rPr>
        <w:t>associated</w:t>
      </w:r>
      <w:r>
        <w:rPr>
          <w:spacing w:val="38"/>
          <w:vertAlign w:val="baseline"/>
        </w:rPr>
        <w:t> </w:t>
      </w:r>
      <w:r>
        <w:rPr>
          <w:vertAlign w:val="baseline"/>
        </w:rPr>
        <w:t>with</w:t>
      </w:r>
      <w:r>
        <w:rPr>
          <w:spacing w:val="39"/>
          <w:vertAlign w:val="baseline"/>
        </w:rPr>
        <w:t> </w:t>
      </w:r>
      <w:r>
        <w:rPr>
          <w:vertAlign w:val="baseline"/>
        </w:rPr>
        <w:t>a</w:t>
      </w:r>
      <w:r>
        <w:rPr>
          <w:spacing w:val="39"/>
          <w:vertAlign w:val="baseline"/>
        </w:rPr>
        <w:t> </w:t>
      </w:r>
      <w:r>
        <w:rPr>
          <w:vertAlign w:val="baseline"/>
        </w:rPr>
        <w:t>lower</w:t>
      </w:r>
      <w:r>
        <w:rPr>
          <w:spacing w:val="39"/>
          <w:vertAlign w:val="baseline"/>
        </w:rPr>
        <w:t> </w:t>
      </w:r>
      <w:r>
        <w:rPr>
          <w:vertAlign w:val="baseline"/>
        </w:rPr>
        <w:t>bone</w:t>
      </w:r>
      <w:r>
        <w:rPr>
          <w:spacing w:val="39"/>
          <w:vertAlign w:val="baseline"/>
        </w:rPr>
        <w:t> </w:t>
      </w:r>
      <w:r>
        <w:rPr>
          <w:spacing w:val="-5"/>
          <w:vertAlign w:val="baseline"/>
        </w:rPr>
        <w:t>density.</w:t>
      </w:r>
      <w:r>
        <w:rPr>
          <w:spacing w:val="-5"/>
          <w:vertAlign w:val="superscript"/>
        </w:rPr>
        <w:t>361</w:t>
      </w:r>
    </w:p>
    <w:p>
      <w:pPr>
        <w:pStyle w:val="BodyText"/>
        <w:spacing w:after="0" w:line="249" w:lineRule="auto"/>
        <w:sectPr>
          <w:pgSz w:w="12240" w:h="15840"/>
          <w:pgMar w:top="1380" w:bottom="280" w:left="1440" w:right="1440"/>
        </w:sectPr>
      </w:pPr>
    </w:p>
    <w:p>
      <w:pPr>
        <w:pStyle w:val="BodyText"/>
        <w:spacing w:line="249" w:lineRule="auto"/>
        <w:ind w:right="102"/>
      </w:pPr>
      <w:r>
        <w:rPr/>
        <w:t>Repeatedly, we see the importance of teaching children and adolescents </w:t>
      </w:r>
      <w:r>
        <w:rPr/>
        <w:t>the merits of an adequate calcium intake; drinking nonfat milk throughout life</w:t>
      </w:r>
      <w:r>
        <w:rPr>
          <w:spacing w:val="40"/>
        </w:rPr>
        <w:t> </w:t>
      </w:r>
      <w:r>
        <w:rPr/>
        <w:t>is good for you. An adequate calcium intake compensates for “calcium robbers,”</w:t>
      </w:r>
      <w:r>
        <w:rPr>
          <w:spacing w:val="-2"/>
        </w:rPr>
        <w:t> </w:t>
      </w:r>
      <w:r>
        <w:rPr/>
        <w:t>such</w:t>
      </w:r>
      <w:r>
        <w:rPr>
          <w:spacing w:val="-2"/>
        </w:rPr>
        <w:t> </w:t>
      </w:r>
      <w:r>
        <w:rPr/>
        <w:t>as</w:t>
      </w:r>
      <w:r>
        <w:rPr>
          <w:spacing w:val="-2"/>
        </w:rPr>
        <w:t> </w:t>
      </w:r>
      <w:r>
        <w:rPr/>
        <w:t>caffeine</w:t>
      </w:r>
      <w:r>
        <w:rPr>
          <w:spacing w:val="-2"/>
        </w:rPr>
        <w:t> </w:t>
      </w:r>
      <w:r>
        <w:rPr/>
        <w:t>and</w:t>
      </w:r>
      <w:r>
        <w:rPr>
          <w:spacing w:val="-2"/>
        </w:rPr>
        <w:t> </w:t>
      </w:r>
      <w:r>
        <w:rPr/>
        <w:t>soft</w:t>
      </w:r>
      <w:r>
        <w:rPr>
          <w:spacing w:val="-2"/>
        </w:rPr>
        <w:t> </w:t>
      </w:r>
      <w:r>
        <w:rPr/>
        <w:t>drinks.</w:t>
      </w:r>
      <w:r>
        <w:rPr>
          <w:spacing w:val="-2"/>
        </w:rPr>
        <w:t> </w:t>
      </w:r>
      <w:r>
        <w:rPr/>
        <w:t>A</w:t>
      </w:r>
      <w:r>
        <w:rPr>
          <w:spacing w:val="-1"/>
        </w:rPr>
        <w:t> </w:t>
      </w:r>
      <w:r>
        <w:rPr/>
        <w:t>British</w:t>
      </w:r>
      <w:r>
        <w:rPr>
          <w:spacing w:val="-1"/>
        </w:rPr>
        <w:t> </w:t>
      </w:r>
      <w:r>
        <w:rPr/>
        <w:t>study</w:t>
      </w:r>
      <w:r>
        <w:rPr>
          <w:spacing w:val="-1"/>
        </w:rPr>
        <w:t> </w:t>
      </w:r>
      <w:r>
        <w:rPr/>
        <w:t>concluded</w:t>
      </w:r>
      <w:r>
        <w:rPr>
          <w:spacing w:val="-1"/>
        </w:rPr>
        <w:t> </w:t>
      </w:r>
      <w:r>
        <w:rPr/>
        <w:t>that</w:t>
      </w:r>
      <w:r>
        <w:rPr>
          <w:spacing w:val="-1"/>
        </w:rPr>
        <w:t> </w:t>
      </w:r>
      <w:r>
        <w:rPr/>
        <w:t>an increase of only 300 mL/d of milk in adolescents increased bone density without an increase in weight or body fat.</w:t>
      </w:r>
      <w:r>
        <w:rPr>
          <w:vertAlign w:val="superscript"/>
        </w:rPr>
        <w:t>194</w:t>
      </w:r>
    </w:p>
    <w:p>
      <w:pPr>
        <w:spacing w:line="249" w:lineRule="auto" w:before="7"/>
        <w:ind w:left="99" w:right="104" w:firstLine="450"/>
        <w:jc w:val="both"/>
        <w:rPr>
          <w:sz w:val="30"/>
        </w:rPr>
      </w:pPr>
      <w:r>
        <w:rPr>
          <w:b/>
          <w:sz w:val="30"/>
        </w:rPr>
        <w:t>Remember</w:t>
      </w:r>
      <w:r>
        <w:rPr>
          <w:b/>
          <w:spacing w:val="-2"/>
          <w:sz w:val="30"/>
        </w:rPr>
        <w:t> </w:t>
      </w:r>
      <w:r>
        <w:rPr>
          <w:b/>
          <w:sz w:val="30"/>
        </w:rPr>
        <w:t>that</w:t>
      </w:r>
      <w:r>
        <w:rPr>
          <w:b/>
          <w:spacing w:val="-2"/>
          <w:sz w:val="30"/>
        </w:rPr>
        <w:t> </w:t>
      </w:r>
      <w:r>
        <w:rPr>
          <w:b/>
          <w:sz w:val="30"/>
        </w:rPr>
        <w:t>not</w:t>
      </w:r>
      <w:r>
        <w:rPr>
          <w:b/>
          <w:spacing w:val="-2"/>
          <w:sz w:val="30"/>
        </w:rPr>
        <w:t> </w:t>
      </w:r>
      <w:r>
        <w:rPr>
          <w:b/>
          <w:sz w:val="30"/>
        </w:rPr>
        <w:t>all</w:t>
      </w:r>
      <w:r>
        <w:rPr>
          <w:b/>
          <w:spacing w:val="-2"/>
          <w:sz w:val="30"/>
        </w:rPr>
        <w:t> </w:t>
      </w:r>
      <w:r>
        <w:rPr>
          <w:b/>
          <w:sz w:val="30"/>
        </w:rPr>
        <w:t>fractures</w:t>
      </w:r>
      <w:r>
        <w:rPr>
          <w:b/>
          <w:spacing w:val="-2"/>
          <w:sz w:val="30"/>
        </w:rPr>
        <w:t> </w:t>
      </w:r>
      <w:r>
        <w:rPr>
          <w:b/>
          <w:sz w:val="30"/>
        </w:rPr>
        <w:t>are</w:t>
      </w:r>
      <w:r>
        <w:rPr>
          <w:b/>
          <w:spacing w:val="-2"/>
          <w:sz w:val="30"/>
        </w:rPr>
        <w:t> </w:t>
      </w:r>
      <w:r>
        <w:rPr>
          <w:b/>
          <w:sz w:val="30"/>
        </w:rPr>
        <w:t>solely</w:t>
      </w:r>
      <w:r>
        <w:rPr>
          <w:b/>
          <w:spacing w:val="-2"/>
          <w:sz w:val="30"/>
        </w:rPr>
        <w:t> </w:t>
      </w:r>
      <w:r>
        <w:rPr>
          <w:b/>
          <w:sz w:val="30"/>
        </w:rPr>
        <w:t>due</w:t>
      </w:r>
      <w:r>
        <w:rPr>
          <w:b/>
          <w:spacing w:val="-2"/>
          <w:sz w:val="30"/>
        </w:rPr>
        <w:t> </w:t>
      </w:r>
      <w:r>
        <w:rPr>
          <w:b/>
          <w:sz w:val="30"/>
        </w:rPr>
        <w:t>to</w:t>
      </w:r>
      <w:r>
        <w:rPr>
          <w:b/>
          <w:spacing w:val="-2"/>
          <w:sz w:val="30"/>
        </w:rPr>
        <w:t> </w:t>
      </w:r>
      <w:r>
        <w:rPr>
          <w:b/>
          <w:sz w:val="30"/>
        </w:rPr>
        <w:t>osteoporosis.</w:t>
      </w:r>
      <w:r>
        <w:rPr>
          <w:b/>
          <w:spacing w:val="-6"/>
          <w:sz w:val="30"/>
        </w:rPr>
        <w:t> </w:t>
      </w:r>
      <w:r>
        <w:rPr>
          <w:sz w:val="30"/>
        </w:rPr>
        <w:t>Drug side effects, impaired vision, neurologic dysfunction, and muscular conditions all put patients at risk because more than 90% of fractures occur following a fall</w:t>
      </w:r>
      <w:r>
        <w:rPr>
          <w:sz w:val="30"/>
          <w:vertAlign w:val="superscript"/>
        </w:rPr>
        <w:t>38</w:t>
      </w:r>
      <w:r>
        <w:rPr>
          <w:sz w:val="30"/>
          <w:vertAlign w:val="baseline"/>
        </w:rPr>
        <w:t> (</w:t>
      </w:r>
      <w:r>
        <w:rPr>
          <w:b/>
          <w:color w:val="256E60"/>
          <w:sz w:val="30"/>
          <w:vertAlign w:val="baseline"/>
        </w:rPr>
        <w:t>Figure 23.13</w:t>
      </w:r>
      <w:r>
        <w:rPr>
          <w:sz w:val="30"/>
          <w:vertAlign w:val="baseline"/>
        </w:rPr>
        <w:t>).</w:t>
      </w:r>
    </w:p>
    <w:p>
      <w:pPr>
        <w:pStyle w:val="BodyText"/>
        <w:spacing w:line="249" w:lineRule="auto" w:before="5"/>
        <w:ind w:right="98" w:firstLine="450"/>
      </w:pPr>
      <w:r>
        <w:rPr/>
        <w:t>Interventions that reduce the odds of falling and enhance the ability to withstand the impact of a fall are important.</w:t>
      </w:r>
      <w:r>
        <w:rPr>
          <w:vertAlign w:val="superscript"/>
        </w:rPr>
        <w:t>362</w:t>
      </w:r>
      <w:r>
        <w:rPr>
          <w:vertAlign w:val="baseline"/>
        </w:rPr>
        <w:t> This includes </w:t>
      </w:r>
      <w:r>
        <w:rPr>
          <w:vertAlign w:val="baseline"/>
        </w:rPr>
        <w:t>patient education regarding hazards in the home, monitoring drug use, adequate nutrition, and a good exercise program. In addition, there is evidence that estrogen with or without added progestin improves muscle strength and balance.</w:t>
      </w:r>
      <w:r>
        <w:rPr>
          <w:vertAlign w:val="superscript"/>
        </w:rPr>
        <w:t>363-368</w:t>
      </w:r>
      <w:r>
        <w:rPr>
          <w:vertAlign w:val="baseline"/>
        </w:rPr>
        <w:t> On the other hand, some studies have not been able to document</w:t>
      </w:r>
      <w:r>
        <w:rPr>
          <w:spacing w:val="13"/>
          <w:vertAlign w:val="baseline"/>
        </w:rPr>
        <w:t> </w:t>
      </w:r>
      <w:r>
        <w:rPr>
          <w:vertAlign w:val="baseline"/>
        </w:rPr>
        <w:t>an</w:t>
      </w:r>
      <w:r>
        <w:rPr>
          <w:spacing w:val="15"/>
          <w:vertAlign w:val="baseline"/>
        </w:rPr>
        <w:t> </w:t>
      </w:r>
      <w:r>
        <w:rPr>
          <w:vertAlign w:val="baseline"/>
        </w:rPr>
        <w:t>increase</w:t>
      </w:r>
      <w:r>
        <w:rPr>
          <w:spacing w:val="15"/>
          <w:vertAlign w:val="baseline"/>
        </w:rPr>
        <w:t> </w:t>
      </w:r>
      <w:r>
        <w:rPr>
          <w:vertAlign w:val="baseline"/>
        </w:rPr>
        <w:t>in</w:t>
      </w:r>
      <w:r>
        <w:rPr>
          <w:spacing w:val="15"/>
          <w:vertAlign w:val="baseline"/>
        </w:rPr>
        <w:t> </w:t>
      </w:r>
      <w:r>
        <w:rPr>
          <w:vertAlign w:val="baseline"/>
        </w:rPr>
        <w:t>muscle</w:t>
      </w:r>
      <w:r>
        <w:rPr>
          <w:spacing w:val="15"/>
          <w:vertAlign w:val="baseline"/>
        </w:rPr>
        <w:t> </w:t>
      </w:r>
      <w:r>
        <w:rPr>
          <w:vertAlign w:val="baseline"/>
        </w:rPr>
        <w:t>strength</w:t>
      </w:r>
      <w:r>
        <w:rPr>
          <w:spacing w:val="15"/>
          <w:vertAlign w:val="baseline"/>
        </w:rPr>
        <w:t> </w:t>
      </w:r>
      <w:r>
        <w:rPr>
          <w:vertAlign w:val="baseline"/>
        </w:rPr>
        <w:t>or</w:t>
      </w:r>
      <w:r>
        <w:rPr>
          <w:spacing w:val="15"/>
          <w:vertAlign w:val="baseline"/>
        </w:rPr>
        <w:t> </w:t>
      </w:r>
      <w:r>
        <w:rPr>
          <w:vertAlign w:val="baseline"/>
        </w:rPr>
        <w:t>improvements</w:t>
      </w:r>
      <w:r>
        <w:rPr>
          <w:spacing w:val="15"/>
          <w:vertAlign w:val="baseline"/>
        </w:rPr>
        <w:t> </w:t>
      </w:r>
      <w:r>
        <w:rPr>
          <w:vertAlign w:val="baseline"/>
        </w:rPr>
        <w:t>in</w:t>
      </w:r>
      <w:r>
        <w:rPr>
          <w:spacing w:val="15"/>
          <w:vertAlign w:val="baseline"/>
        </w:rPr>
        <w:t> </w:t>
      </w:r>
      <w:r>
        <w:rPr>
          <w:spacing w:val="-2"/>
          <w:vertAlign w:val="baseline"/>
        </w:rPr>
        <w:t>balance.</w:t>
      </w:r>
      <w:r>
        <w:rPr>
          <w:spacing w:val="-2"/>
          <w:vertAlign w:val="superscript"/>
        </w:rPr>
        <w:t>356,369-</w:t>
      </w:r>
    </w:p>
    <w:p>
      <w:pPr>
        <w:pStyle w:val="BodyText"/>
        <w:spacing w:line="249" w:lineRule="auto" w:before="9"/>
        <w:ind w:right="100"/>
      </w:pPr>
      <w:r>
        <w:rPr>
          <w:vertAlign w:val="superscript"/>
        </w:rPr>
        <w:t>372</w:t>
      </w:r>
      <w:r>
        <w:rPr>
          <w:vertAlign w:val="baseline"/>
        </w:rPr>
        <w:t> Furthermore, the increase in muscle mass and strength in response </w:t>
      </w:r>
      <w:r>
        <w:rPr>
          <w:vertAlign w:val="baseline"/>
        </w:rPr>
        <w:t>to weight-bearing exercise was the same when hormone users were compared with nonusers.</w:t>
      </w:r>
      <w:r>
        <w:rPr>
          <w:vertAlign w:val="superscript"/>
        </w:rPr>
        <w:t>373</w:t>
      </w:r>
      <w:r>
        <w:rPr>
          <w:vertAlign w:val="baseline"/>
        </w:rPr>
        <w:t> Nevertheless, a cohort study reported 71% fewer falls in early postmenopausal hormone users and 43% in late postmenopausal hormone users.</w:t>
      </w:r>
      <w:r>
        <w:rPr>
          <w:vertAlign w:val="superscript"/>
        </w:rPr>
        <w:t>374</w:t>
      </w:r>
      <w:r>
        <w:rPr>
          <w:vertAlign w:val="baseline"/>
        </w:rPr>
        <w:t> Use of hip guards has been shown to reduce the risk of hip fractures in institutionalized older adult, but not in ambulant </w:t>
      </w:r>
      <w:r>
        <w:rPr>
          <w:spacing w:val="-2"/>
          <w:vertAlign w:val="baseline"/>
        </w:rPr>
        <w:t>populations.</w:t>
      </w:r>
      <w:r>
        <w:rPr>
          <w:spacing w:val="-2"/>
          <w:vertAlign w:val="superscript"/>
        </w:rPr>
        <w:t>375</w:t>
      </w:r>
    </w:p>
    <w:p>
      <w:pPr>
        <w:pStyle w:val="BodyText"/>
        <w:spacing w:after="0" w:line="249" w:lineRule="auto"/>
        <w:sectPr>
          <w:pgSz w:w="12240" w:h="15840"/>
          <w:pgMar w:top="1380" w:bottom="280" w:left="1440" w:right="1440"/>
        </w:sectPr>
      </w:pPr>
    </w:p>
    <w:p>
      <w:pPr>
        <w:spacing w:line="240" w:lineRule="auto"/>
        <w:ind w:left="105" w:right="0" w:firstLine="0"/>
        <w:rPr>
          <w:sz w:val="20"/>
        </w:rPr>
      </w:pPr>
      <w:r>
        <w:rPr>
          <w:sz w:val="20"/>
        </w:rPr>
        <w:drawing>
          <wp:inline distT="0" distB="0" distL="0" distR="0">
            <wp:extent cx="4124325" cy="2428875"/>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21" cstate="print"/>
                    <a:stretch>
                      <a:fillRect/>
                    </a:stretch>
                  </pic:blipFill>
                  <pic:spPr>
                    <a:xfrm>
                      <a:off x="0" y="0"/>
                      <a:ext cx="4124325" cy="2428875"/>
                    </a:xfrm>
                    <a:prstGeom prst="rect">
                      <a:avLst/>
                    </a:prstGeom>
                  </pic:spPr>
                </pic:pic>
              </a:graphicData>
            </a:graphic>
          </wp:inline>
        </w:drawing>
      </w:r>
      <w:r>
        <w:rPr>
          <w:sz w:val="20"/>
        </w:rPr>
      </w:r>
    </w:p>
    <w:p>
      <w:pPr>
        <w:pStyle w:val="BodyText"/>
        <w:spacing w:before="46"/>
        <w:ind w:left="0"/>
        <w:jc w:val="left"/>
        <w:rPr>
          <w:sz w:val="20"/>
        </w:rPr>
      </w:pPr>
      <w:r>
        <w:rPr>
          <w:sz w:val="20"/>
        </w:rPr>
        <mc:AlternateContent>
          <mc:Choice Requires="wps">
            <w:drawing>
              <wp:anchor distT="0" distB="0" distL="0" distR="0" allowOverlap="1" layoutInCell="1" locked="0" behindDoc="1" simplePos="0" relativeHeight="487615488">
                <wp:simplePos x="0" y="0"/>
                <wp:positionH relativeFrom="page">
                  <wp:posOffset>981075</wp:posOffset>
                </wp:positionH>
                <wp:positionV relativeFrom="paragraph">
                  <wp:posOffset>190500</wp:posOffset>
                </wp:positionV>
                <wp:extent cx="932815" cy="57150"/>
                <wp:effectExtent l="0" t="0" r="0" b="0"/>
                <wp:wrapTopAndBottom/>
                <wp:docPr id="113" name="Graphic 113"/>
                <wp:cNvGraphicFramePr>
                  <a:graphicFrameLocks/>
                </wp:cNvGraphicFramePr>
                <a:graphic>
                  <a:graphicData uri="http://schemas.microsoft.com/office/word/2010/wordprocessingShape">
                    <wps:wsp>
                      <wps:cNvPr id="113" name="Graphic 113"/>
                      <wps:cNvSpPr/>
                      <wps:spPr>
                        <a:xfrm>
                          <a:off x="0" y="0"/>
                          <a:ext cx="932815" cy="57150"/>
                        </a:xfrm>
                        <a:custGeom>
                          <a:avLst/>
                          <a:gdLst/>
                          <a:ahLst/>
                          <a:cxnLst/>
                          <a:rect l="l" t="t" r="r" b="b"/>
                          <a:pathLst>
                            <a:path w="932815" h="57150">
                              <a:moveTo>
                                <a:pt x="32364" y="57111"/>
                              </a:moveTo>
                              <a:lnTo>
                                <a:pt x="24785" y="57111"/>
                              </a:lnTo>
                              <a:lnTo>
                                <a:pt x="21048" y="56368"/>
                              </a:lnTo>
                              <a:lnTo>
                                <a:pt x="0" y="32337"/>
                              </a:lnTo>
                              <a:lnTo>
                                <a:pt x="0" y="24745"/>
                              </a:lnTo>
                              <a:lnTo>
                                <a:pt x="740" y="21059"/>
                              </a:lnTo>
                              <a:lnTo>
                                <a:pt x="3625" y="14030"/>
                              </a:lnTo>
                              <a:lnTo>
                                <a:pt x="5689" y="10934"/>
                              </a:lnTo>
                              <a:lnTo>
                                <a:pt x="8369" y="8296"/>
                              </a:lnTo>
                              <a:lnTo>
                                <a:pt x="11048" y="5619"/>
                              </a:lnTo>
                              <a:lnTo>
                                <a:pt x="14138" y="3571"/>
                              </a:lnTo>
                              <a:lnTo>
                                <a:pt x="21140" y="704"/>
                              </a:lnTo>
                              <a:lnTo>
                                <a:pt x="24785" y="0"/>
                              </a:lnTo>
                              <a:lnTo>
                                <a:pt x="32364" y="0"/>
                              </a:lnTo>
                              <a:lnTo>
                                <a:pt x="36009" y="704"/>
                              </a:lnTo>
                              <a:lnTo>
                                <a:pt x="43010" y="3571"/>
                              </a:lnTo>
                              <a:lnTo>
                                <a:pt x="46101" y="5619"/>
                              </a:lnTo>
                              <a:lnTo>
                                <a:pt x="48780" y="8296"/>
                              </a:lnTo>
                              <a:lnTo>
                                <a:pt x="51459" y="10934"/>
                              </a:lnTo>
                              <a:lnTo>
                                <a:pt x="53524" y="14030"/>
                              </a:lnTo>
                              <a:lnTo>
                                <a:pt x="56424" y="21059"/>
                              </a:lnTo>
                              <a:lnTo>
                                <a:pt x="57149" y="24745"/>
                              </a:lnTo>
                              <a:lnTo>
                                <a:pt x="57149" y="32337"/>
                              </a:lnTo>
                              <a:lnTo>
                                <a:pt x="36009" y="56368"/>
                              </a:lnTo>
                              <a:lnTo>
                                <a:pt x="32364" y="57111"/>
                              </a:lnTo>
                              <a:close/>
                            </a:path>
                            <a:path w="932815" h="57150">
                              <a:moveTo>
                                <a:pt x="141806" y="57111"/>
                              </a:moveTo>
                              <a:lnTo>
                                <a:pt x="134227" y="57111"/>
                              </a:lnTo>
                              <a:lnTo>
                                <a:pt x="130490" y="56368"/>
                              </a:lnTo>
                              <a:lnTo>
                                <a:pt x="109442" y="32337"/>
                              </a:lnTo>
                              <a:lnTo>
                                <a:pt x="109442" y="24745"/>
                              </a:lnTo>
                              <a:lnTo>
                                <a:pt x="110182" y="21059"/>
                              </a:lnTo>
                              <a:lnTo>
                                <a:pt x="113067" y="14030"/>
                              </a:lnTo>
                              <a:lnTo>
                                <a:pt x="115132" y="10934"/>
                              </a:lnTo>
                              <a:lnTo>
                                <a:pt x="117811" y="8296"/>
                              </a:lnTo>
                              <a:lnTo>
                                <a:pt x="120491" y="5619"/>
                              </a:lnTo>
                              <a:lnTo>
                                <a:pt x="123581" y="3571"/>
                              </a:lnTo>
                              <a:lnTo>
                                <a:pt x="130582" y="704"/>
                              </a:lnTo>
                              <a:lnTo>
                                <a:pt x="134227" y="0"/>
                              </a:lnTo>
                              <a:lnTo>
                                <a:pt x="141806" y="0"/>
                              </a:lnTo>
                              <a:lnTo>
                                <a:pt x="145451" y="704"/>
                              </a:lnTo>
                              <a:lnTo>
                                <a:pt x="152453" y="3571"/>
                              </a:lnTo>
                              <a:lnTo>
                                <a:pt x="155543" y="5619"/>
                              </a:lnTo>
                              <a:lnTo>
                                <a:pt x="158222" y="8296"/>
                              </a:lnTo>
                              <a:lnTo>
                                <a:pt x="160902" y="10934"/>
                              </a:lnTo>
                              <a:lnTo>
                                <a:pt x="162966" y="14030"/>
                              </a:lnTo>
                              <a:lnTo>
                                <a:pt x="165867" y="21059"/>
                              </a:lnTo>
                              <a:lnTo>
                                <a:pt x="166592" y="24745"/>
                              </a:lnTo>
                              <a:lnTo>
                                <a:pt x="166592" y="32337"/>
                              </a:lnTo>
                              <a:lnTo>
                                <a:pt x="145451" y="56368"/>
                              </a:lnTo>
                              <a:lnTo>
                                <a:pt x="141806" y="57111"/>
                              </a:lnTo>
                              <a:close/>
                            </a:path>
                            <a:path w="932815" h="57150">
                              <a:moveTo>
                                <a:pt x="251248" y="57111"/>
                              </a:moveTo>
                              <a:lnTo>
                                <a:pt x="243670" y="57111"/>
                              </a:lnTo>
                              <a:lnTo>
                                <a:pt x="239933" y="56368"/>
                              </a:lnTo>
                              <a:lnTo>
                                <a:pt x="218884" y="32337"/>
                              </a:lnTo>
                              <a:lnTo>
                                <a:pt x="218884" y="24745"/>
                              </a:lnTo>
                              <a:lnTo>
                                <a:pt x="219625" y="21059"/>
                              </a:lnTo>
                              <a:lnTo>
                                <a:pt x="222509" y="14030"/>
                              </a:lnTo>
                              <a:lnTo>
                                <a:pt x="224574" y="10934"/>
                              </a:lnTo>
                              <a:lnTo>
                                <a:pt x="227253" y="8296"/>
                              </a:lnTo>
                              <a:lnTo>
                                <a:pt x="229933" y="5619"/>
                              </a:lnTo>
                              <a:lnTo>
                                <a:pt x="233023" y="3571"/>
                              </a:lnTo>
                              <a:lnTo>
                                <a:pt x="240025" y="704"/>
                              </a:lnTo>
                              <a:lnTo>
                                <a:pt x="243670" y="0"/>
                              </a:lnTo>
                              <a:lnTo>
                                <a:pt x="251248" y="0"/>
                              </a:lnTo>
                              <a:lnTo>
                                <a:pt x="254893" y="704"/>
                              </a:lnTo>
                              <a:lnTo>
                                <a:pt x="261895" y="3571"/>
                              </a:lnTo>
                              <a:lnTo>
                                <a:pt x="264985" y="5619"/>
                              </a:lnTo>
                              <a:lnTo>
                                <a:pt x="267665" y="8296"/>
                              </a:lnTo>
                              <a:lnTo>
                                <a:pt x="270344" y="10934"/>
                              </a:lnTo>
                              <a:lnTo>
                                <a:pt x="272409" y="14030"/>
                              </a:lnTo>
                              <a:lnTo>
                                <a:pt x="275309" y="21059"/>
                              </a:lnTo>
                              <a:lnTo>
                                <a:pt x="276034" y="24745"/>
                              </a:lnTo>
                              <a:lnTo>
                                <a:pt x="276034" y="32337"/>
                              </a:lnTo>
                              <a:lnTo>
                                <a:pt x="254893" y="56368"/>
                              </a:lnTo>
                              <a:lnTo>
                                <a:pt x="251248" y="57111"/>
                              </a:lnTo>
                              <a:close/>
                            </a:path>
                            <a:path w="932815" h="57150">
                              <a:moveTo>
                                <a:pt x="360691" y="57111"/>
                              </a:moveTo>
                              <a:lnTo>
                                <a:pt x="353112" y="57111"/>
                              </a:lnTo>
                              <a:lnTo>
                                <a:pt x="349375" y="56368"/>
                              </a:lnTo>
                              <a:lnTo>
                                <a:pt x="328326" y="32337"/>
                              </a:lnTo>
                              <a:lnTo>
                                <a:pt x="328326" y="24745"/>
                              </a:lnTo>
                              <a:lnTo>
                                <a:pt x="329067" y="21059"/>
                              </a:lnTo>
                              <a:lnTo>
                                <a:pt x="331951" y="14030"/>
                              </a:lnTo>
                              <a:lnTo>
                                <a:pt x="334016" y="10934"/>
                              </a:lnTo>
                              <a:lnTo>
                                <a:pt x="336696" y="8296"/>
                              </a:lnTo>
                              <a:lnTo>
                                <a:pt x="339375" y="5619"/>
                              </a:lnTo>
                              <a:lnTo>
                                <a:pt x="342465" y="3571"/>
                              </a:lnTo>
                              <a:lnTo>
                                <a:pt x="349467" y="704"/>
                              </a:lnTo>
                              <a:lnTo>
                                <a:pt x="353112" y="0"/>
                              </a:lnTo>
                              <a:lnTo>
                                <a:pt x="360691" y="0"/>
                              </a:lnTo>
                              <a:lnTo>
                                <a:pt x="364336" y="704"/>
                              </a:lnTo>
                              <a:lnTo>
                                <a:pt x="371337" y="3571"/>
                              </a:lnTo>
                              <a:lnTo>
                                <a:pt x="374427" y="5619"/>
                              </a:lnTo>
                              <a:lnTo>
                                <a:pt x="377107" y="8296"/>
                              </a:lnTo>
                              <a:lnTo>
                                <a:pt x="379786" y="10934"/>
                              </a:lnTo>
                              <a:lnTo>
                                <a:pt x="381851" y="14030"/>
                              </a:lnTo>
                              <a:lnTo>
                                <a:pt x="384751" y="21059"/>
                              </a:lnTo>
                              <a:lnTo>
                                <a:pt x="385476" y="24745"/>
                              </a:lnTo>
                              <a:lnTo>
                                <a:pt x="385476" y="32337"/>
                              </a:lnTo>
                              <a:lnTo>
                                <a:pt x="364336" y="56368"/>
                              </a:lnTo>
                              <a:lnTo>
                                <a:pt x="360691" y="57111"/>
                              </a:lnTo>
                              <a:close/>
                            </a:path>
                            <a:path w="932815" h="57150">
                              <a:moveTo>
                                <a:pt x="470133" y="57111"/>
                              </a:moveTo>
                              <a:lnTo>
                                <a:pt x="462554" y="57111"/>
                              </a:lnTo>
                              <a:lnTo>
                                <a:pt x="458817" y="56368"/>
                              </a:lnTo>
                              <a:lnTo>
                                <a:pt x="437768" y="32337"/>
                              </a:lnTo>
                              <a:lnTo>
                                <a:pt x="437768" y="24745"/>
                              </a:lnTo>
                              <a:lnTo>
                                <a:pt x="438509" y="21059"/>
                              </a:lnTo>
                              <a:lnTo>
                                <a:pt x="441394" y="14030"/>
                              </a:lnTo>
                              <a:lnTo>
                                <a:pt x="443458" y="10934"/>
                              </a:lnTo>
                              <a:lnTo>
                                <a:pt x="446138" y="8296"/>
                              </a:lnTo>
                              <a:lnTo>
                                <a:pt x="448817" y="5619"/>
                              </a:lnTo>
                              <a:lnTo>
                                <a:pt x="451907" y="3571"/>
                              </a:lnTo>
                              <a:lnTo>
                                <a:pt x="458909" y="704"/>
                              </a:lnTo>
                              <a:lnTo>
                                <a:pt x="462554" y="0"/>
                              </a:lnTo>
                              <a:lnTo>
                                <a:pt x="470133" y="0"/>
                              </a:lnTo>
                              <a:lnTo>
                                <a:pt x="473778" y="704"/>
                              </a:lnTo>
                              <a:lnTo>
                                <a:pt x="480779" y="3571"/>
                              </a:lnTo>
                              <a:lnTo>
                                <a:pt x="483870" y="5619"/>
                              </a:lnTo>
                              <a:lnTo>
                                <a:pt x="486549" y="8296"/>
                              </a:lnTo>
                              <a:lnTo>
                                <a:pt x="489228" y="10934"/>
                              </a:lnTo>
                              <a:lnTo>
                                <a:pt x="491293" y="14030"/>
                              </a:lnTo>
                              <a:lnTo>
                                <a:pt x="494193" y="21059"/>
                              </a:lnTo>
                              <a:lnTo>
                                <a:pt x="494918" y="24745"/>
                              </a:lnTo>
                              <a:lnTo>
                                <a:pt x="494918" y="32337"/>
                              </a:lnTo>
                              <a:lnTo>
                                <a:pt x="473778" y="56368"/>
                              </a:lnTo>
                              <a:lnTo>
                                <a:pt x="470133" y="57111"/>
                              </a:lnTo>
                              <a:close/>
                            </a:path>
                            <a:path w="932815" h="57150">
                              <a:moveTo>
                                <a:pt x="579575" y="57111"/>
                              </a:moveTo>
                              <a:lnTo>
                                <a:pt x="571996" y="57111"/>
                              </a:lnTo>
                              <a:lnTo>
                                <a:pt x="568259" y="56368"/>
                              </a:lnTo>
                              <a:lnTo>
                                <a:pt x="547211" y="32337"/>
                              </a:lnTo>
                              <a:lnTo>
                                <a:pt x="547211" y="24745"/>
                              </a:lnTo>
                              <a:lnTo>
                                <a:pt x="547951" y="21059"/>
                              </a:lnTo>
                              <a:lnTo>
                                <a:pt x="550836" y="14030"/>
                              </a:lnTo>
                              <a:lnTo>
                                <a:pt x="552901" y="10934"/>
                              </a:lnTo>
                              <a:lnTo>
                                <a:pt x="555580" y="8296"/>
                              </a:lnTo>
                              <a:lnTo>
                                <a:pt x="558260" y="5619"/>
                              </a:lnTo>
                              <a:lnTo>
                                <a:pt x="561350" y="3571"/>
                              </a:lnTo>
                              <a:lnTo>
                                <a:pt x="568351" y="704"/>
                              </a:lnTo>
                              <a:lnTo>
                                <a:pt x="571996" y="0"/>
                              </a:lnTo>
                              <a:lnTo>
                                <a:pt x="579575" y="0"/>
                              </a:lnTo>
                              <a:lnTo>
                                <a:pt x="583220" y="704"/>
                              </a:lnTo>
                              <a:lnTo>
                                <a:pt x="590222" y="3571"/>
                              </a:lnTo>
                              <a:lnTo>
                                <a:pt x="593312" y="5619"/>
                              </a:lnTo>
                              <a:lnTo>
                                <a:pt x="595991" y="8296"/>
                              </a:lnTo>
                              <a:lnTo>
                                <a:pt x="598671" y="10934"/>
                              </a:lnTo>
                              <a:lnTo>
                                <a:pt x="600735" y="14030"/>
                              </a:lnTo>
                              <a:lnTo>
                                <a:pt x="603636" y="21059"/>
                              </a:lnTo>
                              <a:lnTo>
                                <a:pt x="604361" y="24745"/>
                              </a:lnTo>
                              <a:lnTo>
                                <a:pt x="604361" y="32337"/>
                              </a:lnTo>
                              <a:lnTo>
                                <a:pt x="583220" y="56368"/>
                              </a:lnTo>
                              <a:lnTo>
                                <a:pt x="579575" y="57111"/>
                              </a:lnTo>
                              <a:close/>
                            </a:path>
                            <a:path w="932815" h="57150">
                              <a:moveTo>
                                <a:pt x="689017" y="57111"/>
                              </a:moveTo>
                              <a:lnTo>
                                <a:pt x="681439" y="57111"/>
                              </a:lnTo>
                              <a:lnTo>
                                <a:pt x="677701" y="56368"/>
                              </a:lnTo>
                              <a:lnTo>
                                <a:pt x="656653" y="32337"/>
                              </a:lnTo>
                              <a:lnTo>
                                <a:pt x="656653" y="24745"/>
                              </a:lnTo>
                              <a:lnTo>
                                <a:pt x="657394" y="21059"/>
                              </a:lnTo>
                              <a:lnTo>
                                <a:pt x="660278" y="14030"/>
                              </a:lnTo>
                              <a:lnTo>
                                <a:pt x="662343" y="10934"/>
                              </a:lnTo>
                              <a:lnTo>
                                <a:pt x="665022" y="8296"/>
                              </a:lnTo>
                              <a:lnTo>
                                <a:pt x="667702" y="5619"/>
                              </a:lnTo>
                              <a:lnTo>
                                <a:pt x="670792" y="3571"/>
                              </a:lnTo>
                              <a:lnTo>
                                <a:pt x="677794" y="704"/>
                              </a:lnTo>
                              <a:lnTo>
                                <a:pt x="681439" y="0"/>
                              </a:lnTo>
                              <a:lnTo>
                                <a:pt x="689017" y="0"/>
                              </a:lnTo>
                              <a:lnTo>
                                <a:pt x="692662" y="704"/>
                              </a:lnTo>
                              <a:lnTo>
                                <a:pt x="699664" y="3571"/>
                              </a:lnTo>
                              <a:lnTo>
                                <a:pt x="702754" y="5619"/>
                              </a:lnTo>
                              <a:lnTo>
                                <a:pt x="705434" y="8296"/>
                              </a:lnTo>
                              <a:lnTo>
                                <a:pt x="708113" y="10934"/>
                              </a:lnTo>
                              <a:lnTo>
                                <a:pt x="710178" y="14030"/>
                              </a:lnTo>
                              <a:lnTo>
                                <a:pt x="713078" y="21059"/>
                              </a:lnTo>
                              <a:lnTo>
                                <a:pt x="713803" y="24745"/>
                              </a:lnTo>
                              <a:lnTo>
                                <a:pt x="713803" y="32337"/>
                              </a:lnTo>
                              <a:lnTo>
                                <a:pt x="692662" y="56368"/>
                              </a:lnTo>
                              <a:lnTo>
                                <a:pt x="689017" y="57111"/>
                              </a:lnTo>
                              <a:close/>
                            </a:path>
                            <a:path w="932815" h="57150">
                              <a:moveTo>
                                <a:pt x="798459" y="57111"/>
                              </a:moveTo>
                              <a:lnTo>
                                <a:pt x="790881" y="57111"/>
                              </a:lnTo>
                              <a:lnTo>
                                <a:pt x="787144" y="56368"/>
                              </a:lnTo>
                              <a:lnTo>
                                <a:pt x="766095" y="32337"/>
                              </a:lnTo>
                              <a:lnTo>
                                <a:pt x="766095" y="24745"/>
                              </a:lnTo>
                              <a:lnTo>
                                <a:pt x="766836" y="21059"/>
                              </a:lnTo>
                              <a:lnTo>
                                <a:pt x="769720" y="14030"/>
                              </a:lnTo>
                              <a:lnTo>
                                <a:pt x="771785" y="10934"/>
                              </a:lnTo>
                              <a:lnTo>
                                <a:pt x="774465" y="8296"/>
                              </a:lnTo>
                              <a:lnTo>
                                <a:pt x="777144" y="5619"/>
                              </a:lnTo>
                              <a:lnTo>
                                <a:pt x="780234" y="3571"/>
                              </a:lnTo>
                              <a:lnTo>
                                <a:pt x="787236" y="704"/>
                              </a:lnTo>
                              <a:lnTo>
                                <a:pt x="790881" y="0"/>
                              </a:lnTo>
                              <a:lnTo>
                                <a:pt x="798459" y="0"/>
                              </a:lnTo>
                              <a:lnTo>
                                <a:pt x="802105" y="704"/>
                              </a:lnTo>
                              <a:lnTo>
                                <a:pt x="809106" y="3571"/>
                              </a:lnTo>
                              <a:lnTo>
                                <a:pt x="812196" y="5619"/>
                              </a:lnTo>
                              <a:lnTo>
                                <a:pt x="814876" y="8296"/>
                              </a:lnTo>
                              <a:lnTo>
                                <a:pt x="817555" y="10934"/>
                              </a:lnTo>
                              <a:lnTo>
                                <a:pt x="819620" y="14030"/>
                              </a:lnTo>
                              <a:lnTo>
                                <a:pt x="822520" y="21059"/>
                              </a:lnTo>
                              <a:lnTo>
                                <a:pt x="823245" y="24745"/>
                              </a:lnTo>
                              <a:lnTo>
                                <a:pt x="823245" y="32337"/>
                              </a:lnTo>
                              <a:lnTo>
                                <a:pt x="802105" y="56368"/>
                              </a:lnTo>
                              <a:lnTo>
                                <a:pt x="798459" y="57111"/>
                              </a:lnTo>
                              <a:close/>
                            </a:path>
                            <a:path w="932815" h="57150">
                              <a:moveTo>
                                <a:pt x="907902" y="57111"/>
                              </a:moveTo>
                              <a:lnTo>
                                <a:pt x="900323" y="57111"/>
                              </a:lnTo>
                              <a:lnTo>
                                <a:pt x="896586" y="56368"/>
                              </a:lnTo>
                              <a:lnTo>
                                <a:pt x="875537" y="32337"/>
                              </a:lnTo>
                              <a:lnTo>
                                <a:pt x="875537" y="24745"/>
                              </a:lnTo>
                              <a:lnTo>
                                <a:pt x="876278" y="21059"/>
                              </a:lnTo>
                              <a:lnTo>
                                <a:pt x="879163" y="14030"/>
                              </a:lnTo>
                              <a:lnTo>
                                <a:pt x="881227" y="10934"/>
                              </a:lnTo>
                              <a:lnTo>
                                <a:pt x="883907" y="8296"/>
                              </a:lnTo>
                              <a:lnTo>
                                <a:pt x="886586" y="5619"/>
                              </a:lnTo>
                              <a:lnTo>
                                <a:pt x="889676" y="3571"/>
                              </a:lnTo>
                              <a:lnTo>
                                <a:pt x="896678" y="704"/>
                              </a:lnTo>
                              <a:lnTo>
                                <a:pt x="900323" y="0"/>
                              </a:lnTo>
                              <a:lnTo>
                                <a:pt x="907902" y="0"/>
                              </a:lnTo>
                              <a:lnTo>
                                <a:pt x="911547" y="704"/>
                              </a:lnTo>
                              <a:lnTo>
                                <a:pt x="918548" y="3571"/>
                              </a:lnTo>
                              <a:lnTo>
                                <a:pt x="921639" y="5619"/>
                              </a:lnTo>
                              <a:lnTo>
                                <a:pt x="924318" y="8296"/>
                              </a:lnTo>
                              <a:lnTo>
                                <a:pt x="926997" y="10934"/>
                              </a:lnTo>
                              <a:lnTo>
                                <a:pt x="929062" y="14030"/>
                              </a:lnTo>
                              <a:lnTo>
                                <a:pt x="931962" y="21059"/>
                              </a:lnTo>
                              <a:lnTo>
                                <a:pt x="932687" y="24745"/>
                              </a:lnTo>
                              <a:lnTo>
                                <a:pt x="932687" y="32337"/>
                              </a:lnTo>
                              <a:lnTo>
                                <a:pt x="911547" y="56368"/>
                              </a:lnTo>
                              <a:lnTo>
                                <a:pt x="907902" y="57111"/>
                              </a:lnTo>
                              <a:close/>
                            </a:path>
                          </a:pathLst>
                        </a:custGeom>
                        <a:solidFill>
                          <a:srgbClr val="2B816F"/>
                        </a:solidFill>
                      </wps:spPr>
                      <wps:bodyPr wrap="square" lIns="0" tIns="0" rIns="0" bIns="0" rtlCol="0">
                        <a:prstTxWarp prst="textNoShape">
                          <a:avLst/>
                        </a:prstTxWarp>
                        <a:noAutofit/>
                      </wps:bodyPr>
                    </wps:wsp>
                  </a:graphicData>
                </a:graphic>
              </wp:anchor>
            </w:drawing>
          </mc:Choice>
          <mc:Fallback>
            <w:pict>
              <v:shape style="position:absolute;margin-left:77.25pt;margin-top:15.000069pt;width:73.45pt;height:4.5pt;mso-position-horizontal-relative:page;mso-position-vertical-relative:paragraph;z-index:-15700992;mso-wrap-distance-left:0;mso-wrap-distance-right:0" id="docshape98" coordorigin="1545,300" coordsize="1469,90" path="m1596,390l1584,390,1578,389,1573,386,1567,384,1562,381,1558,377,1554,372,1551,368,1548,362,1546,357,1545,351,1545,339,1546,333,1551,322,1554,317,1558,313,1562,309,1567,306,1578,301,1584,300,1596,300,1602,301,1613,306,1618,309,1622,313,1626,317,1629,322,1634,333,1635,339,1635,351,1634,357,1632,362,1629,368,1626,372,1622,377,1618,381,1613,384,1607,386,1602,389,1596,390xm1768,390l1756,390,1750,389,1745,386,1740,384,1735,381,1731,377,1726,372,1723,368,1721,362,1718,357,1717,351,1717,339,1719,333,1723,322,1726,317,1731,313,1735,309,1740,306,1751,301,1756,300,1768,300,1774,301,1785,306,1790,309,1794,313,1798,317,1802,322,1806,333,1807,339,1807,351,1806,357,1804,362,1802,368,1798,372,1794,377,1790,381,1785,384,1780,386,1774,389,1768,390xm1941,390l1929,390,1923,389,1917,386,1912,384,1907,381,1903,377,1899,372,1895,368,1893,362,1891,357,1890,351,1890,339,1891,333,1895,322,1899,317,1903,313,1907,309,1912,306,1923,301,1929,300,1941,300,1946,301,1957,306,1962,309,1967,313,1971,317,1974,322,1979,333,1980,339,1980,351,1979,357,1976,362,1974,368,1971,372,1967,377,1962,381,1957,384,1952,386,1946,389,1941,390xm2113,390l2101,390,2095,389,2090,386,2084,384,2079,381,2075,377,2071,372,2068,368,2065,362,2063,357,2062,351,2062,339,2063,333,2068,322,2071,317,2075,313,2079,309,2084,306,2095,301,2101,300,2113,300,2119,301,2130,306,2135,309,2139,313,2143,317,2146,322,2151,333,2152,339,2152,351,2151,357,2149,362,2146,368,2143,372,2139,377,2135,381,2130,384,2124,386,2119,389,2113,390xm2285,390l2273,390,2268,389,2262,386,2257,384,2252,381,2248,377,2243,372,2240,368,2238,362,2236,357,2234,351,2234,339,2236,333,2240,322,2243,317,2248,313,2252,309,2257,306,2268,301,2273,300,2285,300,2291,301,2302,306,2307,309,2311,313,2315,317,2319,322,2323,333,2324,339,2324,351,2323,357,2321,362,2319,368,2315,372,2311,377,2307,381,2302,384,2297,386,2291,389,2285,390xm2458,390l2446,390,2440,389,2434,386,2429,384,2424,381,2420,377,2416,372,2412,368,2410,362,2408,357,2407,351,2407,339,2408,333,2412,322,2416,317,2420,313,2424,309,2429,306,2440,301,2446,300,2458,300,2463,301,2474,306,2479,309,2484,313,2488,317,2491,322,2496,333,2497,339,2497,351,2496,357,2493,362,2491,368,2488,372,2484,377,2479,381,2474,384,2469,386,2463,389,2458,390xm2630,390l2618,390,2612,389,2607,386,2601,384,2596,381,2592,377,2588,372,2585,368,2583,362,2580,357,2579,351,2579,339,2580,333,2585,322,2588,317,2592,313,2596,309,2601,306,2612,301,2618,300,2630,300,2636,301,2647,306,2652,309,2656,313,2660,317,2663,322,2668,333,2669,339,2669,351,2668,357,2666,362,2663,368,2660,372,2656,377,2652,381,2647,384,2641,386,2636,389,2630,390xm2802,390l2790,390,2785,389,2779,386,2774,384,2769,381,2765,377,2760,372,2757,368,2755,362,2753,357,2751,351,2751,339,2753,333,2757,322,2760,317,2765,313,2769,309,2774,306,2785,301,2790,300,2802,300,2808,301,2819,306,2824,309,2828,313,2832,317,2836,322,2840,333,2841,339,2841,351,2840,357,2838,362,2836,368,2832,372,2828,377,2824,381,2819,384,2814,386,2808,389,2802,390xm2975,390l2963,390,2957,389,2951,386,2946,384,2941,381,2937,377,2933,372,2930,368,2927,362,2925,357,2924,351,2924,339,2925,333,2930,322,2933,317,2937,313,2941,309,2946,306,2957,301,2963,300,2975,300,2981,301,2992,306,2996,309,3001,313,3005,317,3008,322,3013,333,3014,339,3014,351,3013,357,3010,362,3008,368,3005,372,3001,377,2996,381,2992,384,2986,386,2981,389,2975,390xe" filled="true" fillcolor="#2b816f" stroked="false">
                <v:path arrowok="t"/>
                <v:fill type="solid"/>
                <w10:wrap type="topAndBottom"/>
              </v:shape>
            </w:pict>
          </mc:Fallback>
        </mc:AlternateContent>
      </w:r>
    </w:p>
    <w:p>
      <w:pPr>
        <w:spacing w:line="256" w:lineRule="auto" w:before="78"/>
        <w:ind w:left="99" w:right="300" w:firstLine="0"/>
        <w:jc w:val="left"/>
        <w:rPr>
          <w:sz w:val="22"/>
        </w:rPr>
      </w:pPr>
      <w:r>
        <w:rPr>
          <w:rFonts w:ascii="Arial"/>
          <w:b/>
          <w:color w:val="2B816F"/>
          <w:sz w:val="22"/>
        </w:rPr>
        <w:t>FIGURE 23.13 </w:t>
      </w:r>
      <w:r>
        <w:rPr>
          <w:sz w:val="22"/>
        </w:rPr>
        <w:t>Data from McClung MR. Do current management strategies and </w:t>
      </w:r>
      <w:r>
        <w:rPr>
          <w:sz w:val="22"/>
        </w:rPr>
        <w:t>guidelines adequately address fracture risk? </w:t>
      </w:r>
      <w:r>
        <w:rPr>
          <w:i/>
          <w:sz w:val="22"/>
        </w:rPr>
        <w:t>Bone</w:t>
      </w:r>
      <w:r>
        <w:rPr>
          <w:sz w:val="22"/>
        </w:rPr>
        <w:t>. 2006;38 (2 suppl 2):S13-S17.</w:t>
      </w:r>
    </w:p>
    <w:p>
      <w:pPr>
        <w:pStyle w:val="BodyText"/>
        <w:spacing w:before="195"/>
        <w:ind w:left="0"/>
        <w:jc w:val="left"/>
        <w:rPr>
          <w:sz w:val="22"/>
        </w:rPr>
      </w:pPr>
    </w:p>
    <w:p>
      <w:pPr>
        <w:spacing w:before="0"/>
        <w:ind w:left="99" w:right="0" w:firstLine="0"/>
        <w:jc w:val="left"/>
        <w:rPr>
          <w:rFonts w:ascii="Arial"/>
          <w:b/>
          <w:sz w:val="30"/>
        </w:rPr>
      </w:pPr>
      <w:r>
        <w:rPr>
          <w:rFonts w:ascii="Arial"/>
          <w:b/>
          <w:color w:val="2674AE"/>
          <w:sz w:val="30"/>
        </w:rPr>
        <w:t>Bone-Losing </w:t>
      </w:r>
      <w:r>
        <w:rPr>
          <w:rFonts w:ascii="Arial"/>
          <w:b/>
          <w:color w:val="2674AE"/>
          <w:spacing w:val="-2"/>
          <w:sz w:val="30"/>
        </w:rPr>
        <w:t>Medications</w:t>
      </w:r>
    </w:p>
    <w:p>
      <w:pPr>
        <w:spacing w:line="249" w:lineRule="auto" w:before="166"/>
        <w:ind w:left="99" w:right="99" w:firstLine="0"/>
        <w:jc w:val="both"/>
        <w:rPr>
          <w:sz w:val="30"/>
        </w:rPr>
      </w:pPr>
      <w:r>
        <w:rPr>
          <w:sz w:val="30"/>
        </w:rPr>
        <w:t>Clinicians should always remember that exposure to excessive thyroid and glucocorticoid hormones is associated with osteoporosis and an increased rate of fractures. The bone loss associated with glucocorticoid treatment is significantly prevented by hormone or bisphosphonate therapy.</w:t>
      </w:r>
      <w:r>
        <w:rPr>
          <w:sz w:val="30"/>
          <w:vertAlign w:val="superscript"/>
        </w:rPr>
        <w:t>376-</w:t>
      </w:r>
      <w:r>
        <w:rPr>
          <w:sz w:val="30"/>
          <w:vertAlign w:val="superscript"/>
        </w:rPr>
        <w:t>379</w:t>
      </w:r>
      <w:r>
        <w:rPr>
          <w:sz w:val="30"/>
          <w:vertAlign w:val="baseline"/>
        </w:rPr>
        <w:t> </w:t>
      </w:r>
      <w:r>
        <w:rPr>
          <w:b/>
          <w:sz w:val="30"/>
          <w:vertAlign w:val="baseline"/>
        </w:rPr>
        <w:t>Excessive thyroid effects can be avoided by periodic (at least annually) monitoring of treatment dosage with TSH levels. </w:t>
      </w:r>
      <w:r>
        <w:rPr>
          <w:sz w:val="30"/>
          <w:vertAlign w:val="baseline"/>
        </w:rPr>
        <w:t>Specific preventive treatment should also be offered to patients using long-term anticonvulsants or heparin.</w:t>
      </w:r>
    </w:p>
    <w:p>
      <w:pPr>
        <w:pStyle w:val="BodyText"/>
        <w:spacing w:line="249" w:lineRule="auto" w:before="10"/>
        <w:ind w:right="97" w:firstLine="450"/>
      </w:pPr>
      <w:r>
        <w:rPr/>
        <w:t>Considerable publicity has successfully raised clinical consciousness regarding the increased risk of fractures associated with the use </w:t>
      </w:r>
      <w:r>
        <w:rPr/>
        <w:t>of corticosteroids. We should similarly recognize the increased risk of fractures with the daily use of SSRIs. The Canadian Multicentre Osteoporosis Study Research Group reported the effect of daily SSRIs in a prospective cohort study in seven regional centers of 5,008 adults over the age of 50.</w:t>
      </w:r>
      <w:r>
        <w:rPr>
          <w:vertAlign w:val="superscript"/>
        </w:rPr>
        <w:t>78</w:t>
      </w:r>
      <w:r>
        <w:rPr>
          <w:vertAlign w:val="baseline"/>
        </w:rPr>
        <w:t> After adjusting for age, hip bone density, fractures at baseline, and estrogen use in women, daily SSRI use was associated with a 2-fold increased risk of fragility fractures. Daily use of SSRIs was also associated with</w:t>
      </w:r>
      <w:r>
        <w:rPr>
          <w:spacing w:val="-3"/>
          <w:vertAlign w:val="baseline"/>
        </w:rPr>
        <w:t> </w:t>
      </w:r>
      <w:r>
        <w:rPr>
          <w:vertAlign w:val="baseline"/>
        </w:rPr>
        <w:t>about</w:t>
      </w:r>
      <w:r>
        <w:rPr>
          <w:spacing w:val="-3"/>
          <w:vertAlign w:val="baseline"/>
        </w:rPr>
        <w:t> </w:t>
      </w:r>
      <w:r>
        <w:rPr>
          <w:vertAlign w:val="baseline"/>
        </w:rPr>
        <w:t>a</w:t>
      </w:r>
      <w:r>
        <w:rPr>
          <w:spacing w:val="-3"/>
          <w:vertAlign w:val="baseline"/>
        </w:rPr>
        <w:t> </w:t>
      </w:r>
      <w:r>
        <w:rPr>
          <w:vertAlign w:val="baseline"/>
        </w:rPr>
        <w:t>2-fold</w:t>
      </w:r>
      <w:r>
        <w:rPr>
          <w:spacing w:val="-3"/>
          <w:vertAlign w:val="baseline"/>
        </w:rPr>
        <w:t> </w:t>
      </w:r>
      <w:r>
        <w:rPr>
          <w:vertAlign w:val="baseline"/>
        </w:rPr>
        <w:t>increased</w:t>
      </w:r>
      <w:r>
        <w:rPr>
          <w:spacing w:val="-3"/>
          <w:vertAlign w:val="baseline"/>
        </w:rPr>
        <w:t> </w:t>
      </w:r>
      <w:r>
        <w:rPr>
          <w:vertAlign w:val="baseline"/>
        </w:rPr>
        <w:t>risk</w:t>
      </w:r>
      <w:r>
        <w:rPr>
          <w:spacing w:val="-3"/>
          <w:vertAlign w:val="baseline"/>
        </w:rPr>
        <w:t> </w:t>
      </w:r>
      <w:r>
        <w:rPr>
          <w:vertAlign w:val="baseline"/>
        </w:rPr>
        <w:t>of</w:t>
      </w:r>
      <w:r>
        <w:rPr>
          <w:spacing w:val="-3"/>
          <w:vertAlign w:val="baseline"/>
        </w:rPr>
        <w:t> </w:t>
      </w:r>
      <w:r>
        <w:rPr>
          <w:vertAlign w:val="baseline"/>
        </w:rPr>
        <w:t>falling,</w:t>
      </w:r>
      <w:r>
        <w:rPr>
          <w:spacing w:val="-3"/>
          <w:vertAlign w:val="baseline"/>
        </w:rPr>
        <w:t> </w:t>
      </w:r>
      <w:r>
        <w:rPr>
          <w:vertAlign w:val="baseline"/>
        </w:rPr>
        <w:t>and</w:t>
      </w:r>
      <w:r>
        <w:rPr>
          <w:spacing w:val="-3"/>
          <w:vertAlign w:val="baseline"/>
        </w:rPr>
        <w:t> </w:t>
      </w:r>
      <w:r>
        <w:rPr>
          <w:vertAlign w:val="baseline"/>
        </w:rPr>
        <w:t>these</w:t>
      </w:r>
      <w:r>
        <w:rPr>
          <w:spacing w:val="-3"/>
          <w:vertAlign w:val="baseline"/>
        </w:rPr>
        <w:t> </w:t>
      </w:r>
      <w:r>
        <w:rPr>
          <w:vertAlign w:val="baseline"/>
        </w:rPr>
        <w:t>individuals</w:t>
      </w:r>
      <w:r>
        <w:rPr>
          <w:spacing w:val="-3"/>
          <w:vertAlign w:val="baseline"/>
        </w:rPr>
        <w:t> </w:t>
      </w:r>
      <w:r>
        <w:rPr>
          <w:vertAlign w:val="baseline"/>
        </w:rPr>
        <w:t>had</w:t>
      </w:r>
      <w:r>
        <w:rPr>
          <w:spacing w:val="-4"/>
          <w:vertAlign w:val="baseline"/>
        </w:rPr>
        <w:t> </w:t>
      </w:r>
      <w:r>
        <w:rPr>
          <w:vertAlign w:val="baseline"/>
        </w:rPr>
        <w:t>lower bone</w:t>
      </w:r>
      <w:r>
        <w:rPr>
          <w:spacing w:val="60"/>
          <w:vertAlign w:val="baseline"/>
        </w:rPr>
        <w:t> </w:t>
      </w:r>
      <w:r>
        <w:rPr>
          <w:vertAlign w:val="baseline"/>
        </w:rPr>
        <w:t>densities.</w:t>
      </w:r>
      <w:r>
        <w:rPr>
          <w:spacing w:val="59"/>
          <w:vertAlign w:val="baseline"/>
        </w:rPr>
        <w:t> </w:t>
      </w:r>
      <w:r>
        <w:rPr>
          <w:vertAlign w:val="baseline"/>
        </w:rPr>
        <w:t>Controlling</w:t>
      </w:r>
      <w:r>
        <w:rPr>
          <w:spacing w:val="61"/>
          <w:vertAlign w:val="baseline"/>
        </w:rPr>
        <w:t> </w:t>
      </w:r>
      <w:r>
        <w:rPr>
          <w:vertAlign w:val="baseline"/>
        </w:rPr>
        <w:t>for</w:t>
      </w:r>
      <w:r>
        <w:rPr>
          <w:spacing w:val="61"/>
          <w:vertAlign w:val="baseline"/>
        </w:rPr>
        <w:t> </w:t>
      </w:r>
      <w:r>
        <w:rPr>
          <w:vertAlign w:val="baseline"/>
        </w:rPr>
        <w:t>falls</w:t>
      </w:r>
      <w:r>
        <w:rPr>
          <w:spacing w:val="61"/>
          <w:vertAlign w:val="baseline"/>
        </w:rPr>
        <w:t> </w:t>
      </w:r>
      <w:r>
        <w:rPr>
          <w:vertAlign w:val="baseline"/>
        </w:rPr>
        <w:t>and</w:t>
      </w:r>
      <w:r>
        <w:rPr>
          <w:spacing w:val="61"/>
          <w:vertAlign w:val="baseline"/>
        </w:rPr>
        <w:t> </w:t>
      </w:r>
      <w:r>
        <w:rPr>
          <w:vertAlign w:val="baseline"/>
        </w:rPr>
        <w:t>lower</w:t>
      </w:r>
      <w:r>
        <w:rPr>
          <w:spacing w:val="61"/>
          <w:vertAlign w:val="baseline"/>
        </w:rPr>
        <w:t> </w:t>
      </w:r>
      <w:r>
        <w:rPr>
          <w:vertAlign w:val="baseline"/>
        </w:rPr>
        <w:t>bone</w:t>
      </w:r>
      <w:r>
        <w:rPr>
          <w:spacing w:val="61"/>
          <w:vertAlign w:val="baseline"/>
        </w:rPr>
        <w:t> </w:t>
      </w:r>
      <w:r>
        <w:rPr>
          <w:vertAlign w:val="baseline"/>
        </w:rPr>
        <w:t>density</w:t>
      </w:r>
      <w:r>
        <w:rPr>
          <w:spacing w:val="61"/>
          <w:vertAlign w:val="baseline"/>
        </w:rPr>
        <w:t> </w:t>
      </w:r>
      <w:r>
        <w:rPr>
          <w:vertAlign w:val="baseline"/>
        </w:rPr>
        <w:t>still</w:t>
      </w:r>
      <w:r>
        <w:rPr>
          <w:spacing w:val="61"/>
          <w:vertAlign w:val="baseline"/>
        </w:rPr>
        <w:t> </w:t>
      </w:r>
      <w:r>
        <w:rPr>
          <w:vertAlign w:val="baseline"/>
        </w:rPr>
        <w:t>left</w:t>
      </w:r>
      <w:r>
        <w:rPr>
          <w:spacing w:val="61"/>
          <w:vertAlign w:val="baseline"/>
        </w:rPr>
        <w:t> </w:t>
      </w:r>
      <w:r>
        <w:rPr>
          <w:spacing w:val="-5"/>
          <w:vertAlign w:val="baseline"/>
        </w:rPr>
        <w:t>an</w:t>
      </w:r>
    </w:p>
    <w:p>
      <w:pPr>
        <w:pStyle w:val="BodyText"/>
        <w:spacing w:after="0" w:line="249" w:lineRule="auto"/>
        <w:sectPr>
          <w:pgSz w:w="12240" w:h="15840"/>
          <w:pgMar w:top="1440" w:bottom="280" w:left="1440" w:right="1440"/>
        </w:sectPr>
      </w:pPr>
    </w:p>
    <w:p>
      <w:pPr>
        <w:pStyle w:val="BodyText"/>
        <w:spacing w:line="249" w:lineRule="auto"/>
        <w:ind w:right="110"/>
      </w:pPr>
      <w:r>
        <w:rPr/>
        <w:t>increased risk of fractures in SSRI users that began after 1 to 1.5 years of </w:t>
      </w:r>
      <w:r>
        <w:rPr>
          <w:spacing w:val="-4"/>
        </w:rPr>
        <w:t>use.</w:t>
      </w:r>
    </w:p>
    <w:p>
      <w:pPr>
        <w:pStyle w:val="BodyText"/>
        <w:spacing w:line="249" w:lineRule="auto" w:before="2"/>
        <w:ind w:right="97" w:firstLine="450"/>
      </w:pPr>
      <w:r>
        <w:rPr/>
        <w:t>Does</w:t>
      </w:r>
      <w:r>
        <w:rPr>
          <w:spacing w:val="-2"/>
        </w:rPr>
        <w:t> </w:t>
      </w:r>
      <w:r>
        <w:rPr/>
        <w:t>this</w:t>
      </w:r>
      <w:r>
        <w:rPr>
          <w:spacing w:val="-2"/>
        </w:rPr>
        <w:t> </w:t>
      </w:r>
      <w:r>
        <w:rPr/>
        <w:t>side</w:t>
      </w:r>
      <w:r>
        <w:rPr>
          <w:spacing w:val="-2"/>
        </w:rPr>
        <w:t> </w:t>
      </w:r>
      <w:r>
        <w:rPr/>
        <w:t>effect</w:t>
      </w:r>
      <w:r>
        <w:rPr>
          <w:spacing w:val="-2"/>
        </w:rPr>
        <w:t> </w:t>
      </w:r>
      <w:r>
        <w:rPr/>
        <w:t>of</w:t>
      </w:r>
      <w:r>
        <w:rPr>
          <w:spacing w:val="-2"/>
        </w:rPr>
        <w:t> </w:t>
      </w:r>
      <w:r>
        <w:rPr/>
        <w:t>SSRIs</w:t>
      </w:r>
      <w:r>
        <w:rPr>
          <w:spacing w:val="-2"/>
        </w:rPr>
        <w:t> </w:t>
      </w:r>
      <w:r>
        <w:rPr/>
        <w:t>make</w:t>
      </w:r>
      <w:r>
        <w:rPr>
          <w:spacing w:val="-2"/>
        </w:rPr>
        <w:t> </w:t>
      </w:r>
      <w:r>
        <w:rPr/>
        <w:t>sense?</w:t>
      </w:r>
      <w:r>
        <w:rPr>
          <w:spacing w:val="-2"/>
        </w:rPr>
        <w:t> </w:t>
      </w:r>
      <w:r>
        <w:rPr/>
        <w:t>Is it the SSRI or the lifestyle associated with clinical depression? Serotonin does not cross the blood-brain barrier; in the brain, serotonin activity is the result of </w:t>
      </w:r>
      <w:r>
        <w:rPr/>
        <w:t>synthesis, reuptake, and binding to a 5-hydroxytryptophan receptor, which is inhibited by SSRIs. Most of the circulating serotonin comes from synthesis in the duodenum by specialized neuroendocrine cells. Locally released serotonin stimulates intestinal peristalsis, whereas the serotonin entering the circulation is taken up by platelets or serotonin can reach a target tissue like bone, linking bone formation to the gut. Mice with a mutation for the serotonin transporter protein develop less bone mass and strength.</w:t>
      </w:r>
      <w:r>
        <w:rPr>
          <w:vertAlign w:val="superscript"/>
        </w:rPr>
        <w:t>79</w:t>
      </w:r>
      <w:r>
        <w:rPr>
          <w:vertAlign w:val="baseline"/>
        </w:rPr>
        <w:t> Serotonin receptors and serotonin transport have been identified in osteoblasts and osteocytes. The bone effects of PTH and mechanical stimulation are modulated by the serotonin system. Therefore, daily SSRI use can impair bone formation, tilting the balance in favor of resorption and bone loss, and decreased bone densities have been reported in both male</w:t>
      </w:r>
      <w:r>
        <w:rPr>
          <w:spacing w:val="40"/>
          <w:vertAlign w:val="baseline"/>
        </w:rPr>
        <w:t> </w:t>
      </w:r>
      <w:r>
        <w:rPr>
          <w:vertAlign w:val="baseline"/>
        </w:rPr>
        <w:t>and female SSRI users (but not in users of tricyclic antidepressants).</w:t>
      </w:r>
      <w:r>
        <w:rPr>
          <w:vertAlign w:val="superscript"/>
        </w:rPr>
        <w:t>80,81</w:t>
      </w:r>
    </w:p>
    <w:p>
      <w:pPr>
        <w:pStyle w:val="BodyText"/>
        <w:spacing w:line="249" w:lineRule="auto" w:before="20"/>
        <w:ind w:right="98" w:firstLine="450"/>
      </w:pPr>
      <w:r>
        <w:rPr/>
        <w:t>It is not always easy to know which came first, depression or </w:t>
      </w:r>
      <w:r>
        <w:rPr/>
        <w:t>fractures, leading</w:t>
      </w:r>
      <w:r>
        <w:rPr>
          <w:spacing w:val="-3"/>
        </w:rPr>
        <w:t> </w:t>
      </w:r>
      <w:r>
        <w:rPr/>
        <w:t>to</w:t>
      </w:r>
      <w:r>
        <w:rPr>
          <w:spacing w:val="-3"/>
        </w:rPr>
        <w:t> </w:t>
      </w:r>
      <w:r>
        <w:rPr/>
        <w:t>subsequent</w:t>
      </w:r>
      <w:r>
        <w:rPr>
          <w:spacing w:val="-3"/>
        </w:rPr>
        <w:t> </w:t>
      </w:r>
      <w:r>
        <w:rPr/>
        <w:t>depression.</w:t>
      </w:r>
      <w:r>
        <w:rPr>
          <w:spacing w:val="-4"/>
        </w:rPr>
        <w:t> </w:t>
      </w:r>
      <w:r>
        <w:rPr/>
        <w:t>It</w:t>
      </w:r>
      <w:r>
        <w:rPr>
          <w:spacing w:val="-1"/>
        </w:rPr>
        <w:t> </w:t>
      </w:r>
      <w:r>
        <w:rPr/>
        <w:t>has</w:t>
      </w:r>
      <w:r>
        <w:rPr>
          <w:spacing w:val="-1"/>
        </w:rPr>
        <w:t> </w:t>
      </w:r>
      <w:r>
        <w:rPr/>
        <w:t>been</w:t>
      </w:r>
      <w:r>
        <w:rPr>
          <w:spacing w:val="-1"/>
        </w:rPr>
        <w:t> </w:t>
      </w:r>
      <w:r>
        <w:rPr/>
        <w:t>reported</w:t>
      </w:r>
      <w:r>
        <w:rPr>
          <w:spacing w:val="-1"/>
        </w:rPr>
        <w:t> </w:t>
      </w:r>
      <w:r>
        <w:rPr/>
        <w:t>that</w:t>
      </w:r>
      <w:r>
        <w:rPr>
          <w:spacing w:val="-1"/>
        </w:rPr>
        <w:t> </w:t>
      </w:r>
      <w:r>
        <w:rPr/>
        <w:t>depressed</w:t>
      </w:r>
      <w:r>
        <w:rPr>
          <w:spacing w:val="-1"/>
        </w:rPr>
        <w:t> </w:t>
      </w:r>
      <w:r>
        <w:rPr/>
        <w:t>people and SSRI users have a greater incidence of falls,</w:t>
      </w:r>
      <w:r>
        <w:rPr>
          <w:vertAlign w:val="superscript"/>
        </w:rPr>
        <w:t>73</w:t>
      </w:r>
      <w:r>
        <w:rPr>
          <w:vertAlign w:val="baseline"/>
        </w:rPr>
        <w:t> and thus it is not unreasonable to consider that depression comes first in some people. However, orthostatic hypotension and syncope are more common in SSRI users, and this could also contribute to the greater prevalence of falls.</w:t>
      </w:r>
    </w:p>
    <w:p>
      <w:pPr>
        <w:pStyle w:val="BodyText"/>
        <w:spacing w:line="249" w:lineRule="auto" w:before="7"/>
        <w:ind w:right="98" w:firstLine="450"/>
      </w:pPr>
      <w:r>
        <w:rPr/>
        <w:t>Depressed people are sedentary and eat poorly, factors that favor bone loss. Some have speculated that increased cortisol levels associated with depression might lead to bone loss, similar to that observed with </w:t>
      </w:r>
      <w:r>
        <w:rPr/>
        <w:t>the pharmacologic administration of corticosteroids. On the other hand, American studies, despite finding a link between depression and fractures, failed</w:t>
      </w:r>
      <w:r>
        <w:rPr>
          <w:spacing w:val="-2"/>
        </w:rPr>
        <w:t> </w:t>
      </w:r>
      <w:r>
        <w:rPr/>
        <w:t>to</w:t>
      </w:r>
      <w:r>
        <w:rPr>
          <w:spacing w:val="-2"/>
        </w:rPr>
        <w:t> </w:t>
      </w:r>
      <w:r>
        <w:rPr/>
        <w:t>detect</w:t>
      </w:r>
      <w:r>
        <w:rPr>
          <w:spacing w:val="-2"/>
        </w:rPr>
        <w:t> </w:t>
      </w:r>
      <w:r>
        <w:rPr/>
        <w:t>an</w:t>
      </w:r>
      <w:r>
        <w:rPr>
          <w:spacing w:val="-2"/>
        </w:rPr>
        <w:t> </w:t>
      </w:r>
      <w:r>
        <w:rPr/>
        <w:t>increase</w:t>
      </w:r>
      <w:r>
        <w:rPr>
          <w:spacing w:val="-2"/>
        </w:rPr>
        <w:t> </w:t>
      </w:r>
      <w:r>
        <w:rPr/>
        <w:t>in</w:t>
      </w:r>
      <w:r>
        <w:rPr>
          <w:spacing w:val="-2"/>
        </w:rPr>
        <w:t> </w:t>
      </w:r>
      <w:r>
        <w:rPr/>
        <w:t>depression</w:t>
      </w:r>
      <w:r>
        <w:rPr>
          <w:spacing w:val="-2"/>
        </w:rPr>
        <w:t> </w:t>
      </w:r>
      <w:r>
        <w:rPr/>
        <w:t>associated</w:t>
      </w:r>
      <w:r>
        <w:rPr>
          <w:spacing w:val="-2"/>
        </w:rPr>
        <w:t> </w:t>
      </w:r>
      <w:r>
        <w:rPr/>
        <w:t>with</w:t>
      </w:r>
      <w:r>
        <w:rPr>
          <w:spacing w:val="-2"/>
        </w:rPr>
        <w:t> </w:t>
      </w:r>
      <w:r>
        <w:rPr/>
        <w:t>lower</w:t>
      </w:r>
      <w:r>
        <w:rPr>
          <w:spacing w:val="-2"/>
        </w:rPr>
        <w:t> </w:t>
      </w:r>
      <w:r>
        <w:rPr/>
        <w:t>bone</w:t>
      </w:r>
      <w:r>
        <w:rPr>
          <w:spacing w:val="-2"/>
        </w:rPr>
        <w:t> </w:t>
      </w:r>
      <w:r>
        <w:rPr/>
        <w:t>density measurements.</w:t>
      </w:r>
      <w:r>
        <w:rPr>
          <w:vertAlign w:val="superscript"/>
        </w:rPr>
        <w:t>72,73</w:t>
      </w:r>
      <w:r>
        <w:rPr>
          <w:vertAlign w:val="baseline"/>
        </w:rPr>
        <w:t> However, other studies have reported increases in depression associated with lower bone densities.</w:t>
      </w:r>
      <w:r>
        <w:rPr>
          <w:vertAlign w:val="superscript"/>
        </w:rPr>
        <w:t>74-76</w:t>
      </w:r>
    </w:p>
    <w:p>
      <w:pPr>
        <w:pStyle w:val="BodyText"/>
        <w:spacing w:line="249" w:lineRule="auto" w:before="10"/>
        <w:ind w:right="101" w:firstLine="450"/>
      </w:pPr>
      <w:r>
        <w:rPr/>
        <w:t>Obviously, this is an unsettled picture, but we should be more aware </w:t>
      </w:r>
      <w:r>
        <w:rPr/>
        <w:t>of the possible increased risk of fractures with the daily use of SSRIs. Interventions that reduce the odds of falling and enhance the ability to withstand</w:t>
      </w:r>
      <w:r>
        <w:rPr>
          <w:spacing w:val="3"/>
        </w:rPr>
        <w:t> </w:t>
      </w:r>
      <w:r>
        <w:rPr/>
        <w:t>the</w:t>
      </w:r>
      <w:r>
        <w:rPr>
          <w:spacing w:val="5"/>
        </w:rPr>
        <w:t> </w:t>
      </w:r>
      <w:r>
        <w:rPr/>
        <w:t>impact</w:t>
      </w:r>
      <w:r>
        <w:rPr>
          <w:spacing w:val="5"/>
        </w:rPr>
        <w:t> </w:t>
      </w:r>
      <w:r>
        <w:rPr/>
        <w:t>of</w:t>
      </w:r>
      <w:r>
        <w:rPr>
          <w:spacing w:val="5"/>
        </w:rPr>
        <w:t> </w:t>
      </w:r>
      <w:r>
        <w:rPr/>
        <w:t>a</w:t>
      </w:r>
      <w:r>
        <w:rPr>
          <w:spacing w:val="5"/>
        </w:rPr>
        <w:t> </w:t>
      </w:r>
      <w:r>
        <w:rPr/>
        <w:t>fall</w:t>
      </w:r>
      <w:r>
        <w:rPr>
          <w:spacing w:val="5"/>
        </w:rPr>
        <w:t> </w:t>
      </w:r>
      <w:r>
        <w:rPr/>
        <w:t>are</w:t>
      </w:r>
      <w:r>
        <w:rPr>
          <w:spacing w:val="5"/>
        </w:rPr>
        <w:t> </w:t>
      </w:r>
      <w:r>
        <w:rPr/>
        <w:t>important.</w:t>
      </w:r>
      <w:r>
        <w:rPr>
          <w:spacing w:val="5"/>
        </w:rPr>
        <w:t> </w:t>
      </w:r>
      <w:r>
        <w:rPr/>
        <w:t>This</w:t>
      </w:r>
      <w:r>
        <w:rPr>
          <w:spacing w:val="10"/>
        </w:rPr>
        <w:t> </w:t>
      </w:r>
      <w:r>
        <w:rPr/>
        <w:t>includes</w:t>
      </w:r>
      <w:r>
        <w:rPr>
          <w:spacing w:val="10"/>
        </w:rPr>
        <w:t> </w:t>
      </w:r>
      <w:r>
        <w:rPr/>
        <w:t>patient</w:t>
      </w:r>
      <w:r>
        <w:rPr>
          <w:spacing w:val="10"/>
        </w:rPr>
        <w:t> </w:t>
      </w:r>
      <w:r>
        <w:rPr>
          <w:spacing w:val="-2"/>
        </w:rPr>
        <w:t>education</w:t>
      </w:r>
    </w:p>
    <w:p>
      <w:pPr>
        <w:pStyle w:val="BodyText"/>
        <w:spacing w:after="0" w:line="249" w:lineRule="auto"/>
        <w:sectPr>
          <w:pgSz w:w="12240" w:h="15840"/>
          <w:pgMar w:top="1380" w:bottom="280" w:left="1440" w:right="1440"/>
        </w:sectPr>
      </w:pPr>
    </w:p>
    <w:p>
      <w:pPr>
        <w:pStyle w:val="BodyText"/>
        <w:spacing w:line="249" w:lineRule="auto"/>
        <w:ind w:right="98"/>
      </w:pPr>
      <w:r>
        <w:rPr/>
        <w:t>regarding hazards in the home, monitoring drug use, adequate nutrition, and a good exercise program. Aggressive monitoring of bone density </w:t>
      </w:r>
      <w:r>
        <w:rPr/>
        <w:t>is warranted; adequate calcium and vitamin D supplementation are necessary, and until more studies clarify this problem, it seems reasonable to consider treatment with one of the antiresorptive agents.</w:t>
      </w:r>
    </w:p>
    <w:p>
      <w:pPr>
        <w:pStyle w:val="BodyText"/>
        <w:spacing w:line="249" w:lineRule="auto" w:before="6"/>
        <w:ind w:right="101" w:firstLine="450"/>
      </w:pPr>
      <w:r>
        <w:rPr/>
        <w:t>Proton pump-inhibiting drugs used to treat gastroesophageal reflux impair intestinal calcium absorption, resulting in secondary hyperparathyroidism and bone loss. Long-term use of omeprazole has been linked to an increase in hip fractures in case-control studies.</w:t>
      </w:r>
      <w:r>
        <w:rPr>
          <w:vertAlign w:val="superscript"/>
        </w:rPr>
        <w:t>380,381</w:t>
      </w:r>
      <w:r>
        <w:rPr>
          <w:vertAlign w:val="baseline"/>
        </w:rPr>
        <w:t> </w:t>
      </w:r>
      <w:r>
        <w:rPr>
          <w:vertAlign w:val="baseline"/>
        </w:rPr>
        <w:t>These drugs should be added to the list of bone-losing medications that require careful monitoring of bone density and antiresorptive treatment when indicated. The list includes, of course, any treatment that produces a hypoestrogenic state, for example, an aromatase inhibitor.</w:t>
      </w:r>
    </w:p>
    <w:p>
      <w:pPr>
        <w:pStyle w:val="BodyText"/>
        <w:spacing w:line="249" w:lineRule="auto" w:before="10"/>
        <w:ind w:right="103" w:firstLine="450"/>
      </w:pPr>
      <w:r>
        <w:rPr/>
        <w:t>Thiazolidinediones</w:t>
      </w:r>
      <w:r>
        <w:rPr>
          <w:spacing w:val="-1"/>
        </w:rPr>
        <w:t> </w:t>
      </w:r>
      <w:r>
        <w:rPr/>
        <w:t>used</w:t>
      </w:r>
      <w:r>
        <w:rPr>
          <w:spacing w:val="-1"/>
        </w:rPr>
        <w:t> </w:t>
      </w:r>
      <w:r>
        <w:rPr/>
        <w:t>to</w:t>
      </w:r>
      <w:r>
        <w:rPr>
          <w:spacing w:val="-1"/>
        </w:rPr>
        <w:t> </w:t>
      </w:r>
      <w:r>
        <w:rPr/>
        <w:t>treat</w:t>
      </w:r>
      <w:r>
        <w:rPr>
          <w:spacing w:val="-1"/>
        </w:rPr>
        <w:t> </w:t>
      </w:r>
      <w:r>
        <w:rPr/>
        <w:t>diabetes</w:t>
      </w:r>
      <w:r>
        <w:rPr>
          <w:spacing w:val="-1"/>
        </w:rPr>
        <w:t> </w:t>
      </w:r>
      <w:r>
        <w:rPr/>
        <w:t>are</w:t>
      </w:r>
      <w:r>
        <w:rPr>
          <w:spacing w:val="-1"/>
        </w:rPr>
        <w:t> </w:t>
      </w:r>
      <w:r>
        <w:rPr/>
        <w:t>associated</w:t>
      </w:r>
      <w:r>
        <w:rPr>
          <w:spacing w:val="-1"/>
        </w:rPr>
        <w:t> </w:t>
      </w:r>
      <w:r>
        <w:rPr/>
        <w:t>with</w:t>
      </w:r>
      <w:r>
        <w:rPr>
          <w:spacing w:val="-1"/>
        </w:rPr>
        <w:t> </w:t>
      </w:r>
      <w:r>
        <w:rPr/>
        <w:t>an</w:t>
      </w:r>
      <w:r>
        <w:rPr>
          <w:spacing w:val="-1"/>
        </w:rPr>
        <w:t> </w:t>
      </w:r>
      <w:r>
        <w:rPr/>
        <w:t>increase in bone loss and fractures.</w:t>
      </w:r>
      <w:r>
        <w:rPr>
          <w:vertAlign w:val="superscript"/>
        </w:rPr>
        <w:t>382,383</w:t>
      </w:r>
      <w:r>
        <w:rPr>
          <w:vertAlign w:val="baseline"/>
        </w:rPr>
        <w:t> Bone density measurements and careful assessment for fracture risk are important components of health care for women</w:t>
      </w:r>
      <w:r>
        <w:rPr>
          <w:spacing w:val="-3"/>
          <w:vertAlign w:val="baseline"/>
        </w:rPr>
        <w:t> </w:t>
      </w:r>
      <w:r>
        <w:rPr>
          <w:vertAlign w:val="baseline"/>
        </w:rPr>
        <w:t>who</w:t>
      </w:r>
      <w:r>
        <w:rPr>
          <w:spacing w:val="-3"/>
          <w:vertAlign w:val="baseline"/>
        </w:rPr>
        <w:t> </w:t>
      </w:r>
      <w:r>
        <w:rPr>
          <w:vertAlign w:val="baseline"/>
        </w:rPr>
        <w:t>are</w:t>
      </w:r>
      <w:r>
        <w:rPr>
          <w:spacing w:val="-3"/>
          <w:vertAlign w:val="baseline"/>
        </w:rPr>
        <w:t> </w:t>
      </w:r>
      <w:r>
        <w:rPr>
          <w:vertAlign w:val="baseline"/>
        </w:rPr>
        <w:t>diabetic,</w:t>
      </w:r>
      <w:r>
        <w:rPr>
          <w:spacing w:val="-3"/>
          <w:vertAlign w:val="baseline"/>
        </w:rPr>
        <w:t> </w:t>
      </w:r>
      <w:r>
        <w:rPr>
          <w:vertAlign w:val="baseline"/>
        </w:rPr>
        <w:t>with</w:t>
      </w:r>
      <w:r>
        <w:rPr>
          <w:spacing w:val="-3"/>
          <w:vertAlign w:val="baseline"/>
        </w:rPr>
        <w:t> </w:t>
      </w:r>
      <w:r>
        <w:rPr>
          <w:vertAlign w:val="baseline"/>
        </w:rPr>
        <w:t>emphasis</w:t>
      </w:r>
      <w:r>
        <w:rPr>
          <w:spacing w:val="-3"/>
          <w:vertAlign w:val="baseline"/>
        </w:rPr>
        <w:t> </w:t>
      </w:r>
      <w:r>
        <w:rPr>
          <w:vertAlign w:val="baseline"/>
        </w:rPr>
        <w:t>on</w:t>
      </w:r>
      <w:r>
        <w:rPr>
          <w:spacing w:val="-3"/>
          <w:vertAlign w:val="baseline"/>
        </w:rPr>
        <w:t> </w:t>
      </w:r>
      <w:r>
        <w:rPr>
          <w:vertAlign w:val="baseline"/>
        </w:rPr>
        <w:t>adequate</w:t>
      </w:r>
      <w:r>
        <w:rPr>
          <w:spacing w:val="-3"/>
          <w:vertAlign w:val="baseline"/>
        </w:rPr>
        <w:t> </w:t>
      </w:r>
      <w:r>
        <w:rPr>
          <w:vertAlign w:val="baseline"/>
        </w:rPr>
        <w:t>calcium</w:t>
      </w:r>
      <w:r>
        <w:rPr>
          <w:spacing w:val="-3"/>
          <w:vertAlign w:val="baseline"/>
        </w:rPr>
        <w:t> </w:t>
      </w:r>
      <w:r>
        <w:rPr>
          <w:vertAlign w:val="baseline"/>
        </w:rPr>
        <w:t>and</w:t>
      </w:r>
      <w:r>
        <w:rPr>
          <w:spacing w:val="-3"/>
          <w:vertAlign w:val="baseline"/>
        </w:rPr>
        <w:t> </w:t>
      </w:r>
      <w:r>
        <w:rPr>
          <w:vertAlign w:val="baseline"/>
        </w:rPr>
        <w:t>vitamin</w:t>
      </w:r>
      <w:r>
        <w:rPr>
          <w:spacing w:val="-3"/>
          <w:vertAlign w:val="baseline"/>
        </w:rPr>
        <w:t> </w:t>
      </w:r>
      <w:r>
        <w:rPr>
          <w:vertAlign w:val="baseline"/>
        </w:rPr>
        <w:t>D supplementation and appropriate treatment with one of the antiresorptive agents where indicated.</w:t>
      </w:r>
    </w:p>
    <w:p>
      <w:pPr>
        <w:pStyle w:val="BodyText"/>
        <w:spacing w:before="0"/>
        <w:ind w:left="0"/>
        <w:jc w:val="left"/>
        <w:rPr>
          <w:sz w:val="20"/>
        </w:rPr>
      </w:pPr>
    </w:p>
    <w:p>
      <w:pPr>
        <w:pStyle w:val="BodyText"/>
        <w:spacing w:before="118"/>
        <w:ind w:left="0"/>
        <w:jc w:val="left"/>
        <w:rPr>
          <w:sz w:val="20"/>
        </w:rPr>
      </w:pPr>
      <w:r>
        <w:rPr>
          <w:sz w:val="20"/>
        </w:rPr>
        <mc:AlternateContent>
          <mc:Choice Requires="wps">
            <w:drawing>
              <wp:anchor distT="0" distB="0" distL="0" distR="0" allowOverlap="1" layoutInCell="1" locked="0" behindDoc="1" simplePos="0" relativeHeight="487616000">
                <wp:simplePos x="0" y="0"/>
                <wp:positionH relativeFrom="page">
                  <wp:posOffset>981075</wp:posOffset>
                </wp:positionH>
                <wp:positionV relativeFrom="paragraph">
                  <wp:posOffset>236452</wp:posOffset>
                </wp:positionV>
                <wp:extent cx="5810250" cy="2343150"/>
                <wp:effectExtent l="0" t="0" r="0" b="0"/>
                <wp:wrapTopAndBottom/>
                <wp:docPr id="114" name="Group 114"/>
                <wp:cNvGraphicFramePr>
                  <a:graphicFrameLocks/>
                </wp:cNvGraphicFramePr>
                <a:graphic>
                  <a:graphicData uri="http://schemas.microsoft.com/office/word/2010/wordprocessingGroup">
                    <wpg:wgp>
                      <wpg:cNvPr id="114" name="Group 114"/>
                      <wpg:cNvGrpSpPr/>
                      <wpg:grpSpPr>
                        <a:xfrm>
                          <a:off x="0" y="0"/>
                          <a:ext cx="5810250" cy="2343150"/>
                          <a:chExt cx="5810250" cy="2343150"/>
                        </a:xfrm>
                      </wpg:grpSpPr>
                      <wps:wsp>
                        <wps:cNvPr id="115" name="Graphic 115"/>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D5E699"/>
                          </a:solidFill>
                        </wps:spPr>
                        <wps:bodyPr wrap="square" lIns="0" tIns="0" rIns="0" bIns="0" rtlCol="0">
                          <a:prstTxWarp prst="textNoShape">
                            <a:avLst/>
                          </a:prstTxWarp>
                          <a:noAutofit/>
                        </wps:bodyPr>
                      </wps:wsp>
                      <wps:wsp>
                        <wps:cNvPr id="116" name="Graphic 116"/>
                        <wps:cNvSpPr/>
                        <wps:spPr>
                          <a:xfrm>
                            <a:off x="0" y="742949"/>
                            <a:ext cx="5810250" cy="1600200"/>
                          </a:xfrm>
                          <a:custGeom>
                            <a:avLst/>
                            <a:gdLst/>
                            <a:ahLst/>
                            <a:cxnLst/>
                            <a:rect l="l" t="t" r="r" b="b"/>
                            <a:pathLst>
                              <a:path w="5810250" h="1600200">
                                <a:moveTo>
                                  <a:pt x="0" y="1600199"/>
                                </a:moveTo>
                                <a:lnTo>
                                  <a:pt x="5810249" y="1600199"/>
                                </a:lnTo>
                                <a:lnTo>
                                  <a:pt x="5810249" y="0"/>
                                </a:lnTo>
                                <a:lnTo>
                                  <a:pt x="0" y="0"/>
                                </a:lnTo>
                                <a:lnTo>
                                  <a:pt x="0" y="1600199"/>
                                </a:lnTo>
                                <a:close/>
                              </a:path>
                            </a:pathLst>
                          </a:custGeom>
                          <a:solidFill>
                            <a:srgbClr val="E9F1CD"/>
                          </a:solidFill>
                        </wps:spPr>
                        <wps:bodyPr wrap="square" lIns="0" tIns="0" rIns="0" bIns="0" rtlCol="0">
                          <a:prstTxWarp prst="textNoShape">
                            <a:avLst/>
                          </a:prstTxWarp>
                          <a:noAutofit/>
                        </wps:bodyPr>
                      </wps:wsp>
                      <wps:wsp>
                        <wps:cNvPr id="117" name="Graphic 117"/>
                        <wps:cNvSpPr/>
                        <wps:spPr>
                          <a:xfrm>
                            <a:off x="0" y="57149"/>
                            <a:ext cx="5810250" cy="685800"/>
                          </a:xfrm>
                          <a:custGeom>
                            <a:avLst/>
                            <a:gdLst/>
                            <a:ahLst/>
                            <a:cxnLst/>
                            <a:rect l="l" t="t" r="r" b="b"/>
                            <a:pathLst>
                              <a:path w="5810250" h="685800">
                                <a:moveTo>
                                  <a:pt x="5810249" y="685799"/>
                                </a:moveTo>
                                <a:lnTo>
                                  <a:pt x="0" y="685799"/>
                                </a:lnTo>
                                <a:lnTo>
                                  <a:pt x="0" y="0"/>
                                </a:lnTo>
                                <a:lnTo>
                                  <a:pt x="5810249" y="0"/>
                                </a:lnTo>
                                <a:lnTo>
                                  <a:pt x="5810249" y="685799"/>
                                </a:lnTo>
                                <a:close/>
                              </a:path>
                            </a:pathLst>
                          </a:custGeom>
                          <a:solidFill>
                            <a:srgbClr val="2B816F"/>
                          </a:solidFill>
                        </wps:spPr>
                        <wps:bodyPr wrap="square" lIns="0" tIns="0" rIns="0" bIns="0" rtlCol="0">
                          <a:prstTxWarp prst="textNoShape">
                            <a:avLst/>
                          </a:prstTxWarp>
                          <a:noAutofit/>
                        </wps:bodyPr>
                      </wps:wsp>
                      <wps:wsp>
                        <wps:cNvPr id="118" name="Graphic 118"/>
                        <wps:cNvSpPr/>
                        <wps:spPr>
                          <a:xfrm>
                            <a:off x="209549" y="228621"/>
                            <a:ext cx="371475" cy="57150"/>
                          </a:xfrm>
                          <a:custGeom>
                            <a:avLst/>
                            <a:gdLst/>
                            <a:ahLst/>
                            <a:cxnLst/>
                            <a:rect l="l" t="t" r="r" b="b"/>
                            <a:pathLst>
                              <a:path w="371475" h="57150">
                                <a:moveTo>
                                  <a:pt x="32364" y="57111"/>
                                </a:moveTo>
                                <a:lnTo>
                                  <a:pt x="24785" y="57111"/>
                                </a:lnTo>
                                <a:lnTo>
                                  <a:pt x="21140" y="56368"/>
                                </a:lnTo>
                                <a:lnTo>
                                  <a:pt x="0" y="32337"/>
                                </a:lnTo>
                                <a:lnTo>
                                  <a:pt x="0" y="24745"/>
                                </a:lnTo>
                                <a:lnTo>
                                  <a:pt x="725" y="21059"/>
                                </a:lnTo>
                                <a:lnTo>
                                  <a:pt x="3625" y="14068"/>
                                </a:lnTo>
                                <a:lnTo>
                                  <a:pt x="5689" y="10972"/>
                                </a:lnTo>
                                <a:lnTo>
                                  <a:pt x="8369" y="8334"/>
                                </a:lnTo>
                                <a:lnTo>
                                  <a:pt x="11048" y="5657"/>
                                </a:lnTo>
                                <a:lnTo>
                                  <a:pt x="14138" y="3571"/>
                                </a:lnTo>
                                <a:lnTo>
                                  <a:pt x="21140" y="704"/>
                                </a:lnTo>
                                <a:lnTo>
                                  <a:pt x="24785" y="0"/>
                                </a:lnTo>
                                <a:lnTo>
                                  <a:pt x="32364" y="0"/>
                                </a:lnTo>
                                <a:lnTo>
                                  <a:pt x="36009" y="704"/>
                                </a:lnTo>
                                <a:lnTo>
                                  <a:pt x="43011" y="3571"/>
                                </a:lnTo>
                                <a:lnTo>
                                  <a:pt x="46101" y="5657"/>
                                </a:lnTo>
                                <a:lnTo>
                                  <a:pt x="48780" y="8334"/>
                                </a:lnTo>
                                <a:lnTo>
                                  <a:pt x="51459" y="10972"/>
                                </a:lnTo>
                                <a:lnTo>
                                  <a:pt x="53524" y="14068"/>
                                </a:lnTo>
                                <a:lnTo>
                                  <a:pt x="56424" y="21059"/>
                                </a:lnTo>
                                <a:lnTo>
                                  <a:pt x="57149" y="24745"/>
                                </a:lnTo>
                                <a:lnTo>
                                  <a:pt x="57149" y="32337"/>
                                </a:lnTo>
                                <a:lnTo>
                                  <a:pt x="36009" y="56368"/>
                                </a:lnTo>
                                <a:lnTo>
                                  <a:pt x="32364" y="57111"/>
                                </a:lnTo>
                                <a:close/>
                              </a:path>
                              <a:path w="371475" h="57150">
                                <a:moveTo>
                                  <a:pt x="137044" y="57111"/>
                                </a:moveTo>
                                <a:lnTo>
                                  <a:pt x="129465" y="57111"/>
                                </a:lnTo>
                                <a:lnTo>
                                  <a:pt x="125820" y="56368"/>
                                </a:lnTo>
                                <a:lnTo>
                                  <a:pt x="104679" y="32337"/>
                                </a:lnTo>
                                <a:lnTo>
                                  <a:pt x="104679" y="24745"/>
                                </a:lnTo>
                                <a:lnTo>
                                  <a:pt x="105404" y="21059"/>
                                </a:lnTo>
                                <a:lnTo>
                                  <a:pt x="108304" y="14068"/>
                                </a:lnTo>
                                <a:lnTo>
                                  <a:pt x="110369" y="10972"/>
                                </a:lnTo>
                                <a:lnTo>
                                  <a:pt x="113049" y="8334"/>
                                </a:lnTo>
                                <a:lnTo>
                                  <a:pt x="115728" y="5657"/>
                                </a:lnTo>
                                <a:lnTo>
                                  <a:pt x="118818" y="3571"/>
                                </a:lnTo>
                                <a:lnTo>
                                  <a:pt x="125820" y="704"/>
                                </a:lnTo>
                                <a:lnTo>
                                  <a:pt x="129465" y="0"/>
                                </a:lnTo>
                                <a:lnTo>
                                  <a:pt x="137044" y="0"/>
                                </a:lnTo>
                                <a:lnTo>
                                  <a:pt x="140689" y="704"/>
                                </a:lnTo>
                                <a:lnTo>
                                  <a:pt x="147690" y="3571"/>
                                </a:lnTo>
                                <a:lnTo>
                                  <a:pt x="150780" y="5657"/>
                                </a:lnTo>
                                <a:lnTo>
                                  <a:pt x="153460" y="8334"/>
                                </a:lnTo>
                                <a:lnTo>
                                  <a:pt x="156139" y="10972"/>
                                </a:lnTo>
                                <a:lnTo>
                                  <a:pt x="158204" y="14068"/>
                                </a:lnTo>
                                <a:lnTo>
                                  <a:pt x="161104" y="21059"/>
                                </a:lnTo>
                                <a:lnTo>
                                  <a:pt x="161829" y="24745"/>
                                </a:lnTo>
                                <a:lnTo>
                                  <a:pt x="161829" y="32337"/>
                                </a:lnTo>
                                <a:lnTo>
                                  <a:pt x="140689" y="56368"/>
                                </a:lnTo>
                                <a:lnTo>
                                  <a:pt x="137044" y="57111"/>
                                </a:lnTo>
                                <a:close/>
                              </a:path>
                              <a:path w="371475" h="57150">
                                <a:moveTo>
                                  <a:pt x="241723" y="57111"/>
                                </a:moveTo>
                                <a:lnTo>
                                  <a:pt x="234145" y="57111"/>
                                </a:lnTo>
                                <a:lnTo>
                                  <a:pt x="230500" y="56368"/>
                                </a:lnTo>
                                <a:lnTo>
                                  <a:pt x="209359" y="32337"/>
                                </a:lnTo>
                                <a:lnTo>
                                  <a:pt x="209359" y="24745"/>
                                </a:lnTo>
                                <a:lnTo>
                                  <a:pt x="210084" y="21059"/>
                                </a:lnTo>
                                <a:lnTo>
                                  <a:pt x="212984" y="14068"/>
                                </a:lnTo>
                                <a:lnTo>
                                  <a:pt x="215049" y="10972"/>
                                </a:lnTo>
                                <a:lnTo>
                                  <a:pt x="217728" y="8334"/>
                                </a:lnTo>
                                <a:lnTo>
                                  <a:pt x="220408" y="5657"/>
                                </a:lnTo>
                                <a:lnTo>
                                  <a:pt x="223498" y="3571"/>
                                </a:lnTo>
                                <a:lnTo>
                                  <a:pt x="230500" y="704"/>
                                </a:lnTo>
                                <a:lnTo>
                                  <a:pt x="234145" y="0"/>
                                </a:lnTo>
                                <a:lnTo>
                                  <a:pt x="241723" y="0"/>
                                </a:lnTo>
                                <a:lnTo>
                                  <a:pt x="245368" y="704"/>
                                </a:lnTo>
                                <a:lnTo>
                                  <a:pt x="252370" y="3571"/>
                                </a:lnTo>
                                <a:lnTo>
                                  <a:pt x="255460" y="5657"/>
                                </a:lnTo>
                                <a:lnTo>
                                  <a:pt x="258140" y="8334"/>
                                </a:lnTo>
                                <a:lnTo>
                                  <a:pt x="260819" y="10972"/>
                                </a:lnTo>
                                <a:lnTo>
                                  <a:pt x="262884" y="14068"/>
                                </a:lnTo>
                                <a:lnTo>
                                  <a:pt x="265784" y="21059"/>
                                </a:lnTo>
                                <a:lnTo>
                                  <a:pt x="266509" y="24745"/>
                                </a:lnTo>
                                <a:lnTo>
                                  <a:pt x="266509" y="32337"/>
                                </a:lnTo>
                                <a:lnTo>
                                  <a:pt x="245368" y="56368"/>
                                </a:lnTo>
                                <a:lnTo>
                                  <a:pt x="241723" y="57111"/>
                                </a:lnTo>
                                <a:close/>
                              </a:path>
                              <a:path w="371475" h="57150">
                                <a:moveTo>
                                  <a:pt x="346403" y="57111"/>
                                </a:moveTo>
                                <a:lnTo>
                                  <a:pt x="338824" y="57111"/>
                                </a:lnTo>
                                <a:lnTo>
                                  <a:pt x="335179" y="56368"/>
                                </a:lnTo>
                                <a:lnTo>
                                  <a:pt x="314039" y="32337"/>
                                </a:lnTo>
                                <a:lnTo>
                                  <a:pt x="314039" y="24745"/>
                                </a:lnTo>
                                <a:lnTo>
                                  <a:pt x="314764" y="21059"/>
                                </a:lnTo>
                                <a:lnTo>
                                  <a:pt x="317664" y="14068"/>
                                </a:lnTo>
                                <a:lnTo>
                                  <a:pt x="319729" y="10972"/>
                                </a:lnTo>
                                <a:lnTo>
                                  <a:pt x="322408" y="8334"/>
                                </a:lnTo>
                                <a:lnTo>
                                  <a:pt x="325088" y="5657"/>
                                </a:lnTo>
                                <a:lnTo>
                                  <a:pt x="328178" y="3571"/>
                                </a:lnTo>
                                <a:lnTo>
                                  <a:pt x="335179" y="704"/>
                                </a:lnTo>
                                <a:lnTo>
                                  <a:pt x="338824" y="0"/>
                                </a:lnTo>
                                <a:lnTo>
                                  <a:pt x="346403" y="0"/>
                                </a:lnTo>
                                <a:lnTo>
                                  <a:pt x="350048" y="704"/>
                                </a:lnTo>
                                <a:lnTo>
                                  <a:pt x="357050" y="3571"/>
                                </a:lnTo>
                                <a:lnTo>
                                  <a:pt x="360140" y="5657"/>
                                </a:lnTo>
                                <a:lnTo>
                                  <a:pt x="362819" y="8334"/>
                                </a:lnTo>
                                <a:lnTo>
                                  <a:pt x="365499" y="10972"/>
                                </a:lnTo>
                                <a:lnTo>
                                  <a:pt x="367563" y="14068"/>
                                </a:lnTo>
                                <a:lnTo>
                                  <a:pt x="370464" y="21059"/>
                                </a:lnTo>
                                <a:lnTo>
                                  <a:pt x="371189" y="24745"/>
                                </a:lnTo>
                                <a:lnTo>
                                  <a:pt x="371189" y="32337"/>
                                </a:lnTo>
                                <a:lnTo>
                                  <a:pt x="350048" y="56368"/>
                                </a:lnTo>
                                <a:lnTo>
                                  <a:pt x="346403" y="57111"/>
                                </a:lnTo>
                                <a:close/>
                              </a:path>
                            </a:pathLst>
                          </a:custGeom>
                          <a:solidFill>
                            <a:srgbClr val="D0E399"/>
                          </a:solidFill>
                        </wps:spPr>
                        <wps:bodyPr wrap="square" lIns="0" tIns="0" rIns="0" bIns="0" rtlCol="0">
                          <a:prstTxWarp prst="textNoShape">
                            <a:avLst/>
                          </a:prstTxWarp>
                          <a:noAutofit/>
                        </wps:bodyPr>
                      </wps:wsp>
                      <wps:wsp>
                        <wps:cNvPr id="119" name="Graphic 119"/>
                        <wps:cNvSpPr/>
                        <wps:spPr>
                          <a:xfrm>
                            <a:off x="133337" y="1000133"/>
                            <a:ext cx="47625" cy="904875"/>
                          </a:xfrm>
                          <a:custGeom>
                            <a:avLst/>
                            <a:gdLst/>
                            <a:ahLst/>
                            <a:cxnLst/>
                            <a:rect l="l" t="t" r="r" b="b"/>
                            <a:pathLst>
                              <a:path w="47625" h="904875">
                                <a:moveTo>
                                  <a:pt x="47625" y="877900"/>
                                </a:moveTo>
                                <a:lnTo>
                                  <a:pt x="26974" y="857250"/>
                                </a:lnTo>
                                <a:lnTo>
                                  <a:pt x="20662" y="857250"/>
                                </a:lnTo>
                                <a:lnTo>
                                  <a:pt x="0" y="877900"/>
                                </a:lnTo>
                                <a:lnTo>
                                  <a:pt x="0" y="884148"/>
                                </a:lnTo>
                                <a:lnTo>
                                  <a:pt x="20662" y="904836"/>
                                </a:lnTo>
                                <a:lnTo>
                                  <a:pt x="26974" y="904836"/>
                                </a:lnTo>
                                <a:lnTo>
                                  <a:pt x="47625" y="884148"/>
                                </a:lnTo>
                                <a:lnTo>
                                  <a:pt x="47625" y="881062"/>
                                </a:lnTo>
                                <a:lnTo>
                                  <a:pt x="47625" y="877900"/>
                                </a:lnTo>
                                <a:close/>
                              </a:path>
                              <a:path w="47625" h="904875">
                                <a:moveTo>
                                  <a:pt x="47625" y="706412"/>
                                </a:moveTo>
                                <a:lnTo>
                                  <a:pt x="26974" y="685800"/>
                                </a:lnTo>
                                <a:lnTo>
                                  <a:pt x="20662" y="685800"/>
                                </a:lnTo>
                                <a:lnTo>
                                  <a:pt x="0" y="706412"/>
                                </a:lnTo>
                                <a:lnTo>
                                  <a:pt x="0" y="712736"/>
                                </a:lnTo>
                                <a:lnTo>
                                  <a:pt x="20662" y="733386"/>
                                </a:lnTo>
                                <a:lnTo>
                                  <a:pt x="26974" y="733386"/>
                                </a:lnTo>
                                <a:lnTo>
                                  <a:pt x="47625" y="712736"/>
                                </a:lnTo>
                                <a:lnTo>
                                  <a:pt x="47625" y="709612"/>
                                </a:lnTo>
                                <a:lnTo>
                                  <a:pt x="47625" y="706412"/>
                                </a:lnTo>
                                <a:close/>
                              </a:path>
                              <a:path w="47625" h="904875">
                                <a:moveTo>
                                  <a:pt x="47625" y="534962"/>
                                </a:moveTo>
                                <a:lnTo>
                                  <a:pt x="26974" y="514350"/>
                                </a:lnTo>
                                <a:lnTo>
                                  <a:pt x="20662" y="514350"/>
                                </a:lnTo>
                                <a:lnTo>
                                  <a:pt x="0" y="534962"/>
                                </a:lnTo>
                                <a:lnTo>
                                  <a:pt x="0" y="541324"/>
                                </a:lnTo>
                                <a:lnTo>
                                  <a:pt x="20662" y="561936"/>
                                </a:lnTo>
                                <a:lnTo>
                                  <a:pt x="26974" y="561936"/>
                                </a:lnTo>
                                <a:lnTo>
                                  <a:pt x="47625" y="541324"/>
                                </a:lnTo>
                                <a:lnTo>
                                  <a:pt x="47625" y="538162"/>
                                </a:lnTo>
                                <a:lnTo>
                                  <a:pt x="47625" y="534962"/>
                                </a:lnTo>
                                <a:close/>
                              </a:path>
                              <a:path w="47625" h="904875">
                                <a:moveTo>
                                  <a:pt x="47625" y="363550"/>
                                </a:moveTo>
                                <a:lnTo>
                                  <a:pt x="26974" y="342900"/>
                                </a:lnTo>
                                <a:lnTo>
                                  <a:pt x="20662" y="342900"/>
                                </a:lnTo>
                                <a:lnTo>
                                  <a:pt x="0" y="363550"/>
                                </a:lnTo>
                                <a:lnTo>
                                  <a:pt x="0" y="369798"/>
                                </a:lnTo>
                                <a:lnTo>
                                  <a:pt x="20662" y="390486"/>
                                </a:lnTo>
                                <a:lnTo>
                                  <a:pt x="26974" y="390486"/>
                                </a:lnTo>
                                <a:lnTo>
                                  <a:pt x="47625" y="369798"/>
                                </a:lnTo>
                                <a:lnTo>
                                  <a:pt x="47625" y="366712"/>
                                </a:lnTo>
                                <a:lnTo>
                                  <a:pt x="47625" y="363550"/>
                                </a:lnTo>
                                <a:close/>
                              </a:path>
                              <a:path w="47625" h="904875">
                                <a:moveTo>
                                  <a:pt x="47625" y="192024"/>
                                </a:moveTo>
                                <a:lnTo>
                                  <a:pt x="26974" y="171450"/>
                                </a:lnTo>
                                <a:lnTo>
                                  <a:pt x="20662" y="171450"/>
                                </a:lnTo>
                                <a:lnTo>
                                  <a:pt x="0" y="192024"/>
                                </a:lnTo>
                                <a:lnTo>
                                  <a:pt x="0" y="198386"/>
                                </a:lnTo>
                                <a:lnTo>
                                  <a:pt x="20662" y="219036"/>
                                </a:lnTo>
                                <a:lnTo>
                                  <a:pt x="26974" y="219036"/>
                                </a:lnTo>
                                <a:lnTo>
                                  <a:pt x="47625" y="198386"/>
                                </a:lnTo>
                                <a:lnTo>
                                  <a:pt x="47625" y="195262"/>
                                </a:lnTo>
                                <a:lnTo>
                                  <a:pt x="47625" y="192024"/>
                                </a:lnTo>
                                <a:close/>
                              </a:path>
                              <a:path w="47625" h="904875">
                                <a:moveTo>
                                  <a:pt x="47625" y="20612"/>
                                </a:moveTo>
                                <a:lnTo>
                                  <a:pt x="26974" y="0"/>
                                </a:lnTo>
                                <a:lnTo>
                                  <a:pt x="20662" y="0"/>
                                </a:lnTo>
                                <a:lnTo>
                                  <a:pt x="0" y="20612"/>
                                </a:lnTo>
                                <a:lnTo>
                                  <a:pt x="0" y="26974"/>
                                </a:lnTo>
                                <a:lnTo>
                                  <a:pt x="20662" y="47586"/>
                                </a:lnTo>
                                <a:lnTo>
                                  <a:pt x="26974" y="47586"/>
                                </a:lnTo>
                                <a:lnTo>
                                  <a:pt x="47625" y="26974"/>
                                </a:lnTo>
                                <a:lnTo>
                                  <a:pt x="47625" y="23812"/>
                                </a:lnTo>
                                <a:lnTo>
                                  <a:pt x="47625" y="20612"/>
                                </a:lnTo>
                                <a:close/>
                              </a:path>
                            </a:pathLst>
                          </a:custGeom>
                          <a:solidFill>
                            <a:srgbClr val="2B816F"/>
                          </a:solidFill>
                        </wps:spPr>
                        <wps:bodyPr wrap="square" lIns="0" tIns="0" rIns="0" bIns="0" rtlCol="0">
                          <a:prstTxWarp prst="textNoShape">
                            <a:avLst/>
                          </a:prstTxWarp>
                          <a:noAutofit/>
                        </wps:bodyPr>
                      </wps:wsp>
                      <wps:wsp>
                        <wps:cNvPr id="120" name="Textbox 120"/>
                        <wps:cNvSpPr txBox="1"/>
                        <wps:spPr>
                          <a:xfrm>
                            <a:off x="0" y="742949"/>
                            <a:ext cx="5810250" cy="1600200"/>
                          </a:xfrm>
                          <a:prstGeom prst="rect">
                            <a:avLst/>
                          </a:prstGeom>
                        </wps:spPr>
                        <wps:txbx>
                          <w:txbxContent>
                            <w:p>
                              <w:pPr>
                                <w:spacing w:line="240" w:lineRule="auto" w:before="51"/>
                                <w:rPr>
                                  <w:sz w:val="22"/>
                                </w:rPr>
                              </w:pPr>
                            </w:p>
                            <w:p>
                              <w:pPr>
                                <w:spacing w:before="0"/>
                                <w:ind w:left="444" w:right="0" w:firstLine="0"/>
                                <w:jc w:val="left"/>
                                <w:rPr>
                                  <w:sz w:val="22"/>
                                </w:rPr>
                              </w:pPr>
                              <w:r>
                                <w:rPr>
                                  <w:sz w:val="22"/>
                                </w:rPr>
                                <w:t>Glucocorticoid</w:t>
                              </w:r>
                              <w:r>
                                <w:rPr>
                                  <w:spacing w:val="13"/>
                                  <w:sz w:val="22"/>
                                </w:rPr>
                                <w:t> </w:t>
                              </w:r>
                              <w:r>
                                <w:rPr>
                                  <w:sz w:val="22"/>
                                </w:rPr>
                                <w:t>treatment</w:t>
                              </w:r>
                              <w:r>
                                <w:rPr>
                                  <w:spacing w:val="14"/>
                                  <w:sz w:val="22"/>
                                </w:rPr>
                                <w:t> </w:t>
                              </w:r>
                              <w:r>
                                <w:rPr>
                                  <w:sz w:val="22"/>
                                </w:rPr>
                                <w:t>(more</w:t>
                              </w:r>
                              <w:r>
                                <w:rPr>
                                  <w:spacing w:val="13"/>
                                  <w:sz w:val="22"/>
                                </w:rPr>
                                <w:t> </w:t>
                              </w:r>
                              <w:r>
                                <w:rPr>
                                  <w:sz w:val="22"/>
                                </w:rPr>
                                <w:t>than</w:t>
                              </w:r>
                              <w:r>
                                <w:rPr>
                                  <w:spacing w:val="14"/>
                                  <w:sz w:val="22"/>
                                </w:rPr>
                                <w:t> </w:t>
                              </w:r>
                              <w:r>
                                <w:rPr>
                                  <w:sz w:val="22"/>
                                </w:rPr>
                                <w:t>3</w:t>
                              </w:r>
                              <w:r>
                                <w:rPr>
                                  <w:spacing w:val="14"/>
                                  <w:sz w:val="22"/>
                                </w:rPr>
                                <w:t> </w:t>
                              </w:r>
                              <w:r>
                                <w:rPr>
                                  <w:spacing w:val="-2"/>
                                  <w:sz w:val="22"/>
                                </w:rPr>
                                <w:t>months)</w:t>
                              </w:r>
                            </w:p>
                            <w:p>
                              <w:pPr>
                                <w:spacing w:line="256" w:lineRule="auto" w:before="17"/>
                                <w:ind w:left="444" w:right="3202" w:firstLine="0"/>
                                <w:jc w:val="left"/>
                                <w:rPr>
                                  <w:sz w:val="22"/>
                                </w:rPr>
                              </w:pPr>
                              <w:r>
                                <w:rPr>
                                  <w:sz w:val="22"/>
                                </w:rPr>
                                <w:t>Exposure to excessive thyroxine (suppressed TSH </w:t>
                              </w:r>
                              <w:r>
                                <w:rPr>
                                  <w:sz w:val="22"/>
                                </w:rPr>
                                <w:t>levels) SSRI therapy for depression</w:t>
                              </w:r>
                            </w:p>
                            <w:p>
                              <w:pPr>
                                <w:spacing w:line="256" w:lineRule="auto" w:before="0"/>
                                <w:ind w:left="444" w:right="5051" w:firstLine="0"/>
                                <w:jc w:val="left"/>
                                <w:rPr>
                                  <w:sz w:val="22"/>
                                </w:rPr>
                              </w:pPr>
                              <w:r>
                                <w:rPr>
                                  <w:spacing w:val="-2"/>
                                  <w:w w:val="105"/>
                                  <w:sz w:val="22"/>
                                </w:rPr>
                                <w:t>Proton</w:t>
                              </w:r>
                              <w:r>
                                <w:rPr>
                                  <w:spacing w:val="-10"/>
                                  <w:w w:val="105"/>
                                  <w:sz w:val="22"/>
                                </w:rPr>
                                <w:t> </w:t>
                              </w:r>
                              <w:r>
                                <w:rPr>
                                  <w:spacing w:val="-2"/>
                                  <w:w w:val="105"/>
                                  <w:sz w:val="22"/>
                                </w:rPr>
                                <w:t>pump-inhibiting</w:t>
                              </w:r>
                              <w:r>
                                <w:rPr>
                                  <w:spacing w:val="-10"/>
                                  <w:w w:val="105"/>
                                  <w:sz w:val="22"/>
                                </w:rPr>
                                <w:t> </w:t>
                              </w:r>
                              <w:r>
                                <w:rPr>
                                  <w:spacing w:val="-2"/>
                                  <w:w w:val="105"/>
                                  <w:sz w:val="22"/>
                                </w:rPr>
                                <w:t>drugs </w:t>
                              </w:r>
                              <w:r>
                                <w:rPr>
                                  <w:w w:val="105"/>
                                  <w:sz w:val="22"/>
                                </w:rPr>
                                <w:t>Aromatase inhibitors </w:t>
                              </w:r>
                              <w:r>
                                <w:rPr>
                                  <w:spacing w:val="-2"/>
                                  <w:w w:val="105"/>
                                  <w:sz w:val="22"/>
                                </w:rPr>
                                <w:t>Thiazolidinediones</w:t>
                              </w:r>
                            </w:p>
                          </w:txbxContent>
                        </wps:txbx>
                        <wps:bodyPr wrap="square" lIns="0" tIns="0" rIns="0" bIns="0" rtlCol="0">
                          <a:noAutofit/>
                        </wps:bodyPr>
                      </wps:wsp>
                      <wps:wsp>
                        <wps:cNvPr id="121" name="Textbox 121"/>
                        <wps:cNvSpPr txBox="1"/>
                        <wps:spPr>
                          <a:xfrm>
                            <a:off x="0" y="57149"/>
                            <a:ext cx="5810250" cy="685800"/>
                          </a:xfrm>
                          <a:prstGeom prst="rect">
                            <a:avLst/>
                          </a:prstGeom>
                        </wps:spPr>
                        <wps:txbx>
                          <w:txbxContent>
                            <w:p>
                              <w:pPr>
                                <w:spacing w:before="350"/>
                                <w:ind w:left="332" w:right="0" w:firstLine="0"/>
                                <w:jc w:val="left"/>
                                <w:rPr>
                                  <w:rFonts w:ascii="Arial"/>
                                  <w:sz w:val="33"/>
                                </w:rPr>
                              </w:pPr>
                              <w:r>
                                <w:rPr>
                                  <w:rFonts w:ascii="Arial"/>
                                  <w:color w:val="FFFFFF"/>
                                  <w:sz w:val="33"/>
                                </w:rPr>
                                <w:t>Key</w:t>
                              </w:r>
                              <w:r>
                                <w:rPr>
                                  <w:rFonts w:ascii="Arial"/>
                                  <w:color w:val="FFFFFF"/>
                                  <w:spacing w:val="24"/>
                                  <w:sz w:val="33"/>
                                </w:rPr>
                                <w:t> </w:t>
                              </w:r>
                              <w:r>
                                <w:rPr>
                                  <w:rFonts w:ascii="Arial"/>
                                  <w:color w:val="FFFFFF"/>
                                  <w:sz w:val="33"/>
                                </w:rPr>
                                <w:t>Points:</w:t>
                              </w:r>
                              <w:r>
                                <w:rPr>
                                  <w:rFonts w:ascii="Arial"/>
                                  <w:color w:val="FFFFFF"/>
                                  <w:spacing w:val="25"/>
                                  <w:sz w:val="33"/>
                                </w:rPr>
                                <w:t> </w:t>
                              </w:r>
                              <w:r>
                                <w:rPr>
                                  <w:rFonts w:ascii="Arial"/>
                                  <w:color w:val="FFFFFF"/>
                                  <w:sz w:val="33"/>
                                </w:rPr>
                                <w:t>Bone-Losing</w:t>
                              </w:r>
                              <w:r>
                                <w:rPr>
                                  <w:rFonts w:ascii="Arial"/>
                                  <w:color w:val="FFFFFF"/>
                                  <w:spacing w:val="25"/>
                                  <w:sz w:val="33"/>
                                </w:rPr>
                                <w:t> </w:t>
                              </w:r>
                              <w:r>
                                <w:rPr>
                                  <w:rFonts w:ascii="Arial"/>
                                  <w:color w:val="FFFFFF"/>
                                  <w:spacing w:val="-2"/>
                                  <w:sz w:val="33"/>
                                </w:rPr>
                                <w:t>Medications</w:t>
                              </w:r>
                            </w:p>
                          </w:txbxContent>
                        </wps:txbx>
                        <wps:bodyPr wrap="square" lIns="0" tIns="0" rIns="0" bIns="0" rtlCol="0">
                          <a:noAutofit/>
                        </wps:bodyPr>
                      </wps:wsp>
                    </wpg:wgp>
                  </a:graphicData>
                </a:graphic>
              </wp:anchor>
            </w:drawing>
          </mc:Choice>
          <mc:Fallback>
            <w:pict>
              <v:group style="position:absolute;margin-left:77.25pt;margin-top:18.618273pt;width:457.5pt;height:184.5pt;mso-position-horizontal-relative:page;mso-position-vertical-relative:paragraph;z-index:-15700480;mso-wrap-distance-left:0;mso-wrap-distance-right:0" id="docshapegroup99" coordorigin="1545,372" coordsize="9150,3690">
                <v:rect style="position:absolute;left:1545;top:372;width:9150;height:30" id="docshape100" filled="true" fillcolor="#d5e699" stroked="false">
                  <v:fill type="solid"/>
                </v:rect>
                <v:rect style="position:absolute;left:1545;top:1542;width:9150;height:2520" id="docshape101" filled="true" fillcolor="#e9f1cd" stroked="false">
                  <v:fill type="solid"/>
                </v:rect>
                <v:rect style="position:absolute;left:1545;top:462;width:9150;height:1080" id="docshape102" filled="true" fillcolor="#2b816f" stroked="false">
                  <v:fill type="solid"/>
                </v:rect>
                <v:shape style="position:absolute;left:1875;top:732;width:585;height:90" id="docshape103" coordorigin="1875,732" coordsize="585,90" path="m1926,822l1914,822,1908,821,1897,817,1892,813,1888,809,1884,805,1881,800,1876,789,1875,783,1875,771,1876,766,1881,755,1884,750,1888,746,1892,741,1897,738,1908,734,1914,732,1926,732,1932,734,1943,738,1948,741,1952,746,1956,750,1959,755,1964,766,1965,771,1965,783,1964,789,1959,800,1956,805,1952,809,1948,813,1943,817,1932,821,1926,822xm2091,822l2079,822,2073,821,2062,817,2057,813,2053,809,2049,805,2046,800,2041,789,2040,783,2040,771,2041,766,2046,755,2049,750,2053,746,2057,741,2062,738,2073,734,2079,732,2091,732,2097,734,2108,738,2112,741,2117,746,2121,750,2124,755,2129,766,2130,771,2130,783,2129,789,2124,800,2121,805,2117,809,2112,813,2108,817,2097,821,2091,822xm2256,822l2244,822,2238,821,2227,817,2222,813,2218,809,2214,805,2210,800,2206,789,2205,783,2205,771,2206,766,2210,755,2214,750,2218,746,2222,741,2227,738,2238,734,2244,732,2256,732,2261,734,2272,738,2277,741,2282,746,2286,750,2289,755,2294,766,2295,771,2295,783,2294,789,2289,800,2286,805,2282,809,2277,813,2272,817,2261,821,2256,822xm2421,822l2409,822,2403,821,2392,817,2387,813,2383,809,2379,805,2375,800,2371,789,2370,783,2370,771,2371,766,2375,755,2379,750,2383,746,2387,741,2392,738,2403,734,2409,732,2421,732,2426,734,2437,738,2442,741,2446,746,2451,750,2454,755,2458,766,2460,771,2460,783,2458,789,2454,800,2451,805,2446,809,2442,813,2437,817,2426,821,2421,822xe" filled="true" fillcolor="#d0e399" stroked="false">
                  <v:path arrowok="t"/>
                  <v:fill type="solid"/>
                </v:shape>
                <v:shape style="position:absolute;left:1754;top:1947;width:75;height:1425" id="docshape104" coordorigin="1755,1947" coordsize="75,1425" path="m1830,3330l1829,3325,1825,3316,1823,3312,1816,3305,1811,3302,1802,3298,1797,3297,1788,3297,1783,3298,1774,3302,1769,3305,1762,3312,1760,3316,1756,3325,1755,3330,1755,3340,1756,3345,1760,3354,1762,3358,1769,3365,1774,3368,1783,3371,1788,3372,1797,3372,1802,3371,1811,3368,1816,3365,1823,3358,1825,3354,1829,3344,1830,3340,1830,3335,1830,3330xm1830,3060l1829,3055,1825,3046,1823,3042,1816,3035,1811,3032,1802,3028,1797,3027,1788,3027,1783,3028,1774,3032,1769,3035,1762,3042,1760,3046,1756,3055,1755,3060,1755,3070,1756,3075,1760,3084,1762,3088,1769,3095,1774,3098,1783,3101,1788,3102,1797,3102,1802,3101,1811,3098,1816,3095,1823,3088,1825,3084,1829,3075,1830,3070,1830,3065,1830,3060xm1830,2790l1829,2785,1825,2776,1823,2772,1816,2765,1811,2762,1802,2758,1797,2757,1788,2757,1783,2758,1774,2762,1769,2765,1762,2772,1760,2776,1756,2785,1755,2790,1755,2800,1756,2805,1760,2814,1762,2818,1769,2825,1774,2827,1783,2831,1788,2832,1797,2832,1802,2831,1811,2828,1816,2825,1823,2818,1825,2814,1829,2805,1830,2800,1830,2795,1830,2790xm1830,2520l1829,2515,1825,2506,1823,2502,1816,2495,1811,2492,1802,2488,1797,2487,1788,2487,1783,2488,1774,2492,1769,2495,1762,2502,1760,2506,1756,2515,1755,2520,1755,2530,1756,2534,1760,2544,1762,2548,1769,2555,1774,2558,1783,2561,1788,2562,1797,2562,1802,2561,1811,2557,1816,2555,1823,2548,1825,2544,1829,2534,1830,2530,1830,2525,1830,2520xm1830,2250l1829,2245,1825,2236,1823,2232,1816,2225,1811,2222,1802,2218,1797,2217,1788,2217,1783,2218,1774,2222,1769,2225,1762,2232,1760,2236,1756,2245,1755,2250,1755,2260,1756,2265,1760,2274,1762,2278,1769,2285,1774,2288,1783,2291,1788,2292,1797,2292,1802,2291,1811,2288,1816,2285,1823,2278,1825,2274,1829,2265,1830,2260,1830,2255,1830,2250xm1830,1980l1829,1975,1825,1966,1823,1962,1816,1955,1811,1952,1802,1948,1797,1947,1788,1947,1783,1948,1774,1952,1769,1955,1762,1962,1760,1966,1756,1975,1755,1980,1755,1990,1756,1995,1760,2004,1762,2008,1769,2015,1774,2017,1783,2021,1788,2022,1797,2022,1802,2021,1811,2017,1816,2015,1823,2008,1825,2004,1829,1995,1830,1990,1830,1985,1830,1980xe" filled="true" fillcolor="#2b816f" stroked="false">
                  <v:path arrowok="t"/>
                  <v:fill type="solid"/>
                </v:shape>
                <v:shape style="position:absolute;left:1545;top:1542;width:9150;height:2520" type="#_x0000_t202" id="docshape105" filled="false" stroked="false">
                  <v:textbox inset="0,0,0,0">
                    <w:txbxContent>
                      <w:p>
                        <w:pPr>
                          <w:spacing w:line="240" w:lineRule="auto" w:before="51"/>
                          <w:rPr>
                            <w:sz w:val="22"/>
                          </w:rPr>
                        </w:pPr>
                      </w:p>
                      <w:p>
                        <w:pPr>
                          <w:spacing w:before="0"/>
                          <w:ind w:left="444" w:right="0" w:firstLine="0"/>
                          <w:jc w:val="left"/>
                          <w:rPr>
                            <w:sz w:val="22"/>
                          </w:rPr>
                        </w:pPr>
                        <w:r>
                          <w:rPr>
                            <w:sz w:val="22"/>
                          </w:rPr>
                          <w:t>Glucocorticoid</w:t>
                        </w:r>
                        <w:r>
                          <w:rPr>
                            <w:spacing w:val="13"/>
                            <w:sz w:val="22"/>
                          </w:rPr>
                          <w:t> </w:t>
                        </w:r>
                        <w:r>
                          <w:rPr>
                            <w:sz w:val="22"/>
                          </w:rPr>
                          <w:t>treatment</w:t>
                        </w:r>
                        <w:r>
                          <w:rPr>
                            <w:spacing w:val="14"/>
                            <w:sz w:val="22"/>
                          </w:rPr>
                          <w:t> </w:t>
                        </w:r>
                        <w:r>
                          <w:rPr>
                            <w:sz w:val="22"/>
                          </w:rPr>
                          <w:t>(more</w:t>
                        </w:r>
                        <w:r>
                          <w:rPr>
                            <w:spacing w:val="13"/>
                            <w:sz w:val="22"/>
                          </w:rPr>
                          <w:t> </w:t>
                        </w:r>
                        <w:r>
                          <w:rPr>
                            <w:sz w:val="22"/>
                          </w:rPr>
                          <w:t>than</w:t>
                        </w:r>
                        <w:r>
                          <w:rPr>
                            <w:spacing w:val="14"/>
                            <w:sz w:val="22"/>
                          </w:rPr>
                          <w:t> </w:t>
                        </w:r>
                        <w:r>
                          <w:rPr>
                            <w:sz w:val="22"/>
                          </w:rPr>
                          <w:t>3</w:t>
                        </w:r>
                        <w:r>
                          <w:rPr>
                            <w:spacing w:val="14"/>
                            <w:sz w:val="22"/>
                          </w:rPr>
                          <w:t> </w:t>
                        </w:r>
                        <w:r>
                          <w:rPr>
                            <w:spacing w:val="-2"/>
                            <w:sz w:val="22"/>
                          </w:rPr>
                          <w:t>months)</w:t>
                        </w:r>
                      </w:p>
                      <w:p>
                        <w:pPr>
                          <w:spacing w:line="256" w:lineRule="auto" w:before="17"/>
                          <w:ind w:left="444" w:right="3202" w:firstLine="0"/>
                          <w:jc w:val="left"/>
                          <w:rPr>
                            <w:sz w:val="22"/>
                          </w:rPr>
                        </w:pPr>
                        <w:r>
                          <w:rPr>
                            <w:sz w:val="22"/>
                          </w:rPr>
                          <w:t>Exposure to excessive thyroxine (suppressed TSH </w:t>
                        </w:r>
                        <w:r>
                          <w:rPr>
                            <w:sz w:val="22"/>
                          </w:rPr>
                          <w:t>levels) SSRI therapy for depression</w:t>
                        </w:r>
                      </w:p>
                      <w:p>
                        <w:pPr>
                          <w:spacing w:line="256" w:lineRule="auto" w:before="0"/>
                          <w:ind w:left="444" w:right="5051" w:firstLine="0"/>
                          <w:jc w:val="left"/>
                          <w:rPr>
                            <w:sz w:val="22"/>
                          </w:rPr>
                        </w:pPr>
                        <w:r>
                          <w:rPr>
                            <w:spacing w:val="-2"/>
                            <w:w w:val="105"/>
                            <w:sz w:val="22"/>
                          </w:rPr>
                          <w:t>Proton</w:t>
                        </w:r>
                        <w:r>
                          <w:rPr>
                            <w:spacing w:val="-10"/>
                            <w:w w:val="105"/>
                            <w:sz w:val="22"/>
                          </w:rPr>
                          <w:t> </w:t>
                        </w:r>
                        <w:r>
                          <w:rPr>
                            <w:spacing w:val="-2"/>
                            <w:w w:val="105"/>
                            <w:sz w:val="22"/>
                          </w:rPr>
                          <w:t>pump-inhibiting</w:t>
                        </w:r>
                        <w:r>
                          <w:rPr>
                            <w:spacing w:val="-10"/>
                            <w:w w:val="105"/>
                            <w:sz w:val="22"/>
                          </w:rPr>
                          <w:t> </w:t>
                        </w:r>
                        <w:r>
                          <w:rPr>
                            <w:spacing w:val="-2"/>
                            <w:w w:val="105"/>
                            <w:sz w:val="22"/>
                          </w:rPr>
                          <w:t>drugs </w:t>
                        </w:r>
                        <w:r>
                          <w:rPr>
                            <w:w w:val="105"/>
                            <w:sz w:val="22"/>
                          </w:rPr>
                          <w:t>Aromatase inhibitors </w:t>
                        </w:r>
                        <w:r>
                          <w:rPr>
                            <w:spacing w:val="-2"/>
                            <w:w w:val="105"/>
                            <w:sz w:val="22"/>
                          </w:rPr>
                          <w:t>Thiazolidinediones</w:t>
                        </w:r>
                      </w:p>
                    </w:txbxContent>
                  </v:textbox>
                  <w10:wrap type="none"/>
                </v:shape>
                <v:shape style="position:absolute;left:1545;top:462;width:9150;height:1080" type="#_x0000_t202" id="docshape106" filled="false" stroked="false">
                  <v:textbox inset="0,0,0,0">
                    <w:txbxContent>
                      <w:p>
                        <w:pPr>
                          <w:spacing w:before="350"/>
                          <w:ind w:left="332" w:right="0" w:firstLine="0"/>
                          <w:jc w:val="left"/>
                          <w:rPr>
                            <w:rFonts w:ascii="Arial"/>
                            <w:sz w:val="33"/>
                          </w:rPr>
                        </w:pPr>
                        <w:r>
                          <w:rPr>
                            <w:rFonts w:ascii="Arial"/>
                            <w:color w:val="FFFFFF"/>
                            <w:sz w:val="33"/>
                          </w:rPr>
                          <w:t>Key</w:t>
                        </w:r>
                        <w:r>
                          <w:rPr>
                            <w:rFonts w:ascii="Arial"/>
                            <w:color w:val="FFFFFF"/>
                            <w:spacing w:val="24"/>
                            <w:sz w:val="33"/>
                          </w:rPr>
                          <w:t> </w:t>
                        </w:r>
                        <w:r>
                          <w:rPr>
                            <w:rFonts w:ascii="Arial"/>
                            <w:color w:val="FFFFFF"/>
                            <w:sz w:val="33"/>
                          </w:rPr>
                          <w:t>Points:</w:t>
                        </w:r>
                        <w:r>
                          <w:rPr>
                            <w:rFonts w:ascii="Arial"/>
                            <w:color w:val="FFFFFF"/>
                            <w:spacing w:val="25"/>
                            <w:sz w:val="33"/>
                          </w:rPr>
                          <w:t> </w:t>
                        </w:r>
                        <w:r>
                          <w:rPr>
                            <w:rFonts w:ascii="Arial"/>
                            <w:color w:val="FFFFFF"/>
                            <w:sz w:val="33"/>
                          </w:rPr>
                          <w:t>Bone-Losing</w:t>
                        </w:r>
                        <w:r>
                          <w:rPr>
                            <w:rFonts w:ascii="Arial"/>
                            <w:color w:val="FFFFFF"/>
                            <w:spacing w:val="25"/>
                            <w:sz w:val="33"/>
                          </w:rPr>
                          <w:t> </w:t>
                        </w:r>
                        <w:r>
                          <w:rPr>
                            <w:rFonts w:ascii="Arial"/>
                            <w:color w:val="FFFFFF"/>
                            <w:spacing w:val="-2"/>
                            <w:sz w:val="33"/>
                          </w:rPr>
                          <w:t>Medications</w:t>
                        </w:r>
                      </w:p>
                    </w:txbxContent>
                  </v:textbox>
                  <w10:wrap type="none"/>
                </v:shape>
                <w10:wrap type="topAndBottom"/>
              </v:group>
            </w:pict>
          </mc:Fallback>
        </mc:AlternateContent>
      </w:r>
    </w:p>
    <w:p>
      <w:pPr>
        <w:pStyle w:val="BodyText"/>
        <w:spacing w:before="0"/>
        <w:ind w:left="0"/>
        <w:jc w:val="left"/>
      </w:pPr>
    </w:p>
    <w:p>
      <w:pPr>
        <w:pStyle w:val="BodyText"/>
        <w:spacing w:before="213"/>
        <w:ind w:left="0"/>
        <w:jc w:val="left"/>
      </w:pPr>
    </w:p>
    <w:p>
      <w:pPr>
        <w:spacing w:before="0"/>
        <w:ind w:left="99" w:right="0" w:firstLine="0"/>
        <w:jc w:val="left"/>
        <w:rPr>
          <w:rFonts w:ascii="Arial"/>
          <w:b/>
          <w:sz w:val="30"/>
        </w:rPr>
      </w:pPr>
      <w:r>
        <w:rPr>
          <w:rFonts w:ascii="Arial"/>
          <w:b/>
          <w:color w:val="2674AE"/>
          <w:sz w:val="30"/>
        </w:rPr>
        <w:t>Management of a </w:t>
      </w:r>
      <w:r>
        <w:rPr>
          <w:rFonts w:ascii="Arial"/>
          <w:b/>
          <w:color w:val="2674AE"/>
          <w:spacing w:val="-2"/>
          <w:sz w:val="30"/>
        </w:rPr>
        <w:t>Nonresponder</w:t>
      </w:r>
    </w:p>
    <w:p>
      <w:pPr>
        <w:spacing w:after="0"/>
        <w:jc w:val="left"/>
        <w:rPr>
          <w:rFonts w:ascii="Arial"/>
          <w:b/>
          <w:sz w:val="30"/>
        </w:rPr>
        <w:sectPr>
          <w:pgSz w:w="12240" w:h="15840"/>
          <w:pgMar w:top="1380" w:bottom="280" w:left="1440" w:right="1440"/>
        </w:sectPr>
      </w:pPr>
    </w:p>
    <w:p>
      <w:pPr>
        <w:pStyle w:val="BodyText"/>
        <w:spacing w:line="249" w:lineRule="auto"/>
        <w:ind w:right="98"/>
      </w:pPr>
      <w:r>
        <w:rPr>
          <w:b/>
        </w:rPr>
        <w:t>Response to treatment is assessed by repeating BMD assessment. </w:t>
      </w:r>
      <w:r>
        <w:rPr/>
        <w:t>Treatment efficacy is reflected in stable or improved BMD repeated at a minimum interval of 1 year from the baseline study. </w:t>
      </w:r>
      <w:r>
        <w:rPr>
          <w:b/>
        </w:rPr>
        <w:t>It is important to appreciate that the number to focus on when assessing interval </w:t>
      </w:r>
      <w:r>
        <w:rPr>
          <w:b/>
        </w:rPr>
        <w:t>change is of the actual BMD that is reported in g/cm</w:t>
      </w:r>
      <w:r>
        <w:rPr>
          <w:b/>
          <w:vertAlign w:val="superscript"/>
        </w:rPr>
        <w:t>2</w:t>
      </w:r>
      <w:r>
        <w:rPr>
          <w:b/>
          <w:vertAlign w:val="baseline"/>
        </w:rPr>
        <w:t>, and not the </w:t>
      </w:r>
      <w:r>
        <w:rPr>
          <w:b/>
          <w:i/>
          <w:vertAlign w:val="baseline"/>
        </w:rPr>
        <w:t>T</w:t>
      </w:r>
      <w:r>
        <w:rPr>
          <w:b/>
          <w:vertAlign w:val="baseline"/>
        </w:rPr>
        <w:t>-scores. </w:t>
      </w:r>
      <w:r>
        <w:rPr>
          <w:vertAlign w:val="baseline"/>
        </w:rPr>
        <w:t>There are two reasons to question the prevalence of nonresponse to treatment. The first reason is the argument that the results of single bone density measurements display the phenomenon of regression to the mean (extreme results are in part due to random error). Analysis of the hip and spinal bone density data from the randomized clinical trials assessing the effects of alendronate and raloxifene in postmenopausal women with osteoporosis revealed that women who lost BMD after 1 year of treatment were likely to gain bone during the second year.</w:t>
      </w:r>
      <w:r>
        <w:rPr>
          <w:vertAlign w:val="superscript"/>
        </w:rPr>
        <w:t>384</w:t>
      </w:r>
      <w:r>
        <w:rPr>
          <w:vertAlign w:val="baseline"/>
        </w:rPr>
        <w:t> The more extreme the measurement after 1 year of treatment, the more likely the next year’s measurement indicated a reversal. Therefore, it has been recommended that bone treatments should not be discontinued when measurements after 1</w:t>
      </w:r>
      <w:r>
        <w:rPr>
          <w:spacing w:val="40"/>
          <w:vertAlign w:val="baseline"/>
        </w:rPr>
        <w:t> </w:t>
      </w:r>
      <w:r>
        <w:rPr>
          <w:vertAlign w:val="baseline"/>
        </w:rPr>
        <w:t>year indicate loss of bone density because repeat results are usually closer</w:t>
      </w:r>
      <w:r>
        <w:rPr>
          <w:spacing w:val="40"/>
          <w:vertAlign w:val="baseline"/>
        </w:rPr>
        <w:t> </w:t>
      </w:r>
      <w:r>
        <w:rPr>
          <w:vertAlign w:val="baseline"/>
        </w:rPr>
        <w:t>to the mean. Once a lack of response is identified based on repeat bone density assessment, the next step should be to inquire about compliance, particularly with prescribed oral agents, and assess serum 25-hydroxyvitamin D and calcium levels as vitamin D deficiency is a common mechanism for failure of antifracture treatments. Optimal vitamin D levels are necessary to maximize the response to any antiresorption agent.</w:t>
      </w:r>
      <w:r>
        <w:rPr>
          <w:vertAlign w:val="superscript"/>
        </w:rPr>
        <w:t>385</w:t>
      </w:r>
      <w:r>
        <w:rPr>
          <w:vertAlign w:val="baseline"/>
        </w:rPr>
        <w:t> This emphasizes the need to titer the dose of vitamin D supplementation by measuring the circulating level of 25-hydroxyvitamin D. A value less than 30 ng/mL is below normal; less than 20 ng/mL is a definitive indication of vitamin D deficiency. Assessment of bone turnover markers can allow insights into compliance as well as effectiveness as a minimum of 30% reduction in markers of bone resorption should occur with the use of estrogens, raloxifene, bisphosphonates, and denosumab.</w:t>
      </w:r>
    </w:p>
    <w:p>
      <w:pPr>
        <w:pStyle w:val="BodyText"/>
        <w:spacing w:before="0"/>
        <w:ind w:left="0"/>
        <w:jc w:val="left"/>
        <w:rPr>
          <w:sz w:val="22"/>
        </w:rPr>
      </w:pPr>
    </w:p>
    <w:p>
      <w:pPr>
        <w:pStyle w:val="BodyText"/>
        <w:spacing w:before="0"/>
        <w:ind w:left="0"/>
        <w:jc w:val="left"/>
        <w:rPr>
          <w:sz w:val="22"/>
        </w:rPr>
      </w:pPr>
    </w:p>
    <w:p>
      <w:pPr>
        <w:pStyle w:val="BodyText"/>
        <w:spacing w:before="0"/>
        <w:ind w:left="0"/>
        <w:jc w:val="left"/>
        <w:rPr>
          <w:sz w:val="22"/>
        </w:rPr>
      </w:pPr>
    </w:p>
    <w:p>
      <w:pPr>
        <w:pStyle w:val="BodyText"/>
        <w:spacing w:before="164"/>
        <w:ind w:left="0"/>
        <w:jc w:val="left"/>
        <w:rPr>
          <w:sz w:val="22"/>
        </w:rPr>
      </w:pPr>
    </w:p>
    <w:p>
      <w:pPr>
        <w:spacing w:line="256" w:lineRule="auto" w:before="0"/>
        <w:ind w:left="2267" w:right="300" w:firstLine="0"/>
        <w:jc w:val="left"/>
        <w:rPr>
          <w:sz w:val="22"/>
        </w:rPr>
      </w:pPr>
      <w:r>
        <w:rPr>
          <w:sz w:val="22"/>
        </w:rPr>
        <mc:AlternateContent>
          <mc:Choice Requires="wps">
            <w:drawing>
              <wp:anchor distT="0" distB="0" distL="0" distR="0" allowOverlap="1" layoutInCell="1" locked="0" behindDoc="1" simplePos="0" relativeHeight="486732288">
                <wp:simplePos x="0" y="0"/>
                <wp:positionH relativeFrom="page">
                  <wp:posOffset>981074</wp:posOffset>
                </wp:positionH>
                <wp:positionV relativeFrom="paragraph">
                  <wp:posOffset>-345461</wp:posOffset>
                </wp:positionV>
                <wp:extent cx="5810250" cy="990600"/>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5810250" cy="990600"/>
                          <a:chExt cx="5810250" cy="990600"/>
                        </a:xfrm>
                      </wpg:grpSpPr>
                      <wps:wsp>
                        <wps:cNvPr id="123" name="Graphic 123"/>
                        <wps:cNvSpPr/>
                        <wps:spPr>
                          <a:xfrm>
                            <a:off x="1219187" y="409583"/>
                            <a:ext cx="47625" cy="390525"/>
                          </a:xfrm>
                          <a:custGeom>
                            <a:avLst/>
                            <a:gdLst/>
                            <a:ahLst/>
                            <a:cxnLst/>
                            <a:rect l="l" t="t" r="r" b="b"/>
                            <a:pathLst>
                              <a:path w="47625" h="390525">
                                <a:moveTo>
                                  <a:pt x="47625" y="363512"/>
                                </a:moveTo>
                                <a:lnTo>
                                  <a:pt x="26974" y="342900"/>
                                </a:lnTo>
                                <a:lnTo>
                                  <a:pt x="20662" y="342900"/>
                                </a:lnTo>
                                <a:lnTo>
                                  <a:pt x="0" y="363512"/>
                                </a:lnTo>
                                <a:lnTo>
                                  <a:pt x="0" y="369836"/>
                                </a:lnTo>
                                <a:lnTo>
                                  <a:pt x="20662" y="390486"/>
                                </a:lnTo>
                                <a:lnTo>
                                  <a:pt x="26974" y="390486"/>
                                </a:lnTo>
                                <a:lnTo>
                                  <a:pt x="47625" y="369836"/>
                                </a:lnTo>
                                <a:lnTo>
                                  <a:pt x="47625" y="366712"/>
                                </a:lnTo>
                                <a:lnTo>
                                  <a:pt x="47625" y="363512"/>
                                </a:lnTo>
                                <a:close/>
                              </a:path>
                              <a:path w="47625" h="390525">
                                <a:moveTo>
                                  <a:pt x="47625" y="20612"/>
                                </a:moveTo>
                                <a:lnTo>
                                  <a:pt x="26974" y="0"/>
                                </a:lnTo>
                                <a:lnTo>
                                  <a:pt x="20662" y="0"/>
                                </a:lnTo>
                                <a:lnTo>
                                  <a:pt x="0" y="20612"/>
                                </a:lnTo>
                                <a:lnTo>
                                  <a:pt x="0" y="26936"/>
                                </a:lnTo>
                                <a:lnTo>
                                  <a:pt x="20662" y="47586"/>
                                </a:lnTo>
                                <a:lnTo>
                                  <a:pt x="26974" y="47586"/>
                                </a:lnTo>
                                <a:lnTo>
                                  <a:pt x="47625" y="26936"/>
                                </a:lnTo>
                                <a:lnTo>
                                  <a:pt x="47625" y="23812"/>
                                </a:lnTo>
                                <a:lnTo>
                                  <a:pt x="47625" y="20612"/>
                                </a:lnTo>
                                <a:close/>
                              </a:path>
                            </a:pathLst>
                          </a:custGeom>
                          <a:solidFill>
                            <a:srgbClr val="94989C"/>
                          </a:solidFill>
                        </wps:spPr>
                        <wps:bodyPr wrap="square" lIns="0" tIns="0" rIns="0" bIns="0" rtlCol="0">
                          <a:prstTxWarp prst="textNoShape">
                            <a:avLst/>
                          </a:prstTxWarp>
                          <a:noAutofit/>
                        </wps:bodyPr>
                      </wps:wsp>
                      <wps:wsp>
                        <wps:cNvPr id="124" name="Textbox 124"/>
                        <wps:cNvSpPr txBox="1"/>
                        <wps:spPr>
                          <a:xfrm>
                            <a:off x="0" y="285749"/>
                            <a:ext cx="1162050" cy="704850"/>
                          </a:xfrm>
                          <a:prstGeom prst="rect">
                            <a:avLst/>
                          </a:prstGeom>
                          <a:solidFill>
                            <a:srgbClr val="DDE6E3"/>
                          </a:solidFill>
                        </wps:spPr>
                        <wps:txbx>
                          <w:txbxContent>
                            <w:p>
                              <w:pPr>
                                <w:spacing w:line="256" w:lineRule="auto" w:before="138"/>
                                <w:ind w:left="84" w:right="0" w:firstLine="0"/>
                                <w:jc w:val="left"/>
                                <w:rPr>
                                  <w:rFonts w:ascii="Arial"/>
                                  <w:b/>
                                  <w:color w:val="000000"/>
                                  <w:sz w:val="22"/>
                                </w:rPr>
                              </w:pPr>
                              <w:r>
                                <w:rPr>
                                  <w:rFonts w:ascii="Arial"/>
                                  <w:b/>
                                  <w:color w:val="1C5349"/>
                                  <w:sz w:val="22"/>
                                </w:rPr>
                                <w:t>Bone</w:t>
                              </w:r>
                              <w:r>
                                <w:rPr>
                                  <w:rFonts w:ascii="Arial"/>
                                  <w:b/>
                                  <w:color w:val="1C5349"/>
                                  <w:spacing w:val="-5"/>
                                  <w:sz w:val="22"/>
                                </w:rPr>
                                <w:t> </w:t>
                              </w:r>
                              <w:r>
                                <w:rPr>
                                  <w:rFonts w:ascii="Arial"/>
                                  <w:b/>
                                  <w:color w:val="1C5349"/>
                                  <w:sz w:val="22"/>
                                </w:rPr>
                                <w:t>mineral </w:t>
                              </w:r>
                              <w:r>
                                <w:rPr>
                                  <w:rFonts w:ascii="Arial"/>
                                  <w:b/>
                                  <w:color w:val="1C5349"/>
                                  <w:spacing w:val="-2"/>
                                  <w:sz w:val="22"/>
                                </w:rPr>
                                <w:t>density monitoring</w:t>
                              </w:r>
                            </w:p>
                          </w:txbxContent>
                        </wps:txbx>
                        <wps:bodyPr wrap="square" lIns="0" tIns="0" rIns="0" bIns="0" rtlCol="0">
                          <a:noAutofit/>
                        </wps:bodyPr>
                      </wps:wsp>
                      <wps:wsp>
                        <wps:cNvPr id="125" name="Textbox 125"/>
                        <wps:cNvSpPr txBox="1"/>
                        <wps:spPr>
                          <a:xfrm>
                            <a:off x="0" y="0"/>
                            <a:ext cx="5810250" cy="285750"/>
                          </a:xfrm>
                          <a:prstGeom prst="rect">
                            <a:avLst/>
                          </a:prstGeom>
                          <a:solidFill>
                            <a:srgbClr val="256E60"/>
                          </a:solidFill>
                        </wps:spPr>
                        <wps:txbx>
                          <w:txbxContent>
                            <w:p>
                              <w:pPr>
                                <w:spacing w:before="93"/>
                                <w:ind w:left="84" w:right="0" w:firstLine="0"/>
                                <w:jc w:val="left"/>
                                <w:rPr>
                                  <w:rFonts w:ascii="Arial"/>
                                  <w:b/>
                                  <w:color w:val="000000"/>
                                  <w:sz w:val="22"/>
                                </w:rPr>
                              </w:pPr>
                              <w:r>
                                <w:rPr>
                                  <w:rFonts w:ascii="Arial"/>
                                  <w:b/>
                                  <w:color w:val="FFFFFF"/>
                                  <w:sz w:val="22"/>
                                </w:rPr>
                                <w:t>TABLE</w:t>
                              </w:r>
                              <w:r>
                                <w:rPr>
                                  <w:rFonts w:ascii="Arial"/>
                                  <w:b/>
                                  <w:color w:val="FFFFFF"/>
                                  <w:spacing w:val="9"/>
                                  <w:sz w:val="22"/>
                                </w:rPr>
                                <w:t> </w:t>
                              </w:r>
                              <w:r>
                                <w:rPr>
                                  <w:rFonts w:ascii="Arial"/>
                                  <w:b/>
                                  <w:color w:val="FFFFFF"/>
                                  <w:sz w:val="22"/>
                                </w:rPr>
                                <w:t>23.7</w:t>
                              </w:r>
                              <w:r>
                                <w:rPr>
                                  <w:rFonts w:ascii="Arial"/>
                                  <w:b/>
                                  <w:color w:val="FFFFFF"/>
                                  <w:spacing w:val="10"/>
                                  <w:sz w:val="22"/>
                                </w:rPr>
                                <w:t> </w:t>
                              </w:r>
                              <w:r>
                                <w:rPr>
                                  <w:rFonts w:ascii="Arial"/>
                                  <w:b/>
                                  <w:color w:val="FFFFFF"/>
                                  <w:sz w:val="22"/>
                                </w:rPr>
                                <w:t>Is</w:t>
                              </w:r>
                              <w:r>
                                <w:rPr>
                                  <w:rFonts w:ascii="Arial"/>
                                  <w:b/>
                                  <w:color w:val="FFFFFF"/>
                                  <w:spacing w:val="9"/>
                                  <w:sz w:val="22"/>
                                </w:rPr>
                                <w:t> </w:t>
                              </w:r>
                              <w:r>
                                <w:rPr>
                                  <w:rFonts w:ascii="Arial"/>
                                  <w:b/>
                                  <w:color w:val="FFFFFF"/>
                                  <w:sz w:val="22"/>
                                </w:rPr>
                                <w:t>Antifracture</w:t>
                              </w:r>
                              <w:r>
                                <w:rPr>
                                  <w:rFonts w:ascii="Arial"/>
                                  <w:b/>
                                  <w:color w:val="FFFFFF"/>
                                  <w:spacing w:val="10"/>
                                  <w:sz w:val="22"/>
                                </w:rPr>
                                <w:t> </w:t>
                              </w:r>
                              <w:r>
                                <w:rPr>
                                  <w:rFonts w:ascii="Arial"/>
                                  <w:b/>
                                  <w:color w:val="FFFFFF"/>
                                  <w:sz w:val="22"/>
                                </w:rPr>
                                <w:t>Treatment</w:t>
                              </w:r>
                              <w:r>
                                <w:rPr>
                                  <w:rFonts w:ascii="Arial"/>
                                  <w:b/>
                                  <w:color w:val="FFFFFF"/>
                                  <w:spacing w:val="10"/>
                                  <w:sz w:val="22"/>
                                </w:rPr>
                                <w:t> </w:t>
                              </w:r>
                              <w:r>
                                <w:rPr>
                                  <w:rFonts w:ascii="Arial"/>
                                  <w:b/>
                                  <w:color w:val="FFFFFF"/>
                                  <w:spacing w:val="-2"/>
                                  <w:sz w:val="22"/>
                                </w:rPr>
                                <w:t>Working?</w:t>
                              </w:r>
                            </w:p>
                          </w:txbxContent>
                        </wps:txbx>
                        <wps:bodyPr wrap="square" lIns="0" tIns="0" rIns="0" bIns="0" rtlCol="0">
                          <a:noAutofit/>
                        </wps:bodyPr>
                      </wps:wsp>
                    </wpg:wgp>
                  </a:graphicData>
                </a:graphic>
              </wp:anchor>
            </w:drawing>
          </mc:Choice>
          <mc:Fallback>
            <w:pict>
              <v:group style="position:absolute;margin-left:77.249992pt;margin-top:-27.201689pt;width:457.5pt;height:78pt;mso-position-horizontal-relative:page;mso-position-vertical-relative:paragraph;z-index:-16584192" id="docshapegroup107" coordorigin="1545,-544" coordsize="9150,1560">
                <v:shape style="position:absolute;left:3464;top:100;width:75;height:615" id="docshape108" coordorigin="3465,101" coordsize="75,615" path="m3540,673l3539,669,3535,659,3533,655,3525,648,3521,646,3512,642,3507,641,3498,641,3493,642,3484,646,3479,648,3472,655,3470,659,3466,669,3465,673,3465,683,3466,688,3470,697,3472,701,3479,708,3484,711,3493,715,3498,716,3507,716,3512,715,3521,711,3525,708,3533,701,3535,697,3539,688,3540,683,3540,678,3540,673xm3540,133l3539,129,3535,119,3533,115,3525,108,3521,106,3512,102,3507,101,3498,101,3493,102,3484,106,3479,108,3472,115,3470,119,3466,129,3465,133,3465,143,3466,148,3470,157,3472,161,3479,168,3484,171,3493,175,3498,176,3507,176,3512,175,3521,171,3525,168,3533,161,3535,157,3539,148,3540,143,3540,138,3540,133xe" filled="true" fillcolor="#94989c" stroked="false">
                  <v:path arrowok="t"/>
                  <v:fill type="solid"/>
                </v:shape>
                <v:shape style="position:absolute;left:1545;top:-95;width:1830;height:1110" type="#_x0000_t202" id="docshape109" filled="true" fillcolor="#dde6e3" stroked="false">
                  <v:textbox inset="0,0,0,0">
                    <w:txbxContent>
                      <w:p>
                        <w:pPr>
                          <w:spacing w:line="256" w:lineRule="auto" w:before="138"/>
                          <w:ind w:left="84" w:right="0" w:firstLine="0"/>
                          <w:jc w:val="left"/>
                          <w:rPr>
                            <w:rFonts w:ascii="Arial"/>
                            <w:b/>
                            <w:color w:val="000000"/>
                            <w:sz w:val="22"/>
                          </w:rPr>
                        </w:pPr>
                        <w:r>
                          <w:rPr>
                            <w:rFonts w:ascii="Arial"/>
                            <w:b/>
                            <w:color w:val="1C5349"/>
                            <w:sz w:val="22"/>
                          </w:rPr>
                          <w:t>Bone</w:t>
                        </w:r>
                        <w:r>
                          <w:rPr>
                            <w:rFonts w:ascii="Arial"/>
                            <w:b/>
                            <w:color w:val="1C5349"/>
                            <w:spacing w:val="-5"/>
                            <w:sz w:val="22"/>
                          </w:rPr>
                          <w:t> </w:t>
                        </w:r>
                        <w:r>
                          <w:rPr>
                            <w:rFonts w:ascii="Arial"/>
                            <w:b/>
                            <w:color w:val="1C5349"/>
                            <w:sz w:val="22"/>
                          </w:rPr>
                          <w:t>mineral </w:t>
                        </w:r>
                        <w:r>
                          <w:rPr>
                            <w:rFonts w:ascii="Arial"/>
                            <w:b/>
                            <w:color w:val="1C5349"/>
                            <w:spacing w:val="-2"/>
                            <w:sz w:val="22"/>
                          </w:rPr>
                          <w:t>density monitoring</w:t>
                        </w:r>
                      </w:p>
                    </w:txbxContent>
                  </v:textbox>
                  <v:fill type="solid"/>
                  <w10:wrap type="none"/>
                </v:shape>
                <v:shape style="position:absolute;left:1545;top:-545;width:9150;height:450" type="#_x0000_t202" id="docshape110" filled="true" fillcolor="#256e60" stroked="false">
                  <v:textbox inset="0,0,0,0">
                    <w:txbxContent>
                      <w:p>
                        <w:pPr>
                          <w:spacing w:before="93"/>
                          <w:ind w:left="84" w:right="0" w:firstLine="0"/>
                          <w:jc w:val="left"/>
                          <w:rPr>
                            <w:rFonts w:ascii="Arial"/>
                            <w:b/>
                            <w:color w:val="000000"/>
                            <w:sz w:val="22"/>
                          </w:rPr>
                        </w:pPr>
                        <w:r>
                          <w:rPr>
                            <w:rFonts w:ascii="Arial"/>
                            <w:b/>
                            <w:color w:val="FFFFFF"/>
                            <w:sz w:val="22"/>
                          </w:rPr>
                          <w:t>TABLE</w:t>
                        </w:r>
                        <w:r>
                          <w:rPr>
                            <w:rFonts w:ascii="Arial"/>
                            <w:b/>
                            <w:color w:val="FFFFFF"/>
                            <w:spacing w:val="9"/>
                            <w:sz w:val="22"/>
                          </w:rPr>
                          <w:t> </w:t>
                        </w:r>
                        <w:r>
                          <w:rPr>
                            <w:rFonts w:ascii="Arial"/>
                            <w:b/>
                            <w:color w:val="FFFFFF"/>
                            <w:sz w:val="22"/>
                          </w:rPr>
                          <w:t>23.7</w:t>
                        </w:r>
                        <w:r>
                          <w:rPr>
                            <w:rFonts w:ascii="Arial"/>
                            <w:b/>
                            <w:color w:val="FFFFFF"/>
                            <w:spacing w:val="10"/>
                            <w:sz w:val="22"/>
                          </w:rPr>
                          <w:t> </w:t>
                        </w:r>
                        <w:r>
                          <w:rPr>
                            <w:rFonts w:ascii="Arial"/>
                            <w:b/>
                            <w:color w:val="FFFFFF"/>
                            <w:sz w:val="22"/>
                          </w:rPr>
                          <w:t>Is</w:t>
                        </w:r>
                        <w:r>
                          <w:rPr>
                            <w:rFonts w:ascii="Arial"/>
                            <w:b/>
                            <w:color w:val="FFFFFF"/>
                            <w:spacing w:val="9"/>
                            <w:sz w:val="22"/>
                          </w:rPr>
                          <w:t> </w:t>
                        </w:r>
                        <w:r>
                          <w:rPr>
                            <w:rFonts w:ascii="Arial"/>
                            <w:b/>
                            <w:color w:val="FFFFFF"/>
                            <w:sz w:val="22"/>
                          </w:rPr>
                          <w:t>Antifracture</w:t>
                        </w:r>
                        <w:r>
                          <w:rPr>
                            <w:rFonts w:ascii="Arial"/>
                            <w:b/>
                            <w:color w:val="FFFFFF"/>
                            <w:spacing w:val="10"/>
                            <w:sz w:val="22"/>
                          </w:rPr>
                          <w:t> </w:t>
                        </w:r>
                        <w:r>
                          <w:rPr>
                            <w:rFonts w:ascii="Arial"/>
                            <w:b/>
                            <w:color w:val="FFFFFF"/>
                            <w:sz w:val="22"/>
                          </w:rPr>
                          <w:t>Treatment</w:t>
                        </w:r>
                        <w:r>
                          <w:rPr>
                            <w:rFonts w:ascii="Arial"/>
                            <w:b/>
                            <w:color w:val="FFFFFF"/>
                            <w:spacing w:val="10"/>
                            <w:sz w:val="22"/>
                          </w:rPr>
                          <w:t> </w:t>
                        </w:r>
                        <w:r>
                          <w:rPr>
                            <w:rFonts w:ascii="Arial"/>
                            <w:b/>
                            <w:color w:val="FFFFFF"/>
                            <w:spacing w:val="-2"/>
                            <w:sz w:val="22"/>
                          </w:rPr>
                          <w:t>Working?</w:t>
                        </w:r>
                      </w:p>
                    </w:txbxContent>
                  </v:textbox>
                  <v:fill type="solid"/>
                  <w10:wrap type="none"/>
                </v:shape>
                <w10:wrap type="none"/>
              </v:group>
            </w:pict>
          </mc:Fallback>
        </mc:AlternateContent>
      </w:r>
      <w:r>
        <w:rPr>
          <w:sz w:val="22"/>
        </w:rPr>
        <w:t>A minimal time interval of 1 y is needed to allow detection of </w:t>
      </w:r>
      <w:r>
        <w:rPr>
          <w:sz w:val="22"/>
        </w:rPr>
        <w:t>any meaningful change in bone density.</w:t>
      </w:r>
    </w:p>
    <w:p>
      <w:pPr>
        <w:spacing w:line="252" w:lineRule="exact" w:before="0"/>
        <w:ind w:left="2267" w:right="0" w:firstLine="0"/>
        <w:jc w:val="left"/>
        <w:rPr>
          <w:sz w:val="22"/>
        </w:rPr>
      </w:pPr>
      <w:r>
        <w:rPr>
          <w:sz w:val="22"/>
        </w:rPr>
        <w:t>Use</w:t>
      </w:r>
      <w:r>
        <w:rPr>
          <w:spacing w:val="8"/>
          <w:sz w:val="22"/>
        </w:rPr>
        <w:t> </w:t>
      </w:r>
      <w:r>
        <w:rPr>
          <w:sz w:val="22"/>
        </w:rPr>
        <w:t>the</w:t>
      </w:r>
      <w:r>
        <w:rPr>
          <w:spacing w:val="9"/>
          <w:sz w:val="22"/>
        </w:rPr>
        <w:t> </w:t>
      </w:r>
      <w:r>
        <w:rPr>
          <w:sz w:val="22"/>
        </w:rPr>
        <w:t>same</w:t>
      </w:r>
      <w:r>
        <w:rPr>
          <w:spacing w:val="9"/>
          <w:sz w:val="22"/>
        </w:rPr>
        <w:t> </w:t>
      </w:r>
      <w:r>
        <w:rPr>
          <w:sz w:val="22"/>
        </w:rPr>
        <w:t>device</w:t>
      </w:r>
      <w:r>
        <w:rPr>
          <w:spacing w:val="9"/>
          <w:sz w:val="22"/>
        </w:rPr>
        <w:t> </w:t>
      </w:r>
      <w:r>
        <w:rPr>
          <w:sz w:val="22"/>
        </w:rPr>
        <w:t>and</w:t>
      </w:r>
      <w:r>
        <w:rPr>
          <w:spacing w:val="8"/>
          <w:sz w:val="22"/>
        </w:rPr>
        <w:t> </w:t>
      </w:r>
      <w:r>
        <w:rPr>
          <w:sz w:val="22"/>
        </w:rPr>
        <w:t>facility</w:t>
      </w:r>
      <w:r>
        <w:rPr>
          <w:spacing w:val="9"/>
          <w:sz w:val="22"/>
        </w:rPr>
        <w:t> </w:t>
      </w:r>
      <w:r>
        <w:rPr>
          <w:sz w:val="22"/>
        </w:rPr>
        <w:t>if</w:t>
      </w:r>
      <w:r>
        <w:rPr>
          <w:spacing w:val="9"/>
          <w:sz w:val="22"/>
        </w:rPr>
        <w:t> </w:t>
      </w:r>
      <w:r>
        <w:rPr>
          <w:spacing w:val="-2"/>
          <w:sz w:val="22"/>
        </w:rPr>
        <w:t>feasible.</w:t>
      </w:r>
    </w:p>
    <w:p>
      <w:pPr>
        <w:spacing w:after="0" w:line="252" w:lineRule="exact"/>
        <w:jc w:val="left"/>
        <w:rPr>
          <w:sz w:val="22"/>
        </w:rPr>
        <w:sectPr>
          <w:pgSz w:w="12240" w:h="15840"/>
          <w:pgMar w:top="1380" w:bottom="280" w:left="1440" w:right="1440"/>
        </w:sectPr>
      </w:pPr>
    </w:p>
    <w:tbl>
      <w:tblPr>
        <w:tblW w:w="0" w:type="auto"/>
        <w:jc w:val="left"/>
        <w:tblInd w:w="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30"/>
        <w:gridCol w:w="7320"/>
      </w:tblGrid>
      <w:tr>
        <w:trPr>
          <w:trHeight w:val="1170" w:hRule="atLeast"/>
        </w:trPr>
        <w:tc>
          <w:tcPr>
            <w:tcW w:w="1830" w:type="dxa"/>
            <w:tcBorders>
              <w:bottom w:val="single" w:sz="6" w:space="0" w:color="1C5349"/>
            </w:tcBorders>
            <w:shd w:val="clear" w:color="auto" w:fill="DDE6E3"/>
          </w:tcPr>
          <w:p>
            <w:pPr>
              <w:pStyle w:val="TableParagraph"/>
              <w:spacing w:before="0"/>
              <w:ind w:left="0"/>
              <w:rPr>
                <w:sz w:val="28"/>
              </w:rPr>
            </w:pPr>
          </w:p>
        </w:tc>
        <w:tc>
          <w:tcPr>
            <w:tcW w:w="7320" w:type="dxa"/>
            <w:tcBorders>
              <w:bottom w:val="single" w:sz="6" w:space="0" w:color="4E3D86"/>
            </w:tcBorders>
          </w:tcPr>
          <w:p>
            <w:pPr>
              <w:pStyle w:val="TableParagraph"/>
              <w:spacing w:before="4"/>
              <w:ind w:left="332"/>
              <w:rPr>
                <w:sz w:val="22"/>
              </w:rPr>
            </w:pPr>
            <w:r>
              <w:rPr>
                <w:sz w:val="22"/>
              </w:rPr>
              <mc:AlternateContent>
                <mc:Choice Requires="wps">
                  <w:drawing>
                    <wp:anchor distT="0" distB="0" distL="0" distR="0" allowOverlap="1" layoutInCell="1" locked="0" behindDoc="1" simplePos="0" relativeHeight="486732800">
                      <wp:simplePos x="0" y="0"/>
                      <wp:positionH relativeFrom="column">
                        <wp:posOffset>57149</wp:posOffset>
                      </wp:positionH>
                      <wp:positionV relativeFrom="paragraph">
                        <wp:posOffset>66266</wp:posOffset>
                      </wp:positionV>
                      <wp:extent cx="47625" cy="47625"/>
                      <wp:effectExtent l="0" t="0" r="0" b="0"/>
                      <wp:wrapNone/>
                      <wp:docPr id="126" name="Group 126"/>
                      <wp:cNvGraphicFramePr>
                        <a:graphicFrameLocks/>
                      </wp:cNvGraphicFramePr>
                      <a:graphic>
                        <a:graphicData uri="http://schemas.microsoft.com/office/word/2010/wordprocessingGroup">
                          <wpg:wgp>
                            <wpg:cNvPr id="126" name="Group 126"/>
                            <wpg:cNvGrpSpPr/>
                            <wpg:grpSpPr>
                              <a:xfrm>
                                <a:off x="0" y="0"/>
                                <a:ext cx="47625" cy="47625"/>
                                <a:chExt cx="47625" cy="47625"/>
                              </a:xfrm>
                            </wpg:grpSpPr>
                            <wps:wsp>
                              <wps:cNvPr id="127" name="Graphic 127"/>
                              <wps:cNvSpPr/>
                              <wps:spPr>
                                <a:xfrm>
                                  <a:off x="0" y="0"/>
                                  <a:ext cx="47625" cy="47625"/>
                                </a:xfrm>
                                <a:custGeom>
                                  <a:avLst/>
                                  <a:gdLst/>
                                  <a:ahLst/>
                                  <a:cxnLst/>
                                  <a:rect l="l" t="t" r="r" b="b"/>
                                  <a:pathLst>
                                    <a:path w="47625" h="47625">
                                      <a:moveTo>
                                        <a:pt x="26970" y="47586"/>
                                      </a:moveTo>
                                      <a:lnTo>
                                        <a:pt x="20654" y="47586"/>
                                      </a:lnTo>
                                      <a:lnTo>
                                        <a:pt x="17617" y="46996"/>
                                      </a:lnTo>
                                      <a:lnTo>
                                        <a:pt x="0" y="26898"/>
                                      </a:lnTo>
                                      <a:lnTo>
                                        <a:pt x="0" y="20650"/>
                                      </a:lnTo>
                                      <a:lnTo>
                                        <a:pt x="20654" y="0"/>
                                      </a:lnTo>
                                      <a:lnTo>
                                        <a:pt x="26970" y="0"/>
                                      </a:lnTo>
                                      <a:lnTo>
                                        <a:pt x="47625" y="23812"/>
                                      </a:lnTo>
                                      <a:lnTo>
                                        <a:pt x="47624" y="26898"/>
                                      </a:lnTo>
                                      <a:lnTo>
                                        <a:pt x="26970" y="47586"/>
                                      </a:lnTo>
                                      <a:close/>
                                    </a:path>
                                  </a:pathLst>
                                </a:custGeom>
                                <a:solidFill>
                                  <a:srgbClr val="94989C"/>
                                </a:solidFill>
                              </wps:spPr>
                              <wps:bodyPr wrap="square" lIns="0" tIns="0" rIns="0" bIns="0" rtlCol="0">
                                <a:prstTxWarp prst="textNoShape">
                                  <a:avLst/>
                                </a:prstTxWarp>
                                <a:noAutofit/>
                              </wps:bodyPr>
                            </wps:wsp>
                          </wpg:wgp>
                        </a:graphicData>
                      </a:graphic>
                    </wp:anchor>
                  </w:drawing>
                </mc:Choice>
                <mc:Fallback>
                  <w:pict>
                    <v:group style="position:absolute;margin-left:4.499989pt;margin-top:5.217862pt;width:3.75pt;height:3.75pt;mso-position-horizontal-relative:column;mso-position-vertical-relative:paragraph;z-index:-16583680" id="docshapegroup111" coordorigin="90,104" coordsize="75,75">
                      <v:shape style="position:absolute;left:90;top:104;width:75;height:75" id="docshape112" coordorigin="90,104" coordsize="75,75" path="m132,179l123,179,118,178,90,147,90,137,123,104,132,104,165,142,165,147,132,179xe" filled="true" fillcolor="#94989c" stroked="false">
                        <v:path arrowok="t"/>
                        <v:fill type="solid"/>
                      </v:shape>
                      <w10:wrap type="none"/>
                    </v:group>
                  </w:pict>
                </mc:Fallback>
              </mc:AlternateContent>
            </w:r>
            <w:r>
              <w:rPr>
                <w:sz w:val="22"/>
              </w:rPr>
              <w:t>Compare</w:t>
            </w:r>
            <w:r>
              <w:rPr>
                <w:spacing w:val="11"/>
                <w:sz w:val="22"/>
              </w:rPr>
              <w:t> </w:t>
            </w:r>
            <w:r>
              <w:rPr>
                <w:sz w:val="22"/>
              </w:rPr>
              <w:t>absolute</w:t>
            </w:r>
            <w:r>
              <w:rPr>
                <w:spacing w:val="12"/>
                <w:sz w:val="22"/>
              </w:rPr>
              <w:t> </w:t>
            </w:r>
            <w:r>
              <w:rPr>
                <w:sz w:val="22"/>
              </w:rPr>
              <w:t>bone</w:t>
            </w:r>
            <w:r>
              <w:rPr>
                <w:spacing w:val="12"/>
                <w:sz w:val="22"/>
              </w:rPr>
              <w:t> </w:t>
            </w:r>
            <w:r>
              <w:rPr>
                <w:sz w:val="22"/>
              </w:rPr>
              <w:t>mass</w:t>
            </w:r>
            <w:r>
              <w:rPr>
                <w:spacing w:val="11"/>
                <w:sz w:val="22"/>
              </w:rPr>
              <w:t> </w:t>
            </w:r>
            <w:r>
              <w:rPr>
                <w:sz w:val="22"/>
              </w:rPr>
              <w:t>(g/cm</w:t>
            </w:r>
            <w:r>
              <w:rPr>
                <w:position w:val="9"/>
                <w:sz w:val="12"/>
              </w:rPr>
              <w:t>2</w:t>
            </w:r>
            <w:r>
              <w:rPr>
                <w:sz w:val="22"/>
              </w:rPr>
              <w:t>)</w:t>
            </w:r>
            <w:r>
              <w:rPr>
                <w:spacing w:val="12"/>
                <w:sz w:val="22"/>
              </w:rPr>
              <w:t> </w:t>
            </w:r>
            <w:r>
              <w:rPr>
                <w:sz w:val="22"/>
              </w:rPr>
              <w:t>and</w:t>
            </w:r>
            <w:r>
              <w:rPr>
                <w:spacing w:val="12"/>
                <w:sz w:val="22"/>
              </w:rPr>
              <w:t> </w:t>
            </w:r>
            <w:r>
              <w:rPr>
                <w:sz w:val="22"/>
              </w:rPr>
              <w:t>not</w:t>
            </w:r>
            <w:r>
              <w:rPr>
                <w:spacing w:val="12"/>
                <w:sz w:val="22"/>
              </w:rPr>
              <w:t> </w:t>
            </w:r>
            <w:r>
              <w:rPr>
                <w:i/>
                <w:sz w:val="22"/>
              </w:rPr>
              <w:t>T</w:t>
            </w:r>
            <w:r>
              <w:rPr>
                <w:sz w:val="22"/>
              </w:rPr>
              <w:t>-</w:t>
            </w:r>
            <w:r>
              <w:rPr>
                <w:spacing w:val="-2"/>
                <w:sz w:val="22"/>
              </w:rPr>
              <w:t>scores.</w:t>
            </w:r>
          </w:p>
          <w:p>
            <w:pPr>
              <w:pStyle w:val="TableParagraph"/>
              <w:spacing w:line="256" w:lineRule="auto" w:before="17"/>
              <w:ind w:left="332"/>
              <w:rPr>
                <w:sz w:val="22"/>
              </w:rPr>
            </w:pPr>
            <w:r>
              <w:rPr>
                <w:sz w:val="22"/>
              </w:rPr>
              <mc:AlternateContent>
                <mc:Choice Requires="wps">
                  <w:drawing>
                    <wp:anchor distT="0" distB="0" distL="0" distR="0" allowOverlap="1" layoutInCell="1" locked="0" behindDoc="1" simplePos="0" relativeHeight="486733312">
                      <wp:simplePos x="0" y="0"/>
                      <wp:positionH relativeFrom="column">
                        <wp:posOffset>57149</wp:posOffset>
                      </wp:positionH>
                      <wp:positionV relativeFrom="paragraph">
                        <wp:posOffset>74521</wp:posOffset>
                      </wp:positionV>
                      <wp:extent cx="47625" cy="47625"/>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47625" cy="47625"/>
                                <a:chExt cx="47625" cy="47625"/>
                              </a:xfrm>
                            </wpg:grpSpPr>
                            <wps:wsp>
                              <wps:cNvPr id="129" name="Graphic 129"/>
                              <wps:cNvSpPr/>
                              <wps:spPr>
                                <a:xfrm>
                                  <a:off x="0" y="0"/>
                                  <a:ext cx="47625" cy="47625"/>
                                </a:xfrm>
                                <a:custGeom>
                                  <a:avLst/>
                                  <a:gdLst/>
                                  <a:ahLst/>
                                  <a:cxnLst/>
                                  <a:rect l="l" t="t" r="r" b="b"/>
                                  <a:pathLst>
                                    <a:path w="47625" h="47625">
                                      <a:moveTo>
                                        <a:pt x="26970" y="47586"/>
                                      </a:moveTo>
                                      <a:lnTo>
                                        <a:pt x="20654" y="47586"/>
                                      </a:lnTo>
                                      <a:lnTo>
                                        <a:pt x="17617" y="46958"/>
                                      </a:lnTo>
                                      <a:lnTo>
                                        <a:pt x="0" y="26936"/>
                                      </a:lnTo>
                                      <a:lnTo>
                                        <a:pt x="0" y="20612"/>
                                      </a:lnTo>
                                      <a:lnTo>
                                        <a:pt x="20654" y="0"/>
                                      </a:lnTo>
                                      <a:lnTo>
                                        <a:pt x="26970" y="0"/>
                                      </a:lnTo>
                                      <a:lnTo>
                                        <a:pt x="47625" y="23812"/>
                                      </a:lnTo>
                                      <a:lnTo>
                                        <a:pt x="47624" y="26936"/>
                                      </a:lnTo>
                                      <a:lnTo>
                                        <a:pt x="26970" y="47586"/>
                                      </a:lnTo>
                                      <a:close/>
                                    </a:path>
                                  </a:pathLst>
                                </a:custGeom>
                                <a:solidFill>
                                  <a:srgbClr val="94989C"/>
                                </a:solidFill>
                              </wps:spPr>
                              <wps:bodyPr wrap="square" lIns="0" tIns="0" rIns="0" bIns="0" rtlCol="0">
                                <a:prstTxWarp prst="textNoShape">
                                  <a:avLst/>
                                </a:prstTxWarp>
                                <a:noAutofit/>
                              </wps:bodyPr>
                            </wps:wsp>
                          </wpg:wgp>
                        </a:graphicData>
                      </a:graphic>
                    </wp:anchor>
                  </w:drawing>
                </mc:Choice>
                <mc:Fallback>
                  <w:pict>
                    <v:group style="position:absolute;margin-left:4.499989pt;margin-top:5.867861pt;width:3.75pt;height:3.75pt;mso-position-horizontal-relative:column;mso-position-vertical-relative:paragraph;z-index:-16583168" id="docshapegroup113" coordorigin="90,117" coordsize="75,75">
                      <v:shape style="position:absolute;left:90;top:117;width:75;height:75" id="docshape114" coordorigin="90,117" coordsize="75,75" path="m132,192l123,192,118,191,90,160,90,150,123,117,132,117,165,155,165,160,132,192xe" filled="true" fillcolor="#94989c" stroked="false">
                        <v:path arrowok="t"/>
                        <v:fill type="solid"/>
                      </v:shape>
                      <w10:wrap type="none"/>
                    </v:group>
                  </w:pict>
                </mc:Fallback>
              </mc:AlternateContent>
            </w:r>
            <w:r>
              <w:rPr>
                <w:sz w:val="22"/>
              </w:rPr>
              <w:t>Pay attention to the facility and devise specific least significant </w:t>
            </w:r>
            <w:r>
              <w:rPr>
                <w:sz w:val="22"/>
              </w:rPr>
              <w:t>difference (LSD) to determine if interval change is of clinical relevance.</w:t>
            </w:r>
          </w:p>
          <w:p>
            <w:pPr>
              <w:pStyle w:val="TableParagraph"/>
              <w:spacing w:line="252" w:lineRule="exact" w:before="0"/>
              <w:ind w:left="332"/>
              <w:rPr>
                <w:sz w:val="22"/>
              </w:rPr>
            </w:pPr>
            <w:r>
              <w:rPr>
                <w:sz w:val="22"/>
              </w:rPr>
              <mc:AlternateContent>
                <mc:Choice Requires="wps">
                  <w:drawing>
                    <wp:anchor distT="0" distB="0" distL="0" distR="0" allowOverlap="1" layoutInCell="1" locked="0" behindDoc="1" simplePos="0" relativeHeight="486733824">
                      <wp:simplePos x="0" y="0"/>
                      <wp:positionH relativeFrom="column">
                        <wp:posOffset>57149</wp:posOffset>
                      </wp:positionH>
                      <wp:positionV relativeFrom="paragraph">
                        <wp:posOffset>62854</wp:posOffset>
                      </wp:positionV>
                      <wp:extent cx="47625" cy="47625"/>
                      <wp:effectExtent l="0" t="0" r="0" b="0"/>
                      <wp:wrapNone/>
                      <wp:docPr id="130" name="Group 130"/>
                      <wp:cNvGraphicFramePr>
                        <a:graphicFrameLocks/>
                      </wp:cNvGraphicFramePr>
                      <a:graphic>
                        <a:graphicData uri="http://schemas.microsoft.com/office/word/2010/wordprocessingGroup">
                          <wpg:wgp>
                            <wpg:cNvPr id="130" name="Group 130"/>
                            <wpg:cNvGrpSpPr/>
                            <wpg:grpSpPr>
                              <a:xfrm>
                                <a:off x="0" y="0"/>
                                <a:ext cx="47625" cy="47625"/>
                                <a:chExt cx="47625" cy="47625"/>
                              </a:xfrm>
                            </wpg:grpSpPr>
                            <wps:wsp>
                              <wps:cNvPr id="131" name="Graphic 131"/>
                              <wps:cNvSpPr/>
                              <wps:spPr>
                                <a:xfrm>
                                  <a:off x="0" y="0"/>
                                  <a:ext cx="47625" cy="47625"/>
                                </a:xfrm>
                                <a:custGeom>
                                  <a:avLst/>
                                  <a:gdLst/>
                                  <a:ahLst/>
                                  <a:cxnLst/>
                                  <a:rect l="l" t="t" r="r" b="b"/>
                                  <a:pathLst>
                                    <a:path w="47625" h="47625">
                                      <a:moveTo>
                                        <a:pt x="26970" y="47586"/>
                                      </a:moveTo>
                                      <a:lnTo>
                                        <a:pt x="20654" y="47586"/>
                                      </a:lnTo>
                                      <a:lnTo>
                                        <a:pt x="17617" y="46996"/>
                                      </a:lnTo>
                                      <a:lnTo>
                                        <a:pt x="0" y="26936"/>
                                      </a:lnTo>
                                      <a:lnTo>
                                        <a:pt x="0" y="20650"/>
                                      </a:lnTo>
                                      <a:lnTo>
                                        <a:pt x="20654" y="0"/>
                                      </a:lnTo>
                                      <a:lnTo>
                                        <a:pt x="26970" y="0"/>
                                      </a:lnTo>
                                      <a:lnTo>
                                        <a:pt x="47625" y="23812"/>
                                      </a:lnTo>
                                      <a:lnTo>
                                        <a:pt x="47624" y="26936"/>
                                      </a:lnTo>
                                      <a:lnTo>
                                        <a:pt x="26970" y="47586"/>
                                      </a:lnTo>
                                      <a:close/>
                                    </a:path>
                                  </a:pathLst>
                                </a:custGeom>
                                <a:solidFill>
                                  <a:srgbClr val="94989C"/>
                                </a:solidFill>
                              </wps:spPr>
                              <wps:bodyPr wrap="square" lIns="0" tIns="0" rIns="0" bIns="0" rtlCol="0">
                                <a:prstTxWarp prst="textNoShape">
                                  <a:avLst/>
                                </a:prstTxWarp>
                                <a:noAutofit/>
                              </wps:bodyPr>
                            </wps:wsp>
                          </wpg:wgp>
                        </a:graphicData>
                      </a:graphic>
                    </wp:anchor>
                  </w:drawing>
                </mc:Choice>
                <mc:Fallback>
                  <w:pict>
                    <v:group style="position:absolute;margin-left:4.499989pt;margin-top:4.949158pt;width:3.75pt;height:3.75pt;mso-position-horizontal-relative:column;mso-position-vertical-relative:paragraph;z-index:-16582656" id="docshapegroup115" coordorigin="90,99" coordsize="75,75">
                      <v:shape style="position:absolute;left:90;top:98;width:75;height:75" id="docshape116" coordorigin="90,99" coordsize="75,75" path="m132,174l123,174,118,173,90,141,90,132,123,99,132,99,165,136,165,141,132,174xe" filled="true" fillcolor="#94989c" stroked="false">
                        <v:path arrowok="t"/>
                        <v:fill type="solid"/>
                      </v:shape>
                      <w10:wrap type="none"/>
                    </v:group>
                  </w:pict>
                </mc:Fallback>
              </mc:AlternateContent>
            </w:r>
            <w:r>
              <w:rPr>
                <w:sz w:val="22"/>
              </w:rPr>
              <w:t>Consider</w:t>
            </w:r>
            <w:r>
              <w:rPr>
                <w:spacing w:val="14"/>
                <w:sz w:val="22"/>
              </w:rPr>
              <w:t> </w:t>
            </w:r>
            <w:r>
              <w:rPr>
                <w:sz w:val="22"/>
              </w:rPr>
              <w:t>lateral</w:t>
            </w:r>
            <w:r>
              <w:rPr>
                <w:spacing w:val="14"/>
                <w:sz w:val="22"/>
              </w:rPr>
              <w:t> </w:t>
            </w:r>
            <w:r>
              <w:rPr>
                <w:sz w:val="22"/>
              </w:rPr>
              <w:t>imaging</w:t>
            </w:r>
            <w:r>
              <w:rPr>
                <w:spacing w:val="14"/>
                <w:sz w:val="22"/>
              </w:rPr>
              <w:t> </w:t>
            </w:r>
            <w:r>
              <w:rPr>
                <w:sz w:val="22"/>
              </w:rPr>
              <w:t>if</w:t>
            </w:r>
            <w:r>
              <w:rPr>
                <w:spacing w:val="14"/>
                <w:sz w:val="22"/>
              </w:rPr>
              <w:t> </w:t>
            </w:r>
            <w:r>
              <w:rPr>
                <w:sz w:val="22"/>
              </w:rPr>
              <w:t>suspecting</w:t>
            </w:r>
            <w:r>
              <w:rPr>
                <w:spacing w:val="14"/>
                <w:sz w:val="22"/>
              </w:rPr>
              <w:t> </w:t>
            </w:r>
            <w:r>
              <w:rPr>
                <w:sz w:val="22"/>
              </w:rPr>
              <w:t>vertebral</w:t>
            </w:r>
            <w:r>
              <w:rPr>
                <w:spacing w:val="14"/>
                <w:sz w:val="22"/>
              </w:rPr>
              <w:t> </w:t>
            </w:r>
            <w:r>
              <w:rPr>
                <w:spacing w:val="-2"/>
                <w:sz w:val="22"/>
              </w:rPr>
              <w:t>fracture.</w:t>
            </w:r>
          </w:p>
        </w:tc>
      </w:tr>
      <w:tr>
        <w:trPr>
          <w:trHeight w:val="1529" w:hRule="atLeast"/>
        </w:trPr>
        <w:tc>
          <w:tcPr>
            <w:tcW w:w="1830" w:type="dxa"/>
            <w:tcBorders>
              <w:top w:val="single" w:sz="6" w:space="0" w:color="1C5349"/>
              <w:bottom w:val="single" w:sz="6" w:space="0" w:color="1C5349"/>
            </w:tcBorders>
            <w:shd w:val="clear" w:color="auto" w:fill="DDE6E3"/>
          </w:tcPr>
          <w:p>
            <w:pPr>
              <w:pStyle w:val="TableParagraph"/>
              <w:spacing w:line="256" w:lineRule="auto" w:before="138"/>
              <w:ind w:right="543"/>
              <w:jc w:val="both"/>
              <w:rPr>
                <w:rFonts w:ascii="Arial"/>
                <w:b/>
                <w:sz w:val="22"/>
              </w:rPr>
            </w:pPr>
            <w:r>
              <w:rPr>
                <w:rFonts w:ascii="Arial"/>
                <w:b/>
                <w:color w:val="1C5349"/>
                <w:spacing w:val="-2"/>
                <w:sz w:val="22"/>
              </w:rPr>
              <w:t>Monitoring </w:t>
            </w:r>
            <w:r>
              <w:rPr>
                <w:rFonts w:ascii="Arial"/>
                <w:b/>
                <w:color w:val="1C5349"/>
                <w:sz w:val="22"/>
              </w:rPr>
              <w:t>using</w:t>
            </w:r>
            <w:r>
              <w:rPr>
                <w:rFonts w:ascii="Arial"/>
                <w:b/>
                <w:color w:val="1C5349"/>
                <w:spacing w:val="-11"/>
                <w:sz w:val="22"/>
              </w:rPr>
              <w:t> </w:t>
            </w:r>
            <w:r>
              <w:rPr>
                <w:rFonts w:ascii="Arial"/>
                <w:b/>
                <w:color w:val="1C5349"/>
                <w:sz w:val="22"/>
              </w:rPr>
              <w:t>bone </w:t>
            </w:r>
            <w:r>
              <w:rPr>
                <w:rFonts w:ascii="Arial"/>
                <w:b/>
                <w:color w:val="1C5349"/>
                <w:spacing w:val="-2"/>
                <w:sz w:val="22"/>
              </w:rPr>
              <w:t>markers?</w:t>
            </w:r>
          </w:p>
        </w:tc>
        <w:tc>
          <w:tcPr>
            <w:tcW w:w="7320" w:type="dxa"/>
            <w:tcBorders>
              <w:top w:val="single" w:sz="6" w:space="0" w:color="4E3D86"/>
              <w:bottom w:val="single" w:sz="6" w:space="0" w:color="1C5349"/>
            </w:tcBorders>
          </w:tcPr>
          <w:p>
            <w:pPr>
              <w:pStyle w:val="TableParagraph"/>
              <w:spacing w:line="256" w:lineRule="auto" w:before="94"/>
              <w:ind w:left="332"/>
              <w:rPr>
                <w:sz w:val="22"/>
              </w:rPr>
            </w:pPr>
            <w:r>
              <w:rPr>
                <w:sz w:val="22"/>
              </w:rPr>
              <mc:AlternateContent>
                <mc:Choice Requires="wps">
                  <w:drawing>
                    <wp:anchor distT="0" distB="0" distL="0" distR="0" allowOverlap="1" layoutInCell="1" locked="0" behindDoc="1" simplePos="0" relativeHeight="486734336">
                      <wp:simplePos x="0" y="0"/>
                      <wp:positionH relativeFrom="column">
                        <wp:posOffset>57149</wp:posOffset>
                      </wp:positionH>
                      <wp:positionV relativeFrom="paragraph">
                        <wp:posOffset>123416</wp:posOffset>
                      </wp:positionV>
                      <wp:extent cx="47625" cy="47625"/>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47625" cy="47625"/>
                                <a:chExt cx="47625" cy="47625"/>
                              </a:xfrm>
                            </wpg:grpSpPr>
                            <wps:wsp>
                              <wps:cNvPr id="133" name="Graphic 133"/>
                              <wps:cNvSpPr/>
                              <wps:spPr>
                                <a:xfrm>
                                  <a:off x="0" y="0"/>
                                  <a:ext cx="47625" cy="47625"/>
                                </a:xfrm>
                                <a:custGeom>
                                  <a:avLst/>
                                  <a:gdLst/>
                                  <a:ahLst/>
                                  <a:cxnLst/>
                                  <a:rect l="l" t="t" r="r" b="b"/>
                                  <a:pathLst>
                                    <a:path w="47625" h="47625">
                                      <a:moveTo>
                                        <a:pt x="26970" y="47586"/>
                                      </a:moveTo>
                                      <a:lnTo>
                                        <a:pt x="20654" y="47586"/>
                                      </a:lnTo>
                                      <a:lnTo>
                                        <a:pt x="17617" y="46996"/>
                                      </a:lnTo>
                                      <a:lnTo>
                                        <a:pt x="0" y="26936"/>
                                      </a:lnTo>
                                      <a:lnTo>
                                        <a:pt x="0" y="20612"/>
                                      </a:lnTo>
                                      <a:lnTo>
                                        <a:pt x="20654" y="0"/>
                                      </a:lnTo>
                                      <a:lnTo>
                                        <a:pt x="26970" y="0"/>
                                      </a:lnTo>
                                      <a:lnTo>
                                        <a:pt x="47625" y="23812"/>
                                      </a:lnTo>
                                      <a:lnTo>
                                        <a:pt x="47624" y="26936"/>
                                      </a:lnTo>
                                      <a:lnTo>
                                        <a:pt x="26970" y="47586"/>
                                      </a:lnTo>
                                      <a:close/>
                                    </a:path>
                                  </a:pathLst>
                                </a:custGeom>
                                <a:solidFill>
                                  <a:srgbClr val="94989C"/>
                                </a:solidFill>
                              </wps:spPr>
                              <wps:bodyPr wrap="square" lIns="0" tIns="0" rIns="0" bIns="0" rtlCol="0">
                                <a:prstTxWarp prst="textNoShape">
                                  <a:avLst/>
                                </a:prstTxWarp>
                                <a:noAutofit/>
                              </wps:bodyPr>
                            </wps:wsp>
                          </wpg:wgp>
                        </a:graphicData>
                      </a:graphic>
                    </wp:anchor>
                  </w:drawing>
                </mc:Choice>
                <mc:Fallback>
                  <w:pict>
                    <v:group style="position:absolute;margin-left:4.499989pt;margin-top:9.717856pt;width:3.75pt;height:3.75pt;mso-position-horizontal-relative:column;mso-position-vertical-relative:paragraph;z-index:-16582144" id="docshapegroup117" coordorigin="90,194" coordsize="75,75">
                      <v:shape style="position:absolute;left:90;top:194;width:75;height:75" id="docshape118" coordorigin="90,194" coordsize="75,75" path="m132,269l123,269,118,268,90,237,90,227,123,194,132,194,165,232,165,237,132,269xe" filled="true" fillcolor="#94989c" stroked="false">
                        <v:path arrowok="t"/>
                        <v:fill type="solid"/>
                      </v:shape>
                      <w10:wrap type="none"/>
                    </v:group>
                  </w:pict>
                </mc:Fallback>
              </mc:AlternateContent>
            </w:r>
            <w:r>
              <w:rPr>
                <w:sz w:val="22"/>
              </w:rPr>
              <w:t>Can be considered in patients where concern for noncompliance or lack </w:t>
            </w:r>
            <w:r>
              <w:rPr>
                <w:sz w:val="22"/>
              </w:rPr>
              <w:t>of efficacy is high</w:t>
            </w:r>
          </w:p>
          <w:p>
            <w:pPr>
              <w:pStyle w:val="TableParagraph"/>
              <w:spacing w:line="252" w:lineRule="exact" w:before="0"/>
              <w:ind w:left="332"/>
              <w:rPr>
                <w:sz w:val="22"/>
              </w:rPr>
            </w:pPr>
            <w:r>
              <w:rPr>
                <w:sz w:val="22"/>
              </w:rPr>
              <mc:AlternateContent>
                <mc:Choice Requires="wps">
                  <w:drawing>
                    <wp:anchor distT="0" distB="0" distL="0" distR="0" allowOverlap="1" layoutInCell="1" locked="0" behindDoc="1" simplePos="0" relativeHeight="486734848">
                      <wp:simplePos x="0" y="0"/>
                      <wp:positionH relativeFrom="column">
                        <wp:posOffset>57149</wp:posOffset>
                      </wp:positionH>
                      <wp:positionV relativeFrom="paragraph">
                        <wp:posOffset>62854</wp:posOffset>
                      </wp:positionV>
                      <wp:extent cx="47625" cy="47625"/>
                      <wp:effectExtent l="0" t="0" r="0" b="0"/>
                      <wp:wrapNone/>
                      <wp:docPr id="134" name="Group 134"/>
                      <wp:cNvGraphicFramePr>
                        <a:graphicFrameLocks/>
                      </wp:cNvGraphicFramePr>
                      <a:graphic>
                        <a:graphicData uri="http://schemas.microsoft.com/office/word/2010/wordprocessingGroup">
                          <wpg:wgp>
                            <wpg:cNvPr id="134" name="Group 134"/>
                            <wpg:cNvGrpSpPr/>
                            <wpg:grpSpPr>
                              <a:xfrm>
                                <a:off x="0" y="0"/>
                                <a:ext cx="47625" cy="47625"/>
                                <a:chExt cx="47625" cy="47625"/>
                              </a:xfrm>
                            </wpg:grpSpPr>
                            <wps:wsp>
                              <wps:cNvPr id="135" name="Graphic 135"/>
                              <wps:cNvSpPr/>
                              <wps:spPr>
                                <a:xfrm>
                                  <a:off x="0" y="0"/>
                                  <a:ext cx="47625" cy="47625"/>
                                </a:xfrm>
                                <a:custGeom>
                                  <a:avLst/>
                                  <a:gdLst/>
                                  <a:ahLst/>
                                  <a:cxnLst/>
                                  <a:rect l="l" t="t" r="r" b="b"/>
                                  <a:pathLst>
                                    <a:path w="47625" h="47625">
                                      <a:moveTo>
                                        <a:pt x="26970" y="47586"/>
                                      </a:moveTo>
                                      <a:lnTo>
                                        <a:pt x="20654" y="47586"/>
                                      </a:lnTo>
                                      <a:lnTo>
                                        <a:pt x="17617" y="46958"/>
                                      </a:lnTo>
                                      <a:lnTo>
                                        <a:pt x="0" y="26936"/>
                                      </a:lnTo>
                                      <a:lnTo>
                                        <a:pt x="0" y="20612"/>
                                      </a:lnTo>
                                      <a:lnTo>
                                        <a:pt x="20654" y="0"/>
                                      </a:lnTo>
                                      <a:lnTo>
                                        <a:pt x="26970" y="0"/>
                                      </a:lnTo>
                                      <a:lnTo>
                                        <a:pt x="47625" y="23812"/>
                                      </a:lnTo>
                                      <a:lnTo>
                                        <a:pt x="47624" y="26936"/>
                                      </a:lnTo>
                                      <a:lnTo>
                                        <a:pt x="26970" y="47586"/>
                                      </a:lnTo>
                                      <a:close/>
                                    </a:path>
                                  </a:pathLst>
                                </a:custGeom>
                                <a:solidFill>
                                  <a:srgbClr val="94989C"/>
                                </a:solidFill>
                              </wps:spPr>
                              <wps:bodyPr wrap="square" lIns="0" tIns="0" rIns="0" bIns="0" rtlCol="0">
                                <a:prstTxWarp prst="textNoShape">
                                  <a:avLst/>
                                </a:prstTxWarp>
                                <a:noAutofit/>
                              </wps:bodyPr>
                            </wps:wsp>
                          </wpg:wgp>
                        </a:graphicData>
                      </a:graphic>
                    </wp:anchor>
                  </w:drawing>
                </mc:Choice>
                <mc:Fallback>
                  <w:pict>
                    <v:group style="position:absolute;margin-left:4.499989pt;margin-top:4.949153pt;width:3.75pt;height:3.75pt;mso-position-horizontal-relative:column;mso-position-vertical-relative:paragraph;z-index:-16581632" id="docshapegroup119" coordorigin="90,99" coordsize="75,75">
                      <v:shape style="position:absolute;left:90;top:98;width:75;height:75" id="docshape120" coordorigin="90,99" coordsize="75,75" path="m132,174l123,174,118,173,90,141,90,131,123,99,132,99,165,136,165,141,132,174xe" filled="true" fillcolor="#94989c" stroked="false">
                        <v:path arrowok="t"/>
                        <v:fill type="solid"/>
                      </v:shape>
                      <w10:wrap type="none"/>
                    </v:group>
                  </w:pict>
                </mc:Fallback>
              </mc:AlternateContent>
            </w:r>
            <w:r>
              <w:rPr>
                <w:sz w:val="22"/>
              </w:rPr>
              <w:t>If</w:t>
            </w:r>
            <w:r>
              <w:rPr>
                <w:spacing w:val="10"/>
                <w:sz w:val="22"/>
              </w:rPr>
              <w:t> </w:t>
            </w:r>
            <w:r>
              <w:rPr>
                <w:sz w:val="22"/>
              </w:rPr>
              <w:t>checked</w:t>
            </w:r>
            <w:r>
              <w:rPr>
                <w:spacing w:val="11"/>
                <w:sz w:val="22"/>
              </w:rPr>
              <w:t> </w:t>
            </w:r>
            <w:r>
              <w:rPr>
                <w:sz w:val="22"/>
              </w:rPr>
              <w:t>before</w:t>
            </w:r>
            <w:r>
              <w:rPr>
                <w:spacing w:val="10"/>
                <w:sz w:val="22"/>
              </w:rPr>
              <w:t> </w:t>
            </w:r>
            <w:r>
              <w:rPr>
                <w:sz w:val="22"/>
              </w:rPr>
              <w:t>starting</w:t>
            </w:r>
            <w:r>
              <w:rPr>
                <w:spacing w:val="11"/>
                <w:sz w:val="22"/>
              </w:rPr>
              <w:t> </w:t>
            </w:r>
            <w:r>
              <w:rPr>
                <w:sz w:val="22"/>
              </w:rPr>
              <w:t>treatment</w:t>
            </w:r>
            <w:r>
              <w:rPr>
                <w:spacing w:val="11"/>
                <w:sz w:val="22"/>
              </w:rPr>
              <w:t> </w:t>
            </w:r>
            <w:r>
              <w:rPr>
                <w:sz w:val="22"/>
              </w:rPr>
              <w:t>and</w:t>
            </w:r>
            <w:r>
              <w:rPr>
                <w:spacing w:val="10"/>
                <w:sz w:val="22"/>
              </w:rPr>
              <w:t> </w:t>
            </w:r>
            <w:r>
              <w:rPr>
                <w:sz w:val="22"/>
              </w:rPr>
              <w:t>3</w:t>
            </w:r>
            <w:r>
              <w:rPr>
                <w:spacing w:val="11"/>
                <w:sz w:val="22"/>
              </w:rPr>
              <w:t> </w:t>
            </w:r>
            <w:r>
              <w:rPr>
                <w:sz w:val="22"/>
              </w:rPr>
              <w:t>mo</w:t>
            </w:r>
            <w:r>
              <w:rPr>
                <w:spacing w:val="11"/>
                <w:sz w:val="22"/>
              </w:rPr>
              <w:t> </w:t>
            </w:r>
            <w:r>
              <w:rPr>
                <w:sz w:val="22"/>
              </w:rPr>
              <w:t>after</w:t>
            </w:r>
            <w:r>
              <w:rPr>
                <w:spacing w:val="10"/>
                <w:sz w:val="22"/>
              </w:rPr>
              <w:t> </w:t>
            </w:r>
            <w:r>
              <w:rPr>
                <w:sz w:val="22"/>
              </w:rPr>
              <w:t>treatment</w:t>
            </w:r>
            <w:r>
              <w:rPr>
                <w:spacing w:val="11"/>
                <w:sz w:val="22"/>
              </w:rPr>
              <w:t> </w:t>
            </w:r>
            <w:r>
              <w:rPr>
                <w:sz w:val="22"/>
              </w:rPr>
              <w:t>is</w:t>
            </w:r>
            <w:r>
              <w:rPr>
                <w:spacing w:val="11"/>
                <w:sz w:val="22"/>
              </w:rPr>
              <w:t> </w:t>
            </w:r>
            <w:r>
              <w:rPr>
                <w:sz w:val="22"/>
              </w:rPr>
              <w:t>initiated,</w:t>
            </w:r>
            <w:r>
              <w:rPr>
                <w:spacing w:val="10"/>
                <w:sz w:val="22"/>
              </w:rPr>
              <w:t> </w:t>
            </w:r>
            <w:r>
              <w:rPr>
                <w:spacing w:val="-10"/>
                <w:sz w:val="22"/>
              </w:rPr>
              <w:t>a</w:t>
            </w:r>
          </w:p>
          <w:p>
            <w:pPr>
              <w:pStyle w:val="TableParagraph"/>
              <w:spacing w:line="256" w:lineRule="auto" w:before="17"/>
              <w:ind w:left="332"/>
              <w:rPr>
                <w:sz w:val="22"/>
              </w:rPr>
            </w:pPr>
            <w:r>
              <w:rPr>
                <w:sz w:val="22"/>
              </w:rPr>
              <w:t>&gt;30% change (drop) is consistent with compliance and suggests </w:t>
            </w:r>
            <w:r>
              <w:rPr>
                <w:sz w:val="22"/>
              </w:rPr>
              <w:t>treatment </w:t>
            </w:r>
            <w:r>
              <w:rPr>
                <w:spacing w:val="-2"/>
                <w:sz w:val="22"/>
              </w:rPr>
              <w:t>efficacy.</w:t>
            </w:r>
          </w:p>
        </w:tc>
      </w:tr>
    </w:tbl>
    <w:p>
      <w:pPr>
        <w:pStyle w:val="BodyText"/>
        <w:spacing w:before="130"/>
        <w:ind w:left="0"/>
        <w:jc w:val="left"/>
      </w:pPr>
    </w:p>
    <w:p>
      <w:pPr>
        <w:spacing w:line="249" w:lineRule="auto" w:before="1"/>
        <w:ind w:left="99" w:right="100" w:firstLine="450"/>
        <w:jc w:val="both"/>
        <w:rPr>
          <w:sz w:val="30"/>
        </w:rPr>
      </w:pPr>
      <w:r>
        <w:rPr>
          <w:b/>
          <w:sz w:val="30"/>
        </w:rPr>
        <w:t>We advocate monitoring of treatment response with the use </w:t>
      </w:r>
      <w:r>
        <w:rPr>
          <w:b/>
          <w:sz w:val="30"/>
        </w:rPr>
        <w:t>of repeat bone density measurements, as well as support a consideration of assessing bone markers within 1 to 3 months following initiation of antifracture therapy to reflect compliance and treatment efficacy, at least in the short term. Clinicians must be aware that interpretation of treatment efficacy must be based on BMD (g/cm</w:t>
      </w:r>
      <w:r>
        <w:rPr>
          <w:b/>
          <w:sz w:val="30"/>
          <w:vertAlign w:val="superscript"/>
        </w:rPr>
        <w:t>2</w:t>
      </w:r>
      <w:r>
        <w:rPr>
          <w:b/>
          <w:sz w:val="30"/>
          <w:vertAlign w:val="baseline"/>
        </w:rPr>
        <w:t>)</w:t>
      </w:r>
      <w:r>
        <w:rPr>
          <w:sz w:val="30"/>
          <w:vertAlign w:val="baseline"/>
        </w:rPr>
        <w:t>, </w:t>
      </w:r>
      <w:r>
        <w:rPr>
          <w:b/>
          <w:sz w:val="30"/>
          <w:vertAlign w:val="baseline"/>
        </w:rPr>
        <w:t>and not </w:t>
      </w:r>
      <w:r>
        <w:rPr>
          <w:b/>
          <w:i/>
          <w:sz w:val="30"/>
          <w:vertAlign w:val="baseline"/>
        </w:rPr>
        <w:t>T</w:t>
      </w:r>
      <w:r>
        <w:rPr>
          <w:b/>
          <w:sz w:val="30"/>
          <w:vertAlign w:val="baseline"/>
        </w:rPr>
        <w:t>-scores </w:t>
      </w:r>
      <w:r>
        <w:rPr>
          <w:sz w:val="30"/>
          <w:vertAlign w:val="baseline"/>
        </w:rPr>
        <w:t>(</w:t>
      </w:r>
      <w:r>
        <w:rPr>
          <w:b/>
          <w:color w:val="256E60"/>
          <w:sz w:val="30"/>
          <w:vertAlign w:val="baseline"/>
        </w:rPr>
        <w:t>Table 23.7</w:t>
      </w:r>
      <w:r>
        <w:rPr>
          <w:sz w:val="30"/>
          <w:vertAlign w:val="baseline"/>
        </w:rPr>
        <w:t>).</w:t>
      </w:r>
    </w:p>
    <w:p>
      <w:pPr>
        <w:pStyle w:val="BodyText"/>
        <w:spacing w:before="52"/>
        <w:ind w:left="0"/>
        <w:jc w:val="left"/>
      </w:pPr>
    </w:p>
    <w:p>
      <w:pPr>
        <w:spacing w:before="0"/>
        <w:ind w:left="99" w:right="0" w:firstLine="0"/>
        <w:jc w:val="both"/>
        <w:rPr>
          <w:rFonts w:ascii="Arial"/>
          <w:b/>
          <w:sz w:val="30"/>
        </w:rPr>
      </w:pPr>
      <w:r>
        <w:rPr>
          <w:rFonts w:ascii="Arial"/>
          <w:b/>
          <w:color w:val="2674AE"/>
          <w:sz w:val="30"/>
        </w:rPr>
        <w:t>Assessing Blood Estrogen Levels in Hormone </w:t>
      </w:r>
      <w:r>
        <w:rPr>
          <w:rFonts w:ascii="Arial"/>
          <w:b/>
          <w:color w:val="2674AE"/>
          <w:spacing w:val="-2"/>
          <w:sz w:val="30"/>
        </w:rPr>
        <w:t>Users</w:t>
      </w:r>
    </w:p>
    <w:p>
      <w:pPr>
        <w:pStyle w:val="BodyText"/>
        <w:spacing w:line="249" w:lineRule="auto" w:before="166"/>
        <w:ind w:right="98"/>
      </w:pPr>
      <w:r>
        <w:rPr/>
        <w:t>On average, about 10% to 15% of women may lose bone despite being prescribed hormone therapy. </w:t>
      </w:r>
      <w:r>
        <w:rPr>
          <w:b/>
        </w:rPr>
        <w:t>Because of the precision error with bone density measurements, a change of at least 3% to 5% is necessary to be clinically significant. </w:t>
      </w:r>
      <w:r>
        <w:rPr/>
        <w:t>A Finnish 5-year clinical trial reported a prevalence of poor response based on bone density of 11% for spinal bone and 26% for the hip.</w:t>
      </w:r>
      <w:r>
        <w:rPr>
          <w:vertAlign w:val="superscript"/>
        </w:rPr>
        <w:t>386</w:t>
      </w:r>
      <w:r>
        <w:rPr>
          <w:vertAlign w:val="baseline"/>
        </w:rPr>
        <w:t> As expected, smoking and low body weight were common findings among the poor responders, but the most impressive </w:t>
      </w:r>
      <w:r>
        <w:rPr>
          <w:vertAlign w:val="baseline"/>
        </w:rPr>
        <w:t>characteristics were lower estradiol and higher FSH levels. It is only logical that there exists a group of women who metabolize and clear administered estrogens at a greater rate and thus require a higher dose to sustain a protective effect on bone. Indeed, considerable variation in estradiol levels has been documented in individuals receiving both oral and transdermal hormone therapies.</w:t>
      </w:r>
      <w:r>
        <w:rPr>
          <w:vertAlign w:val="superscript"/>
        </w:rPr>
        <w:t>387,388</w:t>
      </w:r>
      <w:r>
        <w:rPr>
          <w:vertAlign w:val="baseline"/>
        </w:rPr>
        <w:t> Marketing presentations by the pharmaceutical companies provide mean levels, suggesting stable and smooth maintenance of blood levels; however, the ranges, which are wide, are not revealed. An aim of individualizing hormone therapy is to determine the appropriate dose for</w:t>
      </w:r>
      <w:r>
        <w:rPr>
          <w:spacing w:val="40"/>
          <w:vertAlign w:val="baseline"/>
        </w:rPr>
        <w:t> </w:t>
      </w:r>
      <w:r>
        <w:rPr>
          <w:vertAlign w:val="baseline"/>
        </w:rPr>
        <w:t>the</w:t>
      </w:r>
      <w:r>
        <w:rPr>
          <w:spacing w:val="58"/>
          <w:w w:val="150"/>
          <w:vertAlign w:val="baseline"/>
        </w:rPr>
        <w:t> </w:t>
      </w:r>
      <w:r>
        <w:rPr>
          <w:vertAlign w:val="baseline"/>
        </w:rPr>
        <w:t>intended</w:t>
      </w:r>
      <w:r>
        <w:rPr>
          <w:spacing w:val="61"/>
          <w:w w:val="150"/>
          <w:vertAlign w:val="baseline"/>
        </w:rPr>
        <w:t> </w:t>
      </w:r>
      <w:r>
        <w:rPr>
          <w:vertAlign w:val="baseline"/>
        </w:rPr>
        <w:t>objective;</w:t>
      </w:r>
      <w:r>
        <w:rPr>
          <w:spacing w:val="61"/>
          <w:w w:val="150"/>
          <w:vertAlign w:val="baseline"/>
        </w:rPr>
        <w:t> </w:t>
      </w:r>
      <w:r>
        <w:rPr>
          <w:vertAlign w:val="baseline"/>
        </w:rPr>
        <w:t>in</w:t>
      </w:r>
      <w:r>
        <w:rPr>
          <w:spacing w:val="61"/>
          <w:w w:val="150"/>
          <w:vertAlign w:val="baseline"/>
        </w:rPr>
        <w:t> </w:t>
      </w:r>
      <w:r>
        <w:rPr>
          <w:vertAlign w:val="baseline"/>
        </w:rPr>
        <w:t>the</w:t>
      </w:r>
      <w:r>
        <w:rPr>
          <w:spacing w:val="61"/>
          <w:w w:val="150"/>
          <w:vertAlign w:val="baseline"/>
        </w:rPr>
        <w:t> </w:t>
      </w:r>
      <w:r>
        <w:rPr>
          <w:vertAlign w:val="baseline"/>
        </w:rPr>
        <w:t>case</w:t>
      </w:r>
      <w:r>
        <w:rPr>
          <w:spacing w:val="61"/>
          <w:w w:val="150"/>
          <w:vertAlign w:val="baseline"/>
        </w:rPr>
        <w:t> </w:t>
      </w:r>
      <w:r>
        <w:rPr>
          <w:vertAlign w:val="baseline"/>
        </w:rPr>
        <w:t>of</w:t>
      </w:r>
      <w:r>
        <w:rPr>
          <w:spacing w:val="61"/>
          <w:w w:val="150"/>
          <w:vertAlign w:val="baseline"/>
        </w:rPr>
        <w:t> </w:t>
      </w:r>
      <w:r>
        <w:rPr>
          <w:vertAlign w:val="baseline"/>
        </w:rPr>
        <w:t>bone,</w:t>
      </w:r>
      <w:r>
        <w:rPr>
          <w:spacing w:val="61"/>
          <w:w w:val="150"/>
          <w:vertAlign w:val="baseline"/>
        </w:rPr>
        <w:t> </w:t>
      </w:r>
      <w:r>
        <w:rPr>
          <w:vertAlign w:val="baseline"/>
        </w:rPr>
        <w:t>antiresorptive</w:t>
      </w:r>
      <w:r>
        <w:rPr>
          <w:spacing w:val="61"/>
          <w:w w:val="150"/>
          <w:vertAlign w:val="baseline"/>
        </w:rPr>
        <w:t> </w:t>
      </w:r>
      <w:r>
        <w:rPr>
          <w:vertAlign w:val="baseline"/>
        </w:rPr>
        <w:t>effects</w:t>
      </w:r>
      <w:r>
        <w:rPr>
          <w:spacing w:val="61"/>
          <w:w w:val="150"/>
          <w:vertAlign w:val="baseline"/>
        </w:rPr>
        <w:t> </w:t>
      </w:r>
      <w:r>
        <w:rPr>
          <w:spacing w:val="-5"/>
          <w:vertAlign w:val="baseline"/>
        </w:rPr>
        <w:t>are</w:t>
      </w:r>
    </w:p>
    <w:p>
      <w:pPr>
        <w:pStyle w:val="BodyText"/>
        <w:spacing w:after="0" w:line="249" w:lineRule="auto"/>
        <w:sectPr>
          <w:pgSz w:w="12240" w:h="15840"/>
          <w:pgMar w:top="1420" w:bottom="280" w:left="1440" w:right="1440"/>
        </w:sectPr>
      </w:pPr>
    </w:p>
    <w:p>
      <w:pPr>
        <w:pStyle w:val="BodyText"/>
        <w:spacing w:line="249" w:lineRule="auto"/>
        <w:ind w:right="97"/>
      </w:pPr>
      <w:r>
        <w:rPr/>
        <w:t>apparent when serum estradiol levels exceed 20 pg/mL and are </w:t>
      </w:r>
      <w:r>
        <w:rPr/>
        <w:t>optimized with estradiol in the 40 to 60 pg/mL range. In patients using hormone therapy for osteoporosis prevention or management, if repeat bone density assessment demonstrates evidence of ongoing bone loss, proceeding with assessing</w:t>
      </w:r>
      <w:r>
        <w:rPr>
          <w:spacing w:val="-2"/>
        </w:rPr>
        <w:t> </w:t>
      </w:r>
      <w:r>
        <w:rPr/>
        <w:t>serum</w:t>
      </w:r>
      <w:r>
        <w:rPr>
          <w:spacing w:val="-2"/>
        </w:rPr>
        <w:t> </w:t>
      </w:r>
      <w:r>
        <w:rPr/>
        <w:t>estradiol</w:t>
      </w:r>
      <w:r>
        <w:rPr>
          <w:spacing w:val="-2"/>
        </w:rPr>
        <w:t> </w:t>
      </w:r>
      <w:r>
        <w:rPr/>
        <w:t>level</w:t>
      </w:r>
      <w:r>
        <w:rPr>
          <w:spacing w:val="-2"/>
        </w:rPr>
        <w:t> </w:t>
      </w:r>
      <w:r>
        <w:rPr/>
        <w:t>is</w:t>
      </w:r>
      <w:r>
        <w:rPr>
          <w:spacing w:val="-2"/>
        </w:rPr>
        <w:t> </w:t>
      </w:r>
      <w:r>
        <w:rPr/>
        <w:t>an</w:t>
      </w:r>
      <w:r>
        <w:rPr>
          <w:spacing w:val="-2"/>
        </w:rPr>
        <w:t> </w:t>
      </w:r>
      <w:r>
        <w:rPr/>
        <w:t>appropriate</w:t>
      </w:r>
      <w:r>
        <w:rPr>
          <w:spacing w:val="-2"/>
        </w:rPr>
        <w:t> </w:t>
      </w:r>
      <w:r>
        <w:rPr/>
        <w:t>next</w:t>
      </w:r>
      <w:r>
        <w:rPr>
          <w:spacing w:val="-2"/>
        </w:rPr>
        <w:t> </w:t>
      </w:r>
      <w:r>
        <w:rPr/>
        <w:t>step.</w:t>
      </w:r>
      <w:r>
        <w:rPr>
          <w:spacing w:val="-2"/>
        </w:rPr>
        <w:t> </w:t>
      </w:r>
      <w:r>
        <w:rPr/>
        <w:t>A practical range for a blood sample derived during office hours from a patient taking her medication at night is 50 to 100 pg/mL. To minimize variation, we encourage clinicians to always use the same laboratory, after first establishing the values obtained using standard doses of estradiol in their own practices. The reliability of blood estrogen measurements is questionable when conjugated equine estrogens (CEEs) are the treatment being used, although some assays can provide reproducible results because of cross-reactions with the specific antibody in the assay.</w:t>
      </w:r>
    </w:p>
    <w:p>
      <w:pPr>
        <w:pStyle w:val="BodyText"/>
        <w:spacing w:line="249" w:lineRule="auto" w:before="16"/>
        <w:ind w:right="97" w:firstLine="450"/>
      </w:pPr>
      <w:r>
        <w:rPr/>
        <w:t>As clinicians and the pharmaceutical industry promote lower doses of estrogen in order to minimize estrogen-related risks, a greater rate of poor response as measured by bone density can be expected. For otherwise healthy women without significant risk for cerebrovascular and cardiovascular</w:t>
      </w:r>
      <w:r>
        <w:rPr>
          <w:spacing w:val="-4"/>
        </w:rPr>
        <w:t> </w:t>
      </w:r>
      <w:r>
        <w:rPr/>
        <w:t>harm,</w:t>
      </w:r>
      <w:r>
        <w:rPr>
          <w:spacing w:val="-4"/>
        </w:rPr>
        <w:t> </w:t>
      </w:r>
      <w:r>
        <w:rPr/>
        <w:t>uptitration</w:t>
      </w:r>
      <w:r>
        <w:rPr>
          <w:spacing w:val="-4"/>
        </w:rPr>
        <w:t> </w:t>
      </w:r>
      <w:r>
        <w:rPr/>
        <w:t>of</w:t>
      </w:r>
      <w:r>
        <w:rPr>
          <w:spacing w:val="-4"/>
        </w:rPr>
        <w:t> </w:t>
      </w:r>
      <w:r>
        <w:rPr/>
        <w:t>estrogen</w:t>
      </w:r>
      <w:r>
        <w:rPr>
          <w:spacing w:val="-4"/>
        </w:rPr>
        <w:t> </w:t>
      </w:r>
      <w:r>
        <w:rPr/>
        <w:t>dose</w:t>
      </w:r>
      <w:r>
        <w:rPr>
          <w:spacing w:val="-4"/>
        </w:rPr>
        <w:t> </w:t>
      </w:r>
      <w:r>
        <w:rPr/>
        <w:t>can</w:t>
      </w:r>
      <w:r>
        <w:rPr>
          <w:spacing w:val="-4"/>
        </w:rPr>
        <w:t> </w:t>
      </w:r>
      <w:r>
        <w:rPr/>
        <w:t>be</w:t>
      </w:r>
      <w:r>
        <w:rPr>
          <w:spacing w:val="-4"/>
        </w:rPr>
        <w:t> </w:t>
      </w:r>
      <w:r>
        <w:rPr/>
        <w:t>safely</w:t>
      </w:r>
      <w:r>
        <w:rPr>
          <w:spacing w:val="-4"/>
        </w:rPr>
        <w:t> </w:t>
      </w:r>
      <w:r>
        <w:rPr/>
        <w:t>considered</w:t>
      </w:r>
      <w:r>
        <w:rPr>
          <w:spacing w:val="-4"/>
        </w:rPr>
        <w:t> </w:t>
      </w:r>
      <w:r>
        <w:rPr/>
        <w:t>if evidence of lack of skeletal response is encountered. Safety of such an approach can be ensured by monitoring of serum concentrations of estradiol. We would further emphasize that appropriate detection and investigation will confirm that a relatively low blood estradiol level is the cause of most cases of poor bone response to hormone treatment. An acidic vaginal pH (&lt;4.5) correlates with an appropriate dose of estrogen administration and is a very simple and inexpensive way of assessing adequacy of dosing.</w:t>
      </w:r>
      <w:r>
        <w:rPr>
          <w:vertAlign w:val="superscript"/>
        </w:rPr>
        <w:t>389,390</w:t>
      </w:r>
    </w:p>
    <w:p>
      <w:pPr>
        <w:spacing w:line="249" w:lineRule="auto" w:before="16"/>
        <w:ind w:left="99" w:right="102" w:firstLine="450"/>
        <w:jc w:val="both"/>
        <w:rPr>
          <w:sz w:val="30"/>
        </w:rPr>
      </w:pPr>
      <w:r>
        <w:rPr>
          <w:b/>
          <w:sz w:val="30"/>
        </w:rPr>
        <w:t>In a woman demonstrated to be losing bone despite </w:t>
      </w:r>
      <w:r>
        <w:rPr>
          <w:b/>
          <w:sz w:val="30"/>
        </w:rPr>
        <w:t>hormone therapy, the steps shown in </w:t>
      </w:r>
      <w:r>
        <w:rPr>
          <w:b/>
          <w:color w:val="256E60"/>
          <w:sz w:val="30"/>
        </w:rPr>
        <w:t>Table 23.8 </w:t>
      </w:r>
      <w:r>
        <w:rPr>
          <w:b/>
          <w:sz w:val="30"/>
        </w:rPr>
        <w:t>are recommended</w:t>
      </w:r>
      <w:r>
        <w:rPr>
          <w:sz w:val="30"/>
        </w:rPr>
        <w:t>.</w:t>
      </w:r>
    </w:p>
    <w:p>
      <w:pPr>
        <w:pStyle w:val="BodyText"/>
        <w:spacing w:before="0"/>
        <w:ind w:left="0"/>
        <w:jc w:val="left"/>
        <w:rPr>
          <w:sz w:val="20"/>
        </w:rPr>
      </w:pPr>
    </w:p>
    <w:p>
      <w:pPr>
        <w:pStyle w:val="BodyText"/>
        <w:spacing w:before="113"/>
        <w:ind w:left="0"/>
        <w:jc w:val="left"/>
        <w:rPr>
          <w:sz w:val="20"/>
        </w:rPr>
      </w:pPr>
      <w:r>
        <w:rPr>
          <w:sz w:val="20"/>
        </w:rPr>
        <mc:AlternateContent>
          <mc:Choice Requires="wps">
            <w:drawing>
              <wp:anchor distT="0" distB="0" distL="0" distR="0" allowOverlap="1" layoutInCell="1" locked="0" behindDoc="1" simplePos="0" relativeHeight="487619584">
                <wp:simplePos x="0" y="0"/>
                <wp:positionH relativeFrom="page">
                  <wp:posOffset>981075</wp:posOffset>
                </wp:positionH>
                <wp:positionV relativeFrom="paragraph">
                  <wp:posOffset>233323</wp:posOffset>
                </wp:positionV>
                <wp:extent cx="5810250" cy="285750"/>
                <wp:effectExtent l="0" t="0" r="0" b="0"/>
                <wp:wrapTopAndBottom/>
                <wp:docPr id="136" name="Textbox 136"/>
                <wp:cNvGraphicFramePr>
                  <a:graphicFrameLocks/>
                </wp:cNvGraphicFramePr>
                <a:graphic>
                  <a:graphicData uri="http://schemas.microsoft.com/office/word/2010/wordprocessingShape">
                    <wps:wsp>
                      <wps:cNvPr id="136" name="Textbox 136"/>
                      <wps:cNvSpPr txBox="1"/>
                      <wps:spPr>
                        <a:xfrm>
                          <a:off x="0" y="0"/>
                          <a:ext cx="5810250" cy="285750"/>
                        </a:xfrm>
                        <a:prstGeom prst="rect">
                          <a:avLst/>
                        </a:prstGeom>
                        <a:solidFill>
                          <a:srgbClr val="256E60"/>
                        </a:solidFill>
                      </wps:spPr>
                      <wps:txbx>
                        <w:txbxContent>
                          <w:p>
                            <w:pPr>
                              <w:spacing w:before="93"/>
                              <w:ind w:left="84" w:right="0" w:firstLine="0"/>
                              <w:jc w:val="left"/>
                              <w:rPr>
                                <w:rFonts w:ascii="Arial"/>
                                <w:b/>
                                <w:color w:val="000000"/>
                                <w:sz w:val="22"/>
                              </w:rPr>
                            </w:pPr>
                            <w:r>
                              <w:rPr>
                                <w:rFonts w:ascii="Arial"/>
                                <w:b/>
                                <w:color w:val="FFFFFF"/>
                                <w:sz w:val="22"/>
                              </w:rPr>
                              <w:t>TABLE</w:t>
                            </w:r>
                            <w:r>
                              <w:rPr>
                                <w:rFonts w:ascii="Arial"/>
                                <w:b/>
                                <w:color w:val="FFFFFF"/>
                                <w:spacing w:val="15"/>
                                <w:sz w:val="22"/>
                              </w:rPr>
                              <w:t> </w:t>
                            </w:r>
                            <w:r>
                              <w:rPr>
                                <w:rFonts w:ascii="Arial"/>
                                <w:b/>
                                <w:color w:val="FFFFFF"/>
                                <w:sz w:val="22"/>
                              </w:rPr>
                              <w:t>23.8</w:t>
                            </w:r>
                            <w:r>
                              <w:rPr>
                                <w:rFonts w:ascii="Arial"/>
                                <w:b/>
                                <w:color w:val="FFFFFF"/>
                                <w:spacing w:val="15"/>
                                <w:sz w:val="22"/>
                              </w:rPr>
                              <w:t> </w:t>
                            </w:r>
                            <w:r>
                              <w:rPr>
                                <w:rFonts w:ascii="Arial"/>
                                <w:b/>
                                <w:color w:val="FFFFFF"/>
                                <w:sz w:val="22"/>
                              </w:rPr>
                              <w:t>Recommendations</w:t>
                            </w:r>
                            <w:r>
                              <w:rPr>
                                <w:rFonts w:ascii="Arial"/>
                                <w:b/>
                                <w:color w:val="FFFFFF"/>
                                <w:spacing w:val="15"/>
                                <w:sz w:val="22"/>
                              </w:rPr>
                              <w:t> </w:t>
                            </w:r>
                            <w:r>
                              <w:rPr>
                                <w:rFonts w:ascii="Arial"/>
                                <w:b/>
                                <w:color w:val="FFFFFF"/>
                                <w:sz w:val="22"/>
                              </w:rPr>
                              <w:t>for</w:t>
                            </w:r>
                            <w:r>
                              <w:rPr>
                                <w:rFonts w:ascii="Arial"/>
                                <w:b/>
                                <w:color w:val="FFFFFF"/>
                                <w:spacing w:val="15"/>
                                <w:sz w:val="22"/>
                              </w:rPr>
                              <w:t> </w:t>
                            </w:r>
                            <w:r>
                              <w:rPr>
                                <w:rFonts w:ascii="Arial"/>
                                <w:b/>
                                <w:color w:val="FFFFFF"/>
                                <w:sz w:val="22"/>
                              </w:rPr>
                              <w:t>Losing</w:t>
                            </w:r>
                            <w:r>
                              <w:rPr>
                                <w:rFonts w:ascii="Arial"/>
                                <w:b/>
                                <w:color w:val="FFFFFF"/>
                                <w:spacing w:val="15"/>
                                <w:sz w:val="22"/>
                              </w:rPr>
                              <w:t> </w:t>
                            </w:r>
                            <w:r>
                              <w:rPr>
                                <w:rFonts w:ascii="Arial"/>
                                <w:b/>
                                <w:color w:val="FFFFFF"/>
                                <w:sz w:val="22"/>
                              </w:rPr>
                              <w:t>Bone</w:t>
                            </w:r>
                            <w:r>
                              <w:rPr>
                                <w:rFonts w:ascii="Arial"/>
                                <w:b/>
                                <w:color w:val="FFFFFF"/>
                                <w:spacing w:val="15"/>
                                <w:sz w:val="22"/>
                              </w:rPr>
                              <w:t> </w:t>
                            </w:r>
                            <w:r>
                              <w:rPr>
                                <w:rFonts w:ascii="Arial"/>
                                <w:b/>
                                <w:color w:val="FFFFFF"/>
                                <w:sz w:val="22"/>
                              </w:rPr>
                              <w:t>Despite</w:t>
                            </w:r>
                            <w:r>
                              <w:rPr>
                                <w:rFonts w:ascii="Arial"/>
                                <w:b/>
                                <w:color w:val="FFFFFF"/>
                                <w:spacing w:val="15"/>
                                <w:sz w:val="22"/>
                              </w:rPr>
                              <w:t> </w:t>
                            </w:r>
                            <w:r>
                              <w:rPr>
                                <w:rFonts w:ascii="Arial"/>
                                <w:b/>
                                <w:color w:val="FFFFFF"/>
                                <w:sz w:val="22"/>
                              </w:rPr>
                              <w:t>Hormone</w:t>
                            </w:r>
                            <w:r>
                              <w:rPr>
                                <w:rFonts w:ascii="Arial"/>
                                <w:b/>
                                <w:color w:val="FFFFFF"/>
                                <w:spacing w:val="15"/>
                                <w:sz w:val="22"/>
                              </w:rPr>
                              <w:t> </w:t>
                            </w:r>
                            <w:r>
                              <w:rPr>
                                <w:rFonts w:ascii="Arial"/>
                                <w:b/>
                                <w:color w:val="FFFFFF"/>
                                <w:spacing w:val="-2"/>
                                <w:sz w:val="22"/>
                              </w:rPr>
                              <w:t>Therapy</w:t>
                            </w:r>
                          </w:p>
                        </w:txbxContent>
                      </wps:txbx>
                      <wps:bodyPr wrap="square" lIns="0" tIns="0" rIns="0" bIns="0" rtlCol="0">
                        <a:noAutofit/>
                      </wps:bodyPr>
                    </wps:wsp>
                  </a:graphicData>
                </a:graphic>
              </wp:anchor>
            </w:drawing>
          </mc:Choice>
          <mc:Fallback>
            <w:pict>
              <v:shape style="position:absolute;margin-left:77.25pt;margin-top:18.371897pt;width:457.5pt;height:22.5pt;mso-position-horizontal-relative:page;mso-position-vertical-relative:paragraph;z-index:-15696896;mso-wrap-distance-left:0;mso-wrap-distance-right:0" type="#_x0000_t202" id="docshape121" filled="true" fillcolor="#256e60" stroked="false">
                <v:textbox inset="0,0,0,0">
                  <w:txbxContent>
                    <w:p>
                      <w:pPr>
                        <w:spacing w:before="93"/>
                        <w:ind w:left="84" w:right="0" w:firstLine="0"/>
                        <w:jc w:val="left"/>
                        <w:rPr>
                          <w:rFonts w:ascii="Arial"/>
                          <w:b/>
                          <w:color w:val="000000"/>
                          <w:sz w:val="22"/>
                        </w:rPr>
                      </w:pPr>
                      <w:r>
                        <w:rPr>
                          <w:rFonts w:ascii="Arial"/>
                          <w:b/>
                          <w:color w:val="FFFFFF"/>
                          <w:sz w:val="22"/>
                        </w:rPr>
                        <w:t>TABLE</w:t>
                      </w:r>
                      <w:r>
                        <w:rPr>
                          <w:rFonts w:ascii="Arial"/>
                          <w:b/>
                          <w:color w:val="FFFFFF"/>
                          <w:spacing w:val="15"/>
                          <w:sz w:val="22"/>
                        </w:rPr>
                        <w:t> </w:t>
                      </w:r>
                      <w:r>
                        <w:rPr>
                          <w:rFonts w:ascii="Arial"/>
                          <w:b/>
                          <w:color w:val="FFFFFF"/>
                          <w:sz w:val="22"/>
                        </w:rPr>
                        <w:t>23.8</w:t>
                      </w:r>
                      <w:r>
                        <w:rPr>
                          <w:rFonts w:ascii="Arial"/>
                          <w:b/>
                          <w:color w:val="FFFFFF"/>
                          <w:spacing w:val="15"/>
                          <w:sz w:val="22"/>
                        </w:rPr>
                        <w:t> </w:t>
                      </w:r>
                      <w:r>
                        <w:rPr>
                          <w:rFonts w:ascii="Arial"/>
                          <w:b/>
                          <w:color w:val="FFFFFF"/>
                          <w:sz w:val="22"/>
                        </w:rPr>
                        <w:t>Recommendations</w:t>
                      </w:r>
                      <w:r>
                        <w:rPr>
                          <w:rFonts w:ascii="Arial"/>
                          <w:b/>
                          <w:color w:val="FFFFFF"/>
                          <w:spacing w:val="15"/>
                          <w:sz w:val="22"/>
                        </w:rPr>
                        <w:t> </w:t>
                      </w:r>
                      <w:r>
                        <w:rPr>
                          <w:rFonts w:ascii="Arial"/>
                          <w:b/>
                          <w:color w:val="FFFFFF"/>
                          <w:sz w:val="22"/>
                        </w:rPr>
                        <w:t>for</w:t>
                      </w:r>
                      <w:r>
                        <w:rPr>
                          <w:rFonts w:ascii="Arial"/>
                          <w:b/>
                          <w:color w:val="FFFFFF"/>
                          <w:spacing w:val="15"/>
                          <w:sz w:val="22"/>
                        </w:rPr>
                        <w:t> </w:t>
                      </w:r>
                      <w:r>
                        <w:rPr>
                          <w:rFonts w:ascii="Arial"/>
                          <w:b/>
                          <w:color w:val="FFFFFF"/>
                          <w:sz w:val="22"/>
                        </w:rPr>
                        <w:t>Losing</w:t>
                      </w:r>
                      <w:r>
                        <w:rPr>
                          <w:rFonts w:ascii="Arial"/>
                          <w:b/>
                          <w:color w:val="FFFFFF"/>
                          <w:spacing w:val="15"/>
                          <w:sz w:val="22"/>
                        </w:rPr>
                        <w:t> </w:t>
                      </w:r>
                      <w:r>
                        <w:rPr>
                          <w:rFonts w:ascii="Arial"/>
                          <w:b/>
                          <w:color w:val="FFFFFF"/>
                          <w:sz w:val="22"/>
                        </w:rPr>
                        <w:t>Bone</w:t>
                      </w:r>
                      <w:r>
                        <w:rPr>
                          <w:rFonts w:ascii="Arial"/>
                          <w:b/>
                          <w:color w:val="FFFFFF"/>
                          <w:spacing w:val="15"/>
                          <w:sz w:val="22"/>
                        </w:rPr>
                        <w:t> </w:t>
                      </w:r>
                      <w:r>
                        <w:rPr>
                          <w:rFonts w:ascii="Arial"/>
                          <w:b/>
                          <w:color w:val="FFFFFF"/>
                          <w:sz w:val="22"/>
                        </w:rPr>
                        <w:t>Despite</w:t>
                      </w:r>
                      <w:r>
                        <w:rPr>
                          <w:rFonts w:ascii="Arial"/>
                          <w:b/>
                          <w:color w:val="FFFFFF"/>
                          <w:spacing w:val="15"/>
                          <w:sz w:val="22"/>
                        </w:rPr>
                        <w:t> </w:t>
                      </w:r>
                      <w:r>
                        <w:rPr>
                          <w:rFonts w:ascii="Arial"/>
                          <w:b/>
                          <w:color w:val="FFFFFF"/>
                          <w:sz w:val="22"/>
                        </w:rPr>
                        <w:t>Hormone</w:t>
                      </w:r>
                      <w:r>
                        <w:rPr>
                          <w:rFonts w:ascii="Arial"/>
                          <w:b/>
                          <w:color w:val="FFFFFF"/>
                          <w:spacing w:val="15"/>
                          <w:sz w:val="22"/>
                        </w:rPr>
                        <w:t> </w:t>
                      </w:r>
                      <w:r>
                        <w:rPr>
                          <w:rFonts w:ascii="Arial"/>
                          <w:b/>
                          <w:color w:val="FFFFFF"/>
                          <w:spacing w:val="-2"/>
                          <w:sz w:val="22"/>
                        </w:rPr>
                        <w:t>Therapy</w:t>
                      </w:r>
                    </w:p>
                  </w:txbxContent>
                </v:textbox>
                <v:fill type="solid"/>
                <w10:wrap type="topAndBottom"/>
              </v:shape>
            </w:pict>
          </mc:Fallback>
        </mc:AlternateContent>
      </w:r>
    </w:p>
    <w:p>
      <w:pPr>
        <w:pStyle w:val="ListParagraph"/>
        <w:numPr>
          <w:ilvl w:val="0"/>
          <w:numId w:val="7"/>
        </w:numPr>
        <w:tabs>
          <w:tab w:pos="412" w:val="left" w:leader="none"/>
          <w:tab w:pos="414" w:val="left" w:leader="none"/>
        </w:tabs>
        <w:spacing w:line="256" w:lineRule="auto" w:before="93" w:after="0"/>
        <w:ind w:left="414" w:right="209" w:hanging="250"/>
        <w:jc w:val="left"/>
        <w:rPr>
          <w:b/>
          <w:sz w:val="22"/>
        </w:rPr>
      </w:pPr>
      <w:r>
        <w:rPr>
          <w:b/>
          <w:sz w:val="22"/>
        </w:rPr>
        <w:t>Check compliance and dose by measuring blood estrogen levels; adjust dose titration </w:t>
      </w:r>
      <w:r>
        <w:rPr>
          <w:b/>
          <w:sz w:val="22"/>
        </w:rPr>
        <w:t>based on serum estradiol measurements. Consider the use of vaginal pH measurements.</w:t>
      </w:r>
    </w:p>
    <w:p>
      <w:pPr>
        <w:pStyle w:val="BodyText"/>
        <w:spacing w:before="3"/>
        <w:ind w:left="0"/>
        <w:jc w:val="left"/>
        <w:rPr>
          <w:b/>
          <w:sz w:val="5"/>
        </w:rPr>
      </w:pPr>
      <w:r>
        <w:rPr>
          <w:b/>
          <w:sz w:val="5"/>
        </w:rPr>
        <mc:AlternateContent>
          <mc:Choice Requires="wps">
            <w:drawing>
              <wp:anchor distT="0" distB="0" distL="0" distR="0" allowOverlap="1" layoutInCell="1" locked="0" behindDoc="1" simplePos="0" relativeHeight="487620096">
                <wp:simplePos x="0" y="0"/>
                <wp:positionH relativeFrom="page">
                  <wp:posOffset>981062</wp:posOffset>
                </wp:positionH>
                <wp:positionV relativeFrom="paragraph">
                  <wp:posOffset>53767</wp:posOffset>
                </wp:positionV>
                <wp:extent cx="5810250" cy="9525"/>
                <wp:effectExtent l="0" t="0" r="0" b="0"/>
                <wp:wrapTopAndBottom/>
                <wp:docPr id="137" name="Graphic 137"/>
                <wp:cNvGraphicFramePr>
                  <a:graphicFrameLocks/>
                </wp:cNvGraphicFramePr>
                <a:graphic>
                  <a:graphicData uri="http://schemas.microsoft.com/office/word/2010/wordprocessingShape">
                    <wps:wsp>
                      <wps:cNvPr id="137" name="Graphic 137"/>
                      <wps:cNvSpPr/>
                      <wps:spPr>
                        <a:xfrm>
                          <a:off x="0" y="0"/>
                          <a:ext cx="5810250" cy="9525"/>
                        </a:xfrm>
                        <a:custGeom>
                          <a:avLst/>
                          <a:gdLst/>
                          <a:ahLst/>
                          <a:cxnLst/>
                          <a:rect l="l" t="t" r="r" b="b"/>
                          <a:pathLst>
                            <a:path w="5810250" h="9525">
                              <a:moveTo>
                                <a:pt x="5810250" y="0"/>
                              </a:moveTo>
                              <a:lnTo>
                                <a:pt x="2457450" y="0"/>
                              </a:lnTo>
                              <a:lnTo>
                                <a:pt x="0" y="0"/>
                              </a:lnTo>
                              <a:lnTo>
                                <a:pt x="0" y="9525"/>
                              </a:lnTo>
                              <a:lnTo>
                                <a:pt x="2457450"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shape style="position:absolute;margin-left:77.249001pt;margin-top:4.233691pt;width:457.5pt;height:.75pt;mso-position-horizontal-relative:page;mso-position-vertical-relative:paragraph;z-index:-15696384;mso-wrap-distance-left:0;mso-wrap-distance-right:0" id="docshape122" coordorigin="1545,85" coordsize="9150,15" path="m10695,85l5415,85,1545,85,1545,100,5415,100,10695,100,10695,85xe" filled="true" fillcolor="#1c5349" stroked="false">
                <v:path arrowok="t"/>
                <v:fill type="solid"/>
                <w10:wrap type="topAndBottom"/>
              </v:shape>
            </w:pict>
          </mc:Fallback>
        </mc:AlternateContent>
      </w:r>
    </w:p>
    <w:p>
      <w:pPr>
        <w:pStyle w:val="ListParagraph"/>
        <w:numPr>
          <w:ilvl w:val="0"/>
          <w:numId w:val="7"/>
        </w:numPr>
        <w:tabs>
          <w:tab w:pos="412" w:val="left" w:leader="none"/>
          <w:tab w:pos="4059" w:val="left" w:leader="none"/>
        </w:tabs>
        <w:spacing w:line="240" w:lineRule="auto" w:before="93" w:after="0"/>
        <w:ind w:left="412" w:right="0" w:hanging="248"/>
        <w:jc w:val="left"/>
        <w:rPr>
          <w:position w:val="-4"/>
          <w:sz w:val="22"/>
        </w:rPr>
      </w:pPr>
      <w:r>
        <w:rPr>
          <w:b/>
          <w:sz w:val="22"/>
        </w:rPr>
        <w:t>Rule</w:t>
      </w:r>
      <w:r>
        <w:rPr>
          <w:b/>
          <w:spacing w:val="9"/>
          <w:sz w:val="22"/>
        </w:rPr>
        <w:t> </w:t>
      </w:r>
      <w:r>
        <w:rPr>
          <w:b/>
          <w:sz w:val="22"/>
        </w:rPr>
        <w:t>out</w:t>
      </w:r>
      <w:r>
        <w:rPr>
          <w:b/>
          <w:spacing w:val="9"/>
          <w:sz w:val="22"/>
        </w:rPr>
        <w:t> </w:t>
      </w:r>
      <w:r>
        <w:rPr>
          <w:b/>
          <w:sz w:val="22"/>
        </w:rPr>
        <w:t>other</w:t>
      </w:r>
      <w:r>
        <w:rPr>
          <w:b/>
          <w:spacing w:val="9"/>
          <w:sz w:val="22"/>
        </w:rPr>
        <w:t> </w:t>
      </w:r>
      <w:r>
        <w:rPr>
          <w:b/>
          <w:sz w:val="22"/>
        </w:rPr>
        <w:t>causes</w:t>
      </w:r>
      <w:r>
        <w:rPr>
          <w:b/>
          <w:spacing w:val="10"/>
          <w:sz w:val="22"/>
        </w:rPr>
        <w:t> </w:t>
      </w:r>
      <w:r>
        <w:rPr>
          <w:b/>
          <w:sz w:val="22"/>
        </w:rPr>
        <w:t>of</w:t>
      </w:r>
      <w:r>
        <w:rPr>
          <w:b/>
          <w:spacing w:val="9"/>
          <w:sz w:val="22"/>
        </w:rPr>
        <w:t> </w:t>
      </w:r>
      <w:r>
        <w:rPr>
          <w:b/>
          <w:sz w:val="22"/>
        </w:rPr>
        <w:t>bone</w:t>
      </w:r>
      <w:r>
        <w:rPr>
          <w:b/>
          <w:spacing w:val="9"/>
          <w:sz w:val="22"/>
        </w:rPr>
        <w:t> </w:t>
      </w:r>
      <w:r>
        <w:rPr>
          <w:b/>
          <w:spacing w:val="-4"/>
          <w:sz w:val="22"/>
        </w:rPr>
        <w:t>loss</w:t>
      </w:r>
      <w:r>
        <w:rPr>
          <w:b/>
          <w:sz w:val="22"/>
        </w:rPr>
        <w:tab/>
      </w:r>
      <w:r>
        <w:rPr>
          <w:i/>
          <w:position w:val="-4"/>
          <w:sz w:val="22"/>
        </w:rPr>
        <w:t>Chronic</w:t>
      </w:r>
      <w:r>
        <w:rPr>
          <w:i/>
          <w:spacing w:val="6"/>
          <w:position w:val="-4"/>
          <w:sz w:val="22"/>
        </w:rPr>
        <w:t> </w:t>
      </w:r>
      <w:r>
        <w:rPr>
          <w:i/>
          <w:spacing w:val="-2"/>
          <w:position w:val="-4"/>
          <w:sz w:val="22"/>
        </w:rPr>
        <w:t>disease</w:t>
      </w:r>
      <w:r>
        <w:rPr>
          <w:spacing w:val="-2"/>
          <w:position w:val="-4"/>
          <w:sz w:val="22"/>
        </w:rPr>
        <w:t>:</w:t>
      </w:r>
    </w:p>
    <w:p>
      <w:pPr>
        <w:pStyle w:val="ListParagraph"/>
        <w:numPr>
          <w:ilvl w:val="1"/>
          <w:numId w:val="7"/>
        </w:numPr>
        <w:tabs>
          <w:tab w:pos="4306" w:val="left" w:leader="none"/>
        </w:tabs>
        <w:spacing w:line="240" w:lineRule="auto" w:before="72" w:after="0"/>
        <w:ind w:left="4306" w:right="0" w:hanging="242"/>
        <w:jc w:val="left"/>
        <w:rPr>
          <w:sz w:val="22"/>
        </w:rPr>
      </w:pPr>
      <w:r>
        <w:rPr>
          <w:sz w:val="22"/>
        </w:rPr>
        <w:t>Renal</w:t>
      </w:r>
      <w:r>
        <w:rPr>
          <w:spacing w:val="9"/>
          <w:sz w:val="22"/>
        </w:rPr>
        <w:t> </w:t>
      </w:r>
      <w:r>
        <w:rPr>
          <w:sz w:val="22"/>
        </w:rPr>
        <w:t>and</w:t>
      </w:r>
      <w:r>
        <w:rPr>
          <w:spacing w:val="9"/>
          <w:sz w:val="22"/>
        </w:rPr>
        <w:t> </w:t>
      </w:r>
      <w:r>
        <w:rPr>
          <w:spacing w:val="-2"/>
          <w:sz w:val="22"/>
        </w:rPr>
        <w:t>hepatic</w:t>
      </w:r>
    </w:p>
    <w:p>
      <w:pPr>
        <w:pStyle w:val="ListParagraph"/>
        <w:numPr>
          <w:ilvl w:val="1"/>
          <w:numId w:val="7"/>
        </w:numPr>
        <w:tabs>
          <w:tab w:pos="4306" w:val="left" w:leader="none"/>
        </w:tabs>
        <w:spacing w:line="240" w:lineRule="auto" w:before="17" w:after="0"/>
        <w:ind w:left="4306" w:right="0" w:hanging="242"/>
        <w:jc w:val="left"/>
        <w:rPr>
          <w:sz w:val="22"/>
        </w:rPr>
      </w:pPr>
      <w:r>
        <w:rPr>
          <w:sz w:val="22"/>
        </w:rPr>
        <w:t>Multiple</w:t>
      </w:r>
      <w:r>
        <w:rPr>
          <w:spacing w:val="16"/>
          <w:sz w:val="22"/>
        </w:rPr>
        <w:t> </w:t>
      </w:r>
      <w:r>
        <w:rPr>
          <w:spacing w:val="-2"/>
          <w:sz w:val="22"/>
        </w:rPr>
        <w:t>myeloma</w:t>
      </w:r>
    </w:p>
    <w:p>
      <w:pPr>
        <w:pStyle w:val="ListParagraph"/>
        <w:spacing w:after="0" w:line="240" w:lineRule="auto"/>
        <w:jc w:val="left"/>
        <w:rPr>
          <w:sz w:val="22"/>
        </w:rPr>
        <w:sectPr>
          <w:pgSz w:w="12240" w:h="15840"/>
          <w:pgMar w:top="1380" w:bottom="280" w:left="1440" w:right="1440"/>
        </w:sectPr>
      </w:pPr>
    </w:p>
    <w:p>
      <w:pPr>
        <w:spacing w:before="84"/>
        <w:ind w:left="4059" w:right="0" w:firstLine="0"/>
        <w:jc w:val="left"/>
        <w:rPr>
          <w:sz w:val="22"/>
        </w:rPr>
      </w:pPr>
      <w:r>
        <w:rPr>
          <w:i/>
          <w:sz w:val="22"/>
        </w:rPr>
        <w:t>Endocrine</w:t>
      </w:r>
      <w:r>
        <w:rPr>
          <w:i/>
          <w:spacing w:val="19"/>
          <w:sz w:val="22"/>
        </w:rPr>
        <w:t> </w:t>
      </w:r>
      <w:r>
        <w:rPr>
          <w:i/>
          <w:spacing w:val="-2"/>
          <w:sz w:val="22"/>
        </w:rPr>
        <w:t>diseases</w:t>
      </w:r>
      <w:r>
        <w:rPr>
          <w:spacing w:val="-2"/>
          <w:sz w:val="22"/>
        </w:rPr>
        <w:t>:</w:t>
      </w:r>
    </w:p>
    <w:p>
      <w:pPr>
        <w:pStyle w:val="ListParagraph"/>
        <w:numPr>
          <w:ilvl w:val="1"/>
          <w:numId w:val="7"/>
        </w:numPr>
        <w:tabs>
          <w:tab w:pos="4306" w:val="left" w:leader="none"/>
        </w:tabs>
        <w:spacing w:line="240" w:lineRule="auto" w:before="62" w:after="0"/>
        <w:ind w:left="4306" w:right="0" w:hanging="242"/>
        <w:jc w:val="left"/>
        <w:rPr>
          <w:sz w:val="22"/>
        </w:rPr>
      </w:pPr>
      <w:r>
        <w:rPr>
          <w:sz w:val="22"/>
        </w:rPr>
        <w:t>Excess</w:t>
      </w:r>
      <w:r>
        <w:rPr>
          <w:spacing w:val="13"/>
          <w:sz w:val="22"/>
        </w:rPr>
        <w:t> </w:t>
      </w:r>
      <w:r>
        <w:rPr>
          <w:spacing w:val="-2"/>
          <w:sz w:val="22"/>
        </w:rPr>
        <w:t>glucocorticoids</w:t>
      </w:r>
    </w:p>
    <w:p>
      <w:pPr>
        <w:pStyle w:val="ListParagraph"/>
        <w:numPr>
          <w:ilvl w:val="1"/>
          <w:numId w:val="7"/>
        </w:numPr>
        <w:tabs>
          <w:tab w:pos="4306" w:val="left" w:leader="none"/>
        </w:tabs>
        <w:spacing w:line="240" w:lineRule="auto" w:before="17" w:after="0"/>
        <w:ind w:left="4306" w:right="0" w:hanging="242"/>
        <w:jc w:val="left"/>
        <w:rPr>
          <w:sz w:val="22"/>
        </w:rPr>
      </w:pPr>
      <w:r>
        <w:rPr>
          <w:spacing w:val="-2"/>
          <w:sz w:val="22"/>
        </w:rPr>
        <w:t>Hyperthyroidism</w:t>
      </w:r>
    </w:p>
    <w:p>
      <w:pPr>
        <w:pStyle w:val="ListParagraph"/>
        <w:numPr>
          <w:ilvl w:val="1"/>
          <w:numId w:val="7"/>
        </w:numPr>
        <w:tabs>
          <w:tab w:pos="4306" w:val="left" w:leader="none"/>
        </w:tabs>
        <w:spacing w:line="240" w:lineRule="auto" w:before="17" w:after="0"/>
        <w:ind w:left="4306" w:right="0" w:hanging="242"/>
        <w:jc w:val="left"/>
        <w:rPr>
          <w:sz w:val="22"/>
        </w:rPr>
      </w:pPr>
      <w:r>
        <w:rPr>
          <w:spacing w:val="-2"/>
          <w:sz w:val="22"/>
        </w:rPr>
        <w:t>Hyperparathyroidism</w:t>
      </w:r>
    </w:p>
    <w:p>
      <w:pPr>
        <w:pStyle w:val="ListParagraph"/>
        <w:numPr>
          <w:ilvl w:val="1"/>
          <w:numId w:val="7"/>
        </w:numPr>
        <w:tabs>
          <w:tab w:pos="4306" w:val="left" w:leader="none"/>
        </w:tabs>
        <w:spacing w:line="240" w:lineRule="auto" w:before="17" w:after="0"/>
        <w:ind w:left="4306" w:right="0" w:hanging="242"/>
        <w:jc w:val="left"/>
        <w:rPr>
          <w:sz w:val="22"/>
        </w:rPr>
      </w:pPr>
      <w:r>
        <w:rPr>
          <w:sz w:val="22"/>
        </w:rPr>
        <w:t>Inadequate</w:t>
      </w:r>
      <w:r>
        <w:rPr>
          <w:spacing w:val="18"/>
          <w:sz w:val="22"/>
        </w:rPr>
        <w:t> </w:t>
      </w:r>
      <w:r>
        <w:rPr>
          <w:sz w:val="22"/>
        </w:rPr>
        <w:t>estrogen</w:t>
      </w:r>
      <w:r>
        <w:rPr>
          <w:spacing w:val="18"/>
          <w:sz w:val="22"/>
        </w:rPr>
        <w:t> </w:t>
      </w:r>
      <w:r>
        <w:rPr>
          <w:spacing w:val="-2"/>
          <w:sz w:val="22"/>
        </w:rPr>
        <w:t>dosing</w:t>
      </w:r>
    </w:p>
    <w:p>
      <w:pPr>
        <w:spacing w:before="62"/>
        <w:ind w:left="4059" w:right="0" w:firstLine="0"/>
        <w:jc w:val="left"/>
        <w:rPr>
          <w:sz w:val="22"/>
        </w:rPr>
      </w:pPr>
      <w:r>
        <w:rPr>
          <w:i/>
          <w:spacing w:val="-2"/>
          <w:sz w:val="22"/>
        </w:rPr>
        <w:t>Drugs</w:t>
      </w:r>
      <w:r>
        <w:rPr>
          <w:spacing w:val="-2"/>
          <w:sz w:val="22"/>
        </w:rPr>
        <w:t>:</w:t>
      </w:r>
    </w:p>
    <w:p>
      <w:pPr>
        <w:pStyle w:val="ListParagraph"/>
        <w:numPr>
          <w:ilvl w:val="1"/>
          <w:numId w:val="7"/>
        </w:numPr>
        <w:tabs>
          <w:tab w:pos="4306" w:val="left" w:leader="none"/>
        </w:tabs>
        <w:spacing w:line="240" w:lineRule="auto" w:before="62" w:after="0"/>
        <w:ind w:left="4306" w:right="0" w:hanging="242"/>
        <w:jc w:val="left"/>
        <w:rPr>
          <w:sz w:val="22"/>
        </w:rPr>
      </w:pPr>
      <w:r>
        <w:rPr>
          <w:sz w:val="22"/>
        </w:rPr>
        <w:t>Heparin,</w:t>
      </w:r>
      <w:r>
        <w:rPr>
          <w:spacing w:val="22"/>
          <w:sz w:val="22"/>
        </w:rPr>
        <w:t> </w:t>
      </w:r>
      <w:r>
        <w:rPr>
          <w:sz w:val="22"/>
        </w:rPr>
        <w:t>anticonvulsants,</w:t>
      </w:r>
      <w:r>
        <w:rPr>
          <w:spacing w:val="23"/>
          <w:sz w:val="22"/>
        </w:rPr>
        <w:t> </w:t>
      </w:r>
      <w:r>
        <w:rPr>
          <w:spacing w:val="-2"/>
          <w:sz w:val="22"/>
        </w:rPr>
        <w:t>glucocorticoids</w:t>
      </w:r>
    </w:p>
    <w:p>
      <w:pPr>
        <w:pStyle w:val="ListParagraph"/>
        <w:numPr>
          <w:ilvl w:val="1"/>
          <w:numId w:val="7"/>
        </w:numPr>
        <w:tabs>
          <w:tab w:pos="4306" w:val="left" w:leader="none"/>
        </w:tabs>
        <w:spacing w:line="240" w:lineRule="auto" w:before="17" w:after="0"/>
        <w:ind w:left="4306" w:right="0" w:hanging="242"/>
        <w:jc w:val="left"/>
        <w:rPr>
          <w:sz w:val="22"/>
        </w:rPr>
      </w:pPr>
      <w:r>
        <w:rPr>
          <w:sz w:val="22"/>
        </w:rPr>
        <w:t>SSRIs,</w:t>
      </w:r>
      <w:r>
        <w:rPr>
          <w:spacing w:val="13"/>
          <w:sz w:val="22"/>
        </w:rPr>
        <w:t> </w:t>
      </w:r>
      <w:r>
        <w:rPr>
          <w:sz w:val="22"/>
        </w:rPr>
        <w:t>proton</w:t>
      </w:r>
      <w:r>
        <w:rPr>
          <w:spacing w:val="14"/>
          <w:sz w:val="22"/>
        </w:rPr>
        <w:t> </w:t>
      </w:r>
      <w:r>
        <w:rPr>
          <w:sz w:val="22"/>
        </w:rPr>
        <w:t>pump</w:t>
      </w:r>
      <w:r>
        <w:rPr>
          <w:spacing w:val="14"/>
          <w:sz w:val="22"/>
        </w:rPr>
        <w:t> </w:t>
      </w:r>
      <w:r>
        <w:rPr>
          <w:sz w:val="22"/>
        </w:rPr>
        <w:t>inhibitors,</w:t>
      </w:r>
      <w:r>
        <w:rPr>
          <w:spacing w:val="14"/>
          <w:sz w:val="22"/>
        </w:rPr>
        <w:t> </w:t>
      </w:r>
      <w:r>
        <w:rPr>
          <w:spacing w:val="-2"/>
          <w:sz w:val="22"/>
        </w:rPr>
        <w:t>thiazolidinediones</w:t>
      </w:r>
    </w:p>
    <w:p>
      <w:pPr>
        <w:spacing w:before="62"/>
        <w:ind w:left="4059" w:right="0" w:firstLine="0"/>
        <w:jc w:val="left"/>
        <w:rPr>
          <w:sz w:val="22"/>
        </w:rPr>
      </w:pPr>
      <w:r>
        <w:rPr>
          <w:i/>
          <w:spacing w:val="-2"/>
          <w:sz w:val="22"/>
        </w:rPr>
        <w:t>Nutritional</w:t>
      </w:r>
      <w:r>
        <w:rPr>
          <w:spacing w:val="-2"/>
          <w:sz w:val="22"/>
        </w:rPr>
        <w:t>:</w:t>
      </w:r>
    </w:p>
    <w:p>
      <w:pPr>
        <w:spacing w:before="63"/>
        <w:ind w:left="4059" w:right="0" w:firstLine="0"/>
        <w:jc w:val="left"/>
        <w:rPr>
          <w:sz w:val="22"/>
        </w:rPr>
      </w:pPr>
      <w:r>
        <w:rPr>
          <w:sz w:val="22"/>
        </w:rPr>
        <w:t>Calcium,</w:t>
      </w:r>
      <w:r>
        <w:rPr>
          <w:spacing w:val="13"/>
          <w:sz w:val="22"/>
        </w:rPr>
        <w:t> </w:t>
      </w:r>
      <w:r>
        <w:rPr>
          <w:sz w:val="22"/>
        </w:rPr>
        <w:t>phosphate,</w:t>
      </w:r>
      <w:r>
        <w:rPr>
          <w:spacing w:val="14"/>
          <w:sz w:val="22"/>
        </w:rPr>
        <w:t> </w:t>
      </w:r>
      <w:r>
        <w:rPr>
          <w:sz w:val="22"/>
        </w:rPr>
        <w:t>vitamin</w:t>
      </w:r>
      <w:r>
        <w:rPr>
          <w:spacing w:val="14"/>
          <w:sz w:val="22"/>
        </w:rPr>
        <w:t> </w:t>
      </w:r>
      <w:r>
        <w:rPr>
          <w:sz w:val="22"/>
        </w:rPr>
        <w:t>D</w:t>
      </w:r>
      <w:r>
        <w:rPr>
          <w:spacing w:val="14"/>
          <w:sz w:val="22"/>
        </w:rPr>
        <w:t> </w:t>
      </w:r>
      <w:r>
        <w:rPr>
          <w:spacing w:val="-2"/>
          <w:sz w:val="22"/>
        </w:rPr>
        <w:t>deficiencies</w:t>
      </w:r>
    </w:p>
    <w:p>
      <w:pPr>
        <w:spacing w:before="62"/>
        <w:ind w:left="4059" w:right="0" w:firstLine="0"/>
        <w:jc w:val="left"/>
        <w:rPr>
          <w:sz w:val="22"/>
        </w:rPr>
      </w:pPr>
      <w:r>
        <w:rPr>
          <w:i/>
          <w:sz w:val="22"/>
        </w:rPr>
        <w:t>Toxic</w:t>
      </w:r>
      <w:r>
        <w:rPr>
          <w:i/>
          <w:spacing w:val="-11"/>
          <w:sz w:val="22"/>
        </w:rPr>
        <w:t> </w:t>
      </w:r>
      <w:r>
        <w:rPr>
          <w:i/>
          <w:spacing w:val="-2"/>
          <w:sz w:val="22"/>
        </w:rPr>
        <w:t>exposures</w:t>
      </w:r>
      <w:r>
        <w:rPr>
          <w:spacing w:val="-2"/>
          <w:sz w:val="22"/>
        </w:rPr>
        <w:t>:</w:t>
      </w:r>
    </w:p>
    <w:p>
      <w:pPr>
        <w:pStyle w:val="ListParagraph"/>
        <w:numPr>
          <w:ilvl w:val="1"/>
          <w:numId w:val="7"/>
        </w:numPr>
        <w:tabs>
          <w:tab w:pos="4306" w:val="left" w:leader="none"/>
        </w:tabs>
        <w:spacing w:line="240" w:lineRule="auto" w:before="62" w:after="0"/>
        <w:ind w:left="4306" w:right="0" w:hanging="242"/>
        <w:jc w:val="left"/>
        <w:rPr>
          <w:sz w:val="22"/>
        </w:rPr>
      </w:pPr>
      <w:r>
        <w:rPr>
          <w:sz w:val="22"/>
        </w:rPr>
        <w:t>High</w:t>
      </w:r>
      <w:r>
        <w:rPr>
          <w:spacing w:val="8"/>
          <w:sz w:val="22"/>
        </w:rPr>
        <w:t> </w:t>
      </w:r>
      <w:r>
        <w:rPr>
          <w:sz w:val="22"/>
        </w:rPr>
        <w:t>intake</w:t>
      </w:r>
      <w:r>
        <w:rPr>
          <w:spacing w:val="9"/>
          <w:sz w:val="22"/>
        </w:rPr>
        <w:t> </w:t>
      </w:r>
      <w:r>
        <w:rPr>
          <w:sz w:val="22"/>
        </w:rPr>
        <w:t>of</w:t>
      </w:r>
      <w:r>
        <w:rPr>
          <w:spacing w:val="9"/>
          <w:sz w:val="22"/>
        </w:rPr>
        <w:t> </w:t>
      </w:r>
      <w:r>
        <w:rPr>
          <w:spacing w:val="-2"/>
          <w:sz w:val="22"/>
        </w:rPr>
        <w:t>alcohol</w:t>
      </w:r>
    </w:p>
    <w:p>
      <w:pPr>
        <w:pStyle w:val="ListParagraph"/>
        <w:numPr>
          <w:ilvl w:val="1"/>
          <w:numId w:val="7"/>
        </w:numPr>
        <w:tabs>
          <w:tab w:pos="4306" w:val="left" w:leader="none"/>
        </w:tabs>
        <w:spacing w:line="240" w:lineRule="auto" w:before="17" w:after="0"/>
        <w:ind w:left="4306" w:right="0" w:hanging="242"/>
        <w:jc w:val="left"/>
        <w:rPr>
          <w:sz w:val="22"/>
        </w:rPr>
      </w:pPr>
      <w:r>
        <w:rPr>
          <w:spacing w:val="-2"/>
          <w:sz w:val="22"/>
        </w:rPr>
        <w:t>Smoking</w:t>
      </w:r>
    </w:p>
    <w:p>
      <w:pPr>
        <w:pStyle w:val="BodyText"/>
        <w:spacing w:before="9"/>
        <w:ind w:left="0"/>
        <w:jc w:val="left"/>
        <w:rPr>
          <w:sz w:val="6"/>
        </w:rPr>
      </w:pPr>
      <w:r>
        <w:rPr>
          <w:sz w:val="6"/>
        </w:rPr>
        <mc:AlternateContent>
          <mc:Choice Requires="wps">
            <w:drawing>
              <wp:anchor distT="0" distB="0" distL="0" distR="0" allowOverlap="1" layoutInCell="1" locked="0" behindDoc="1" simplePos="0" relativeHeight="487620608">
                <wp:simplePos x="0" y="0"/>
                <wp:positionH relativeFrom="page">
                  <wp:posOffset>981075</wp:posOffset>
                </wp:positionH>
                <wp:positionV relativeFrom="paragraph">
                  <wp:posOffset>64925</wp:posOffset>
                </wp:positionV>
                <wp:extent cx="5810250" cy="9525"/>
                <wp:effectExtent l="0" t="0" r="0" b="0"/>
                <wp:wrapTopAndBottom/>
                <wp:docPr id="138" name="Group 138"/>
                <wp:cNvGraphicFramePr>
                  <a:graphicFrameLocks/>
                </wp:cNvGraphicFramePr>
                <a:graphic>
                  <a:graphicData uri="http://schemas.microsoft.com/office/word/2010/wordprocessingGroup">
                    <wpg:wgp>
                      <wpg:cNvPr id="138" name="Group 138"/>
                      <wpg:cNvGrpSpPr/>
                      <wpg:grpSpPr>
                        <a:xfrm>
                          <a:off x="0" y="0"/>
                          <a:ext cx="5810250" cy="9525"/>
                          <a:chExt cx="5810250" cy="9525"/>
                        </a:xfrm>
                      </wpg:grpSpPr>
                      <wps:wsp>
                        <wps:cNvPr id="139" name="Graphic 139"/>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4E3D86"/>
                          </a:solidFill>
                        </wps:spPr>
                        <wps:bodyPr wrap="square" lIns="0" tIns="0" rIns="0" bIns="0" rtlCol="0">
                          <a:prstTxWarp prst="textNoShape">
                            <a:avLst/>
                          </a:prstTxWarp>
                          <a:noAutofit/>
                        </wps:bodyPr>
                      </wps:wsp>
                      <wps:wsp>
                        <wps:cNvPr id="140" name="Graphic 140"/>
                        <wps:cNvSpPr/>
                        <wps:spPr>
                          <a:xfrm>
                            <a:off x="2457449" y="0"/>
                            <a:ext cx="3352800" cy="9525"/>
                          </a:xfrm>
                          <a:custGeom>
                            <a:avLst/>
                            <a:gdLst/>
                            <a:ahLst/>
                            <a:cxnLst/>
                            <a:rect l="l" t="t" r="r" b="b"/>
                            <a:pathLst>
                              <a:path w="3352800" h="9525">
                                <a:moveTo>
                                  <a:pt x="3352799" y="9524"/>
                                </a:moveTo>
                                <a:lnTo>
                                  <a:pt x="0" y="9524"/>
                                </a:lnTo>
                                <a:lnTo>
                                  <a:pt x="0" y="0"/>
                                </a:lnTo>
                                <a:lnTo>
                                  <a:pt x="3352799" y="0"/>
                                </a:lnTo>
                                <a:lnTo>
                                  <a:pt x="3352799" y="9524"/>
                                </a:lnTo>
                                <a:close/>
                              </a:path>
                            </a:pathLst>
                          </a:custGeom>
                          <a:solidFill>
                            <a:srgbClr val="1C5349"/>
                          </a:solidFill>
                        </wps:spPr>
                        <wps:bodyPr wrap="square" lIns="0" tIns="0" rIns="0" bIns="0" rtlCol="0">
                          <a:prstTxWarp prst="textNoShape">
                            <a:avLst/>
                          </a:prstTxWarp>
                          <a:noAutofit/>
                        </wps:bodyPr>
                      </wps:wsp>
                      <wps:wsp>
                        <wps:cNvPr id="141" name="Graphic 141"/>
                        <wps:cNvSpPr/>
                        <wps:spPr>
                          <a:xfrm>
                            <a:off x="0" y="0"/>
                            <a:ext cx="2457450" cy="9525"/>
                          </a:xfrm>
                          <a:custGeom>
                            <a:avLst/>
                            <a:gdLst/>
                            <a:ahLst/>
                            <a:cxnLst/>
                            <a:rect l="l" t="t" r="r" b="b"/>
                            <a:pathLst>
                              <a:path w="2457450" h="9525">
                                <a:moveTo>
                                  <a:pt x="2457449" y="9524"/>
                                </a:moveTo>
                                <a:lnTo>
                                  <a:pt x="0" y="9524"/>
                                </a:lnTo>
                                <a:lnTo>
                                  <a:pt x="0" y="0"/>
                                </a:lnTo>
                                <a:lnTo>
                                  <a:pt x="2457449" y="0"/>
                                </a:lnTo>
                                <a:lnTo>
                                  <a:pt x="2457449" y="9524"/>
                                </a:lnTo>
                                <a:close/>
                              </a:path>
                            </a:pathLst>
                          </a:custGeom>
                          <a:solidFill>
                            <a:srgbClr val="4E3D86"/>
                          </a:solidFill>
                        </wps:spPr>
                        <wps:bodyPr wrap="square" lIns="0" tIns="0" rIns="0" bIns="0" rtlCol="0">
                          <a:prstTxWarp prst="textNoShape">
                            <a:avLst/>
                          </a:prstTxWarp>
                          <a:noAutofit/>
                        </wps:bodyPr>
                      </wps:wsp>
                    </wpg:wgp>
                  </a:graphicData>
                </a:graphic>
              </wp:anchor>
            </w:drawing>
          </mc:Choice>
          <mc:Fallback>
            <w:pict>
              <v:group style="position:absolute;margin-left:77.25pt;margin-top:5.112231pt;width:457.5pt;height:.75pt;mso-position-horizontal-relative:page;mso-position-vertical-relative:paragraph;z-index:-15695872;mso-wrap-distance-left:0;mso-wrap-distance-right:0" id="docshapegroup123" coordorigin="1545,102" coordsize="9150,15">
                <v:rect style="position:absolute;left:1545;top:102;width:9150;height:15" id="docshape124" filled="true" fillcolor="#4e3d86" stroked="false">
                  <v:fill type="solid"/>
                </v:rect>
                <v:rect style="position:absolute;left:5415;top:102;width:5280;height:15" id="docshape125" filled="true" fillcolor="#1c5349" stroked="false">
                  <v:fill type="solid"/>
                </v:rect>
                <v:rect style="position:absolute;left:1545;top:102;width:3870;height:15" id="docshape126" filled="true" fillcolor="#4e3d86" stroked="false">
                  <v:fill type="solid"/>
                </v:rect>
                <w10:wrap type="topAndBottom"/>
              </v:group>
            </w:pict>
          </mc:Fallback>
        </mc:AlternateContent>
      </w:r>
    </w:p>
    <w:p>
      <w:pPr>
        <w:pStyle w:val="ListParagraph"/>
        <w:numPr>
          <w:ilvl w:val="0"/>
          <w:numId w:val="7"/>
        </w:numPr>
        <w:tabs>
          <w:tab w:pos="412" w:val="left" w:leader="none"/>
        </w:tabs>
        <w:spacing w:line="240" w:lineRule="auto" w:before="93" w:after="0"/>
        <w:ind w:left="412" w:right="0" w:hanging="248"/>
        <w:jc w:val="left"/>
        <w:rPr>
          <w:b/>
          <w:sz w:val="22"/>
        </w:rPr>
      </w:pPr>
      <w:r>
        <w:rPr>
          <w:b/>
          <w:sz w:val="22"/>
        </w:rPr>
        <w:t>Follow</w:t>
      </w:r>
      <w:r>
        <w:rPr>
          <w:b/>
          <w:spacing w:val="11"/>
          <w:sz w:val="22"/>
        </w:rPr>
        <w:t> </w:t>
      </w:r>
      <w:r>
        <w:rPr>
          <w:b/>
          <w:sz w:val="22"/>
        </w:rPr>
        <w:t>with</w:t>
      </w:r>
      <w:r>
        <w:rPr>
          <w:b/>
          <w:spacing w:val="11"/>
          <w:sz w:val="22"/>
        </w:rPr>
        <w:t> </w:t>
      </w:r>
      <w:r>
        <w:rPr>
          <w:b/>
          <w:sz w:val="22"/>
        </w:rPr>
        <w:t>markers</w:t>
      </w:r>
      <w:r>
        <w:rPr>
          <w:b/>
          <w:spacing w:val="11"/>
          <w:sz w:val="22"/>
        </w:rPr>
        <w:t> </w:t>
      </w:r>
      <w:r>
        <w:rPr>
          <w:b/>
          <w:sz w:val="22"/>
        </w:rPr>
        <w:t>of</w:t>
      </w:r>
      <w:r>
        <w:rPr>
          <w:b/>
          <w:spacing w:val="12"/>
          <w:sz w:val="22"/>
        </w:rPr>
        <w:t> </w:t>
      </w:r>
      <w:r>
        <w:rPr>
          <w:b/>
          <w:sz w:val="22"/>
        </w:rPr>
        <w:t>bone</w:t>
      </w:r>
      <w:r>
        <w:rPr>
          <w:b/>
          <w:spacing w:val="11"/>
          <w:sz w:val="22"/>
        </w:rPr>
        <w:t> </w:t>
      </w:r>
      <w:r>
        <w:rPr>
          <w:b/>
          <w:sz w:val="22"/>
        </w:rPr>
        <w:t>turnover</w:t>
      </w:r>
      <w:r>
        <w:rPr>
          <w:b/>
          <w:spacing w:val="11"/>
          <w:sz w:val="22"/>
        </w:rPr>
        <w:t> </w:t>
      </w:r>
      <w:r>
        <w:rPr>
          <w:b/>
          <w:sz w:val="22"/>
        </w:rPr>
        <w:t>or</w:t>
      </w:r>
      <w:r>
        <w:rPr>
          <w:b/>
          <w:spacing w:val="12"/>
          <w:sz w:val="22"/>
        </w:rPr>
        <w:t> </w:t>
      </w:r>
      <w:r>
        <w:rPr>
          <w:b/>
          <w:sz w:val="22"/>
        </w:rPr>
        <w:t>bone</w:t>
      </w:r>
      <w:r>
        <w:rPr>
          <w:b/>
          <w:spacing w:val="11"/>
          <w:sz w:val="22"/>
        </w:rPr>
        <w:t> </w:t>
      </w:r>
      <w:r>
        <w:rPr>
          <w:b/>
          <w:sz w:val="22"/>
        </w:rPr>
        <w:t>density</w:t>
      </w:r>
      <w:r>
        <w:rPr>
          <w:b/>
          <w:spacing w:val="11"/>
          <w:sz w:val="22"/>
        </w:rPr>
        <w:t> </w:t>
      </w:r>
      <w:r>
        <w:rPr>
          <w:b/>
          <w:spacing w:val="-2"/>
          <w:sz w:val="22"/>
        </w:rPr>
        <w:t>measurements.</w:t>
      </w:r>
    </w:p>
    <w:p>
      <w:pPr>
        <w:pStyle w:val="BodyText"/>
        <w:spacing w:before="10"/>
        <w:ind w:left="0"/>
        <w:jc w:val="left"/>
        <w:rPr>
          <w:b/>
          <w:sz w:val="6"/>
        </w:rPr>
      </w:pPr>
      <w:r>
        <w:rPr>
          <w:b/>
          <w:sz w:val="6"/>
        </w:rPr>
        <mc:AlternateContent>
          <mc:Choice Requires="wps">
            <w:drawing>
              <wp:anchor distT="0" distB="0" distL="0" distR="0" allowOverlap="1" layoutInCell="1" locked="0" behindDoc="1" simplePos="0" relativeHeight="487621120">
                <wp:simplePos x="0" y="0"/>
                <wp:positionH relativeFrom="page">
                  <wp:posOffset>981075</wp:posOffset>
                </wp:positionH>
                <wp:positionV relativeFrom="paragraph">
                  <wp:posOffset>65439</wp:posOffset>
                </wp:positionV>
                <wp:extent cx="5810250" cy="9525"/>
                <wp:effectExtent l="0" t="0" r="0" b="0"/>
                <wp:wrapTopAndBottom/>
                <wp:docPr id="142" name="Graphic 142"/>
                <wp:cNvGraphicFramePr>
                  <a:graphicFrameLocks/>
                </wp:cNvGraphicFramePr>
                <a:graphic>
                  <a:graphicData uri="http://schemas.microsoft.com/office/word/2010/wordprocessingShape">
                    <wps:wsp>
                      <wps:cNvPr id="142" name="Graphic 142"/>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rect style="position:absolute;margin-left:77.25pt;margin-top:5.152732pt;width:457.499964pt;height:.75pt;mso-position-horizontal-relative:page;mso-position-vertical-relative:paragraph;z-index:-15695360;mso-wrap-distance-left:0;mso-wrap-distance-right:0" id="docshape127" filled="true" fillcolor="#1c5349" stroked="false">
                <v:fill type="solid"/>
                <w10:wrap type="topAndBottom"/>
              </v:rect>
            </w:pict>
          </mc:Fallback>
        </mc:AlternateContent>
      </w:r>
    </w:p>
    <w:p>
      <w:pPr>
        <w:spacing w:before="154"/>
        <w:ind w:left="99" w:right="0" w:firstLine="0"/>
        <w:jc w:val="left"/>
        <w:rPr>
          <w:sz w:val="22"/>
        </w:rPr>
      </w:pPr>
      <w:r>
        <w:rPr>
          <w:sz w:val="22"/>
        </w:rPr>
        <w:t>SSRI,</w:t>
      </w:r>
      <w:r>
        <w:rPr>
          <w:spacing w:val="15"/>
          <w:sz w:val="22"/>
        </w:rPr>
        <w:t> </w:t>
      </w:r>
      <w:r>
        <w:rPr>
          <w:sz w:val="22"/>
        </w:rPr>
        <w:t>selective</w:t>
      </w:r>
      <w:r>
        <w:rPr>
          <w:spacing w:val="15"/>
          <w:sz w:val="22"/>
        </w:rPr>
        <w:t> </w:t>
      </w:r>
      <w:r>
        <w:rPr>
          <w:sz w:val="22"/>
        </w:rPr>
        <w:t>serotonin</w:t>
      </w:r>
      <w:r>
        <w:rPr>
          <w:spacing w:val="15"/>
          <w:sz w:val="22"/>
        </w:rPr>
        <w:t> </w:t>
      </w:r>
      <w:r>
        <w:rPr>
          <w:sz w:val="22"/>
        </w:rPr>
        <w:t>reuptake</w:t>
      </w:r>
      <w:r>
        <w:rPr>
          <w:spacing w:val="16"/>
          <w:sz w:val="22"/>
        </w:rPr>
        <w:t> </w:t>
      </w:r>
      <w:r>
        <w:rPr>
          <w:spacing w:val="-2"/>
          <w:sz w:val="22"/>
        </w:rPr>
        <w:t>inhibitor.</w:t>
      </w:r>
    </w:p>
    <w:p>
      <w:pPr>
        <w:pStyle w:val="BodyText"/>
        <w:spacing w:before="0"/>
        <w:ind w:left="0"/>
        <w:jc w:val="left"/>
        <w:rPr>
          <w:sz w:val="20"/>
        </w:rPr>
      </w:pPr>
    </w:p>
    <w:p>
      <w:pPr>
        <w:pStyle w:val="BodyText"/>
        <w:spacing w:before="129"/>
        <w:ind w:left="0"/>
        <w:jc w:val="left"/>
        <w:rPr>
          <w:sz w:val="20"/>
        </w:rPr>
      </w:pPr>
      <w:r>
        <w:rPr>
          <w:sz w:val="20"/>
        </w:rPr>
        <mc:AlternateContent>
          <mc:Choice Requires="wps">
            <w:drawing>
              <wp:anchor distT="0" distB="0" distL="0" distR="0" allowOverlap="1" layoutInCell="1" locked="0" behindDoc="1" simplePos="0" relativeHeight="487621632">
                <wp:simplePos x="0" y="0"/>
                <wp:positionH relativeFrom="page">
                  <wp:posOffset>981075</wp:posOffset>
                </wp:positionH>
                <wp:positionV relativeFrom="paragraph">
                  <wp:posOffset>243254</wp:posOffset>
                </wp:positionV>
                <wp:extent cx="285750" cy="57150"/>
                <wp:effectExtent l="0" t="0" r="0" b="0"/>
                <wp:wrapTopAndBottom/>
                <wp:docPr id="143" name="Graphic 143"/>
                <wp:cNvGraphicFramePr>
                  <a:graphicFrameLocks/>
                </wp:cNvGraphicFramePr>
                <a:graphic>
                  <a:graphicData uri="http://schemas.microsoft.com/office/word/2010/wordprocessingShape">
                    <wps:wsp>
                      <wps:cNvPr id="143" name="Graphic 143"/>
                      <wps:cNvSpPr/>
                      <wps:spPr>
                        <a:xfrm>
                          <a:off x="0" y="0"/>
                          <a:ext cx="285750" cy="57150"/>
                        </a:xfrm>
                        <a:custGeom>
                          <a:avLst/>
                          <a:gdLst/>
                          <a:ahLst/>
                          <a:cxnLst/>
                          <a:rect l="l" t="t" r="r" b="b"/>
                          <a:pathLst>
                            <a:path w="285750" h="57150">
                              <a:moveTo>
                                <a:pt x="32364" y="57111"/>
                              </a:moveTo>
                              <a:lnTo>
                                <a:pt x="24785" y="57111"/>
                              </a:lnTo>
                              <a:lnTo>
                                <a:pt x="21140" y="56368"/>
                              </a:lnTo>
                              <a:lnTo>
                                <a:pt x="0" y="32337"/>
                              </a:lnTo>
                              <a:lnTo>
                                <a:pt x="0" y="24745"/>
                              </a:lnTo>
                              <a:lnTo>
                                <a:pt x="725" y="21059"/>
                              </a:lnTo>
                              <a:lnTo>
                                <a:pt x="3625" y="14068"/>
                              </a:lnTo>
                              <a:lnTo>
                                <a:pt x="5689" y="10972"/>
                              </a:lnTo>
                              <a:lnTo>
                                <a:pt x="8369" y="8296"/>
                              </a:lnTo>
                              <a:lnTo>
                                <a:pt x="11048" y="5581"/>
                              </a:lnTo>
                              <a:lnTo>
                                <a:pt x="14138" y="3533"/>
                              </a:lnTo>
                              <a:lnTo>
                                <a:pt x="21140" y="704"/>
                              </a:lnTo>
                              <a:lnTo>
                                <a:pt x="24785" y="0"/>
                              </a:lnTo>
                              <a:lnTo>
                                <a:pt x="32364" y="0"/>
                              </a:lnTo>
                              <a:lnTo>
                                <a:pt x="36009" y="704"/>
                              </a:lnTo>
                              <a:lnTo>
                                <a:pt x="43010" y="3533"/>
                              </a:lnTo>
                              <a:lnTo>
                                <a:pt x="46101" y="5581"/>
                              </a:lnTo>
                              <a:lnTo>
                                <a:pt x="48780" y="8296"/>
                              </a:lnTo>
                              <a:lnTo>
                                <a:pt x="51459" y="10972"/>
                              </a:lnTo>
                              <a:lnTo>
                                <a:pt x="53524" y="14068"/>
                              </a:lnTo>
                              <a:lnTo>
                                <a:pt x="56424" y="21059"/>
                              </a:lnTo>
                              <a:lnTo>
                                <a:pt x="57149" y="24745"/>
                              </a:lnTo>
                              <a:lnTo>
                                <a:pt x="57149" y="32337"/>
                              </a:lnTo>
                              <a:lnTo>
                                <a:pt x="36009" y="56368"/>
                              </a:lnTo>
                              <a:lnTo>
                                <a:pt x="32364" y="57111"/>
                              </a:lnTo>
                              <a:close/>
                            </a:path>
                            <a:path w="285750" h="57150">
                              <a:moveTo>
                                <a:pt x="146569" y="57111"/>
                              </a:moveTo>
                              <a:lnTo>
                                <a:pt x="138990" y="57111"/>
                              </a:lnTo>
                              <a:lnTo>
                                <a:pt x="135345" y="56368"/>
                              </a:lnTo>
                              <a:lnTo>
                                <a:pt x="114204" y="32337"/>
                              </a:lnTo>
                              <a:lnTo>
                                <a:pt x="114204" y="24745"/>
                              </a:lnTo>
                              <a:lnTo>
                                <a:pt x="114929" y="21059"/>
                              </a:lnTo>
                              <a:lnTo>
                                <a:pt x="117829" y="14068"/>
                              </a:lnTo>
                              <a:lnTo>
                                <a:pt x="119894" y="10972"/>
                              </a:lnTo>
                              <a:lnTo>
                                <a:pt x="122574" y="8296"/>
                              </a:lnTo>
                              <a:lnTo>
                                <a:pt x="125253" y="5581"/>
                              </a:lnTo>
                              <a:lnTo>
                                <a:pt x="128343" y="3533"/>
                              </a:lnTo>
                              <a:lnTo>
                                <a:pt x="135345" y="704"/>
                              </a:lnTo>
                              <a:lnTo>
                                <a:pt x="138990" y="0"/>
                              </a:lnTo>
                              <a:lnTo>
                                <a:pt x="146569" y="0"/>
                              </a:lnTo>
                              <a:lnTo>
                                <a:pt x="150214" y="704"/>
                              </a:lnTo>
                              <a:lnTo>
                                <a:pt x="157215" y="3533"/>
                              </a:lnTo>
                              <a:lnTo>
                                <a:pt x="160305" y="5581"/>
                              </a:lnTo>
                              <a:lnTo>
                                <a:pt x="162985" y="8296"/>
                              </a:lnTo>
                              <a:lnTo>
                                <a:pt x="165664" y="10972"/>
                              </a:lnTo>
                              <a:lnTo>
                                <a:pt x="167729" y="14068"/>
                              </a:lnTo>
                              <a:lnTo>
                                <a:pt x="170629" y="21059"/>
                              </a:lnTo>
                              <a:lnTo>
                                <a:pt x="171354" y="24745"/>
                              </a:lnTo>
                              <a:lnTo>
                                <a:pt x="171354" y="32337"/>
                              </a:lnTo>
                              <a:lnTo>
                                <a:pt x="150214" y="56368"/>
                              </a:lnTo>
                              <a:lnTo>
                                <a:pt x="146569" y="57111"/>
                              </a:lnTo>
                              <a:close/>
                            </a:path>
                            <a:path w="285750" h="57150">
                              <a:moveTo>
                                <a:pt x="260773" y="57111"/>
                              </a:moveTo>
                              <a:lnTo>
                                <a:pt x="253195" y="57111"/>
                              </a:lnTo>
                              <a:lnTo>
                                <a:pt x="249550" y="56368"/>
                              </a:lnTo>
                              <a:lnTo>
                                <a:pt x="228409" y="32337"/>
                              </a:lnTo>
                              <a:lnTo>
                                <a:pt x="228409" y="24745"/>
                              </a:lnTo>
                              <a:lnTo>
                                <a:pt x="229134" y="21059"/>
                              </a:lnTo>
                              <a:lnTo>
                                <a:pt x="232034" y="14068"/>
                              </a:lnTo>
                              <a:lnTo>
                                <a:pt x="234099" y="10972"/>
                              </a:lnTo>
                              <a:lnTo>
                                <a:pt x="236778" y="8296"/>
                              </a:lnTo>
                              <a:lnTo>
                                <a:pt x="239458" y="5581"/>
                              </a:lnTo>
                              <a:lnTo>
                                <a:pt x="242548" y="3533"/>
                              </a:lnTo>
                              <a:lnTo>
                                <a:pt x="249550" y="704"/>
                              </a:lnTo>
                              <a:lnTo>
                                <a:pt x="253195" y="0"/>
                              </a:lnTo>
                              <a:lnTo>
                                <a:pt x="260773" y="0"/>
                              </a:lnTo>
                              <a:lnTo>
                                <a:pt x="264418" y="704"/>
                              </a:lnTo>
                              <a:lnTo>
                                <a:pt x="271420" y="3533"/>
                              </a:lnTo>
                              <a:lnTo>
                                <a:pt x="274510" y="5581"/>
                              </a:lnTo>
                              <a:lnTo>
                                <a:pt x="277190" y="8296"/>
                              </a:lnTo>
                              <a:lnTo>
                                <a:pt x="279869" y="10972"/>
                              </a:lnTo>
                              <a:lnTo>
                                <a:pt x="281934" y="14068"/>
                              </a:lnTo>
                              <a:lnTo>
                                <a:pt x="284834" y="21059"/>
                              </a:lnTo>
                              <a:lnTo>
                                <a:pt x="285559" y="24745"/>
                              </a:lnTo>
                              <a:lnTo>
                                <a:pt x="285559" y="32337"/>
                              </a:lnTo>
                              <a:lnTo>
                                <a:pt x="264418" y="56368"/>
                              </a:lnTo>
                              <a:lnTo>
                                <a:pt x="260773" y="57111"/>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19.153860pt;width:22.5pt;height:4.5pt;mso-position-horizontal-relative:page;mso-position-vertical-relative:paragraph;z-index:-15694848;mso-wrap-distance-left:0;mso-wrap-distance-right:0" id="docshape128" coordorigin="1545,383" coordsize="450,90" path="m1596,473l1584,473,1578,472,1567,467,1562,464,1558,460,1554,456,1551,451,1546,440,1545,434,1545,422,1546,416,1551,405,1554,400,1558,396,1562,392,1567,389,1578,384,1584,383,1596,383,1602,384,1613,389,1618,392,1622,396,1626,400,1629,405,1634,416,1635,422,1635,434,1634,440,1629,451,1626,456,1622,460,1618,464,1613,467,1602,472,1596,473xm1776,473l1764,473,1758,472,1747,467,1742,464,1738,460,1734,456,1731,451,1726,440,1725,434,1725,422,1726,416,1731,405,1734,400,1738,396,1742,392,1747,389,1758,384,1764,383,1776,383,1782,384,1793,389,1797,392,1802,396,1806,400,1809,405,1814,416,1815,422,1815,434,1814,440,1809,451,1806,456,1802,460,1797,464,1793,467,1782,472,1776,473xm1956,473l1944,473,1938,472,1927,467,1922,464,1918,460,1914,456,1910,451,1906,440,1905,434,1905,422,1906,416,1910,405,1914,400,1918,396,1922,392,1927,389,1938,384,1944,383,1956,383,1961,384,1972,389,1977,392,1982,396,1986,400,1989,405,1994,416,1995,422,1995,434,1994,440,1989,451,1986,456,1982,460,1977,464,1972,467,1961,472,1956,473xe" filled="true" fillcolor="#bdb4d4" stroked="false">
                <v:path arrowok="t"/>
                <v:fill type="solid"/>
                <w10:wrap type="topAndBottom"/>
              </v:shape>
            </w:pict>
          </mc:Fallback>
        </mc:AlternateContent>
      </w:r>
    </w:p>
    <w:p>
      <w:pPr>
        <w:spacing w:before="93"/>
        <w:ind w:left="99" w:right="0" w:firstLine="0"/>
        <w:jc w:val="left"/>
        <w:rPr>
          <w:rFonts w:ascii="Arial"/>
          <w:b/>
          <w:sz w:val="30"/>
        </w:rPr>
      </w:pPr>
      <w:r>
        <w:rPr>
          <w:rFonts w:ascii="Arial"/>
          <w:b/>
          <w:color w:val="534089"/>
          <w:spacing w:val="-2"/>
          <w:sz w:val="30"/>
        </w:rPr>
        <w:t>CONCLUSION</w:t>
      </w:r>
    </w:p>
    <w:p>
      <w:pPr>
        <w:pStyle w:val="BodyText"/>
        <w:spacing w:before="2"/>
        <w:ind w:left="0"/>
        <w:jc w:val="left"/>
        <w:rPr>
          <w:rFonts w:ascii="Arial"/>
          <w:b/>
          <w:sz w:val="4"/>
        </w:rPr>
      </w:pPr>
      <w:r>
        <w:rPr>
          <w:rFonts w:ascii="Arial"/>
          <w:b/>
          <w:sz w:val="4"/>
        </w:rPr>
        <mc:AlternateContent>
          <mc:Choice Requires="wps">
            <w:drawing>
              <wp:anchor distT="0" distB="0" distL="0" distR="0" allowOverlap="1" layoutInCell="1" locked="0" behindDoc="1" simplePos="0" relativeHeight="487622144">
                <wp:simplePos x="0" y="0"/>
                <wp:positionH relativeFrom="page">
                  <wp:posOffset>981075</wp:posOffset>
                </wp:positionH>
                <wp:positionV relativeFrom="paragraph">
                  <wp:posOffset>45753</wp:posOffset>
                </wp:positionV>
                <wp:extent cx="5810250" cy="19050"/>
                <wp:effectExtent l="0" t="0" r="0" b="0"/>
                <wp:wrapTopAndBottom/>
                <wp:docPr id="144" name="Graphic 144"/>
                <wp:cNvGraphicFramePr>
                  <a:graphicFrameLocks/>
                </wp:cNvGraphicFramePr>
                <a:graphic>
                  <a:graphicData uri="http://schemas.microsoft.com/office/word/2010/wordprocessingShape">
                    <wps:wsp>
                      <wps:cNvPr id="144" name="Graphic 144"/>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a:graphicData>
                </a:graphic>
              </wp:anchor>
            </w:drawing>
          </mc:Choice>
          <mc:Fallback>
            <w:pict>
              <v:rect style="position:absolute;margin-left:77.25pt;margin-top:3.602649pt;width:457.499964pt;height:1.5pt;mso-position-horizontal-relative:page;mso-position-vertical-relative:paragraph;z-index:-15694336;mso-wrap-distance-left:0;mso-wrap-distance-right:0" id="docshape129" filled="true" fillcolor="#534089" stroked="false">
                <v:fill type="solid"/>
                <w10:wrap type="topAndBottom"/>
              </v:rect>
            </w:pict>
          </mc:Fallback>
        </mc:AlternateContent>
      </w:r>
    </w:p>
    <w:p>
      <w:pPr>
        <w:pStyle w:val="BodyText"/>
        <w:spacing w:line="249" w:lineRule="auto" w:before="215"/>
        <w:ind w:right="97"/>
      </w:pPr>
      <w:r>
        <w:rPr/>
        <w:t>Osteoporosis, especially in the postmenopausal setting, poses unique clinical and health maintenance challenges. The diminishing of BMD leading to a fracture can have profound effects not only on quality of life</w:t>
      </w:r>
      <w:r>
        <w:rPr>
          <w:spacing w:val="40"/>
        </w:rPr>
        <w:t> </w:t>
      </w:r>
      <w:r>
        <w:rPr/>
        <w:t>but also on a woman’s risk of death. Hence diligent screening </w:t>
      </w:r>
      <w:r>
        <w:rPr/>
        <w:t>and</w:t>
      </w:r>
      <w:r>
        <w:rPr>
          <w:spacing w:val="40"/>
        </w:rPr>
        <w:t> </w:t>
      </w:r>
      <w:r>
        <w:rPr/>
        <w:t>consistent calcium and vitamin supplementation are crucial in sustaining or, at</w:t>
      </w:r>
      <w:r>
        <w:rPr>
          <w:spacing w:val="-2"/>
        </w:rPr>
        <w:t> </w:t>
      </w:r>
      <w:r>
        <w:rPr/>
        <w:t>least,</w:t>
      </w:r>
      <w:r>
        <w:rPr>
          <w:spacing w:val="-2"/>
        </w:rPr>
        <w:t> </w:t>
      </w:r>
      <w:r>
        <w:rPr/>
        <w:t>minimizing</w:t>
      </w:r>
      <w:r>
        <w:rPr>
          <w:spacing w:val="-2"/>
        </w:rPr>
        <w:t> </w:t>
      </w:r>
      <w:r>
        <w:rPr/>
        <w:t>deficits</w:t>
      </w:r>
      <w:r>
        <w:rPr>
          <w:spacing w:val="-2"/>
        </w:rPr>
        <w:t> </w:t>
      </w:r>
      <w:r>
        <w:rPr/>
        <w:t>in</w:t>
      </w:r>
      <w:r>
        <w:rPr>
          <w:spacing w:val="-2"/>
        </w:rPr>
        <w:t> </w:t>
      </w:r>
      <w:r>
        <w:rPr/>
        <w:t>BMD.</w:t>
      </w:r>
      <w:r>
        <w:rPr>
          <w:spacing w:val="-3"/>
        </w:rPr>
        <w:t> </w:t>
      </w:r>
      <w:r>
        <w:rPr/>
        <w:t>When this prevention is not enough to diminish bone deterioration, then there is a broad arsenal of antiresorptive and</w:t>
      </w:r>
      <w:r>
        <w:rPr>
          <w:spacing w:val="-2"/>
        </w:rPr>
        <w:t> </w:t>
      </w:r>
      <w:r>
        <w:rPr/>
        <w:t>anabolic</w:t>
      </w:r>
      <w:r>
        <w:rPr>
          <w:spacing w:val="-2"/>
        </w:rPr>
        <w:t> </w:t>
      </w:r>
      <w:r>
        <w:rPr/>
        <w:t>medications</w:t>
      </w:r>
      <w:r>
        <w:rPr>
          <w:spacing w:val="-2"/>
        </w:rPr>
        <w:t> </w:t>
      </w:r>
      <w:r>
        <w:rPr/>
        <w:t>available</w:t>
      </w:r>
      <w:r>
        <w:rPr>
          <w:spacing w:val="-2"/>
        </w:rPr>
        <w:t> </w:t>
      </w:r>
      <w:r>
        <w:rPr/>
        <w:t>to</w:t>
      </w:r>
      <w:r>
        <w:rPr>
          <w:spacing w:val="-2"/>
        </w:rPr>
        <w:t> </w:t>
      </w:r>
      <w:r>
        <w:rPr/>
        <w:t>either</w:t>
      </w:r>
      <w:r>
        <w:rPr>
          <w:spacing w:val="-2"/>
        </w:rPr>
        <w:t> </w:t>
      </w:r>
      <w:r>
        <w:rPr/>
        <w:t>pause</w:t>
      </w:r>
      <w:r>
        <w:rPr>
          <w:spacing w:val="-2"/>
        </w:rPr>
        <w:t> </w:t>
      </w:r>
      <w:r>
        <w:rPr/>
        <w:t>bone</w:t>
      </w:r>
      <w:r>
        <w:rPr>
          <w:spacing w:val="-2"/>
        </w:rPr>
        <w:t> </w:t>
      </w:r>
      <w:r>
        <w:rPr/>
        <w:t>density</w:t>
      </w:r>
      <w:r>
        <w:rPr>
          <w:spacing w:val="-2"/>
        </w:rPr>
        <w:t> </w:t>
      </w:r>
      <w:r>
        <w:rPr/>
        <w:t>loss</w:t>
      </w:r>
      <w:r>
        <w:rPr>
          <w:spacing w:val="-2"/>
        </w:rPr>
        <w:t> </w:t>
      </w:r>
      <w:r>
        <w:rPr/>
        <w:t>or</w:t>
      </w:r>
      <w:r>
        <w:rPr>
          <w:spacing w:val="-2"/>
        </w:rPr>
        <w:t> </w:t>
      </w:r>
      <w:r>
        <w:rPr/>
        <w:t>even reverse it. By adequately preventing, detecting, and treating osteoporosis, a patient’s well-being can be maintained and even improved long after the menopausal transition and sustained well into decades postmenopause.</w:t>
      </w:r>
    </w:p>
    <w:p>
      <w:pPr>
        <w:pStyle w:val="BodyText"/>
        <w:spacing w:before="0"/>
        <w:ind w:left="0"/>
        <w:jc w:val="left"/>
        <w:rPr>
          <w:sz w:val="20"/>
        </w:rPr>
      </w:pPr>
    </w:p>
    <w:p>
      <w:pPr>
        <w:pStyle w:val="BodyText"/>
        <w:spacing w:before="124"/>
        <w:ind w:left="0"/>
        <w:jc w:val="left"/>
        <w:rPr>
          <w:sz w:val="20"/>
        </w:rPr>
      </w:pPr>
      <w:r>
        <w:rPr>
          <w:sz w:val="20"/>
        </w:rPr>
        <mc:AlternateContent>
          <mc:Choice Requires="wps">
            <w:drawing>
              <wp:anchor distT="0" distB="0" distL="0" distR="0" allowOverlap="1" layoutInCell="1" locked="0" behindDoc="1" simplePos="0" relativeHeight="487622656">
                <wp:simplePos x="0" y="0"/>
                <wp:positionH relativeFrom="page">
                  <wp:posOffset>981075</wp:posOffset>
                </wp:positionH>
                <wp:positionV relativeFrom="paragraph">
                  <wp:posOffset>240405</wp:posOffset>
                </wp:positionV>
                <wp:extent cx="285750" cy="57150"/>
                <wp:effectExtent l="0" t="0" r="0" b="0"/>
                <wp:wrapTopAndBottom/>
                <wp:docPr id="145" name="Graphic 145"/>
                <wp:cNvGraphicFramePr>
                  <a:graphicFrameLocks/>
                </wp:cNvGraphicFramePr>
                <a:graphic>
                  <a:graphicData uri="http://schemas.microsoft.com/office/word/2010/wordprocessingShape">
                    <wps:wsp>
                      <wps:cNvPr id="145" name="Graphic 145"/>
                      <wps:cNvSpPr/>
                      <wps:spPr>
                        <a:xfrm>
                          <a:off x="0" y="0"/>
                          <a:ext cx="285750" cy="57150"/>
                        </a:xfrm>
                        <a:custGeom>
                          <a:avLst/>
                          <a:gdLst/>
                          <a:ahLst/>
                          <a:cxnLst/>
                          <a:rect l="l" t="t" r="r" b="b"/>
                          <a:pathLst>
                            <a:path w="285750" h="57150">
                              <a:moveTo>
                                <a:pt x="32364" y="57111"/>
                              </a:moveTo>
                              <a:lnTo>
                                <a:pt x="24785" y="57111"/>
                              </a:lnTo>
                              <a:lnTo>
                                <a:pt x="21140" y="56368"/>
                              </a:lnTo>
                              <a:lnTo>
                                <a:pt x="0" y="32337"/>
                              </a:lnTo>
                              <a:lnTo>
                                <a:pt x="0" y="24745"/>
                              </a:lnTo>
                              <a:lnTo>
                                <a:pt x="725" y="21059"/>
                              </a:lnTo>
                              <a:lnTo>
                                <a:pt x="3625" y="14030"/>
                              </a:lnTo>
                              <a:lnTo>
                                <a:pt x="5689" y="10972"/>
                              </a:lnTo>
                              <a:lnTo>
                                <a:pt x="8369" y="8334"/>
                              </a:lnTo>
                              <a:lnTo>
                                <a:pt x="11048" y="5619"/>
                              </a:lnTo>
                              <a:lnTo>
                                <a:pt x="14138" y="3571"/>
                              </a:lnTo>
                              <a:lnTo>
                                <a:pt x="21140" y="704"/>
                              </a:lnTo>
                              <a:lnTo>
                                <a:pt x="24785" y="0"/>
                              </a:lnTo>
                              <a:lnTo>
                                <a:pt x="32364" y="0"/>
                              </a:lnTo>
                              <a:lnTo>
                                <a:pt x="36009" y="704"/>
                              </a:lnTo>
                              <a:lnTo>
                                <a:pt x="43010" y="3571"/>
                              </a:lnTo>
                              <a:lnTo>
                                <a:pt x="46101" y="5619"/>
                              </a:lnTo>
                              <a:lnTo>
                                <a:pt x="48780" y="8334"/>
                              </a:lnTo>
                              <a:lnTo>
                                <a:pt x="51459" y="10972"/>
                              </a:lnTo>
                              <a:lnTo>
                                <a:pt x="53524" y="14030"/>
                              </a:lnTo>
                              <a:lnTo>
                                <a:pt x="56424" y="21059"/>
                              </a:lnTo>
                              <a:lnTo>
                                <a:pt x="57149" y="24745"/>
                              </a:lnTo>
                              <a:lnTo>
                                <a:pt x="57149" y="32337"/>
                              </a:lnTo>
                              <a:lnTo>
                                <a:pt x="36009" y="56368"/>
                              </a:lnTo>
                              <a:lnTo>
                                <a:pt x="32364" y="57111"/>
                              </a:lnTo>
                              <a:close/>
                            </a:path>
                            <a:path w="285750" h="57150">
                              <a:moveTo>
                                <a:pt x="146569" y="57111"/>
                              </a:moveTo>
                              <a:lnTo>
                                <a:pt x="138990" y="57111"/>
                              </a:lnTo>
                              <a:lnTo>
                                <a:pt x="135345" y="56368"/>
                              </a:lnTo>
                              <a:lnTo>
                                <a:pt x="114204" y="32337"/>
                              </a:lnTo>
                              <a:lnTo>
                                <a:pt x="114204" y="24745"/>
                              </a:lnTo>
                              <a:lnTo>
                                <a:pt x="114929" y="21059"/>
                              </a:lnTo>
                              <a:lnTo>
                                <a:pt x="117829" y="14030"/>
                              </a:lnTo>
                              <a:lnTo>
                                <a:pt x="119894" y="10972"/>
                              </a:lnTo>
                              <a:lnTo>
                                <a:pt x="122574" y="8334"/>
                              </a:lnTo>
                              <a:lnTo>
                                <a:pt x="125253" y="5619"/>
                              </a:lnTo>
                              <a:lnTo>
                                <a:pt x="128343" y="3571"/>
                              </a:lnTo>
                              <a:lnTo>
                                <a:pt x="135345" y="704"/>
                              </a:lnTo>
                              <a:lnTo>
                                <a:pt x="138990" y="0"/>
                              </a:lnTo>
                              <a:lnTo>
                                <a:pt x="146569" y="0"/>
                              </a:lnTo>
                              <a:lnTo>
                                <a:pt x="150214" y="704"/>
                              </a:lnTo>
                              <a:lnTo>
                                <a:pt x="157215" y="3571"/>
                              </a:lnTo>
                              <a:lnTo>
                                <a:pt x="160305" y="5619"/>
                              </a:lnTo>
                              <a:lnTo>
                                <a:pt x="162985" y="8334"/>
                              </a:lnTo>
                              <a:lnTo>
                                <a:pt x="165664" y="10972"/>
                              </a:lnTo>
                              <a:lnTo>
                                <a:pt x="167729" y="14030"/>
                              </a:lnTo>
                              <a:lnTo>
                                <a:pt x="170629" y="21059"/>
                              </a:lnTo>
                              <a:lnTo>
                                <a:pt x="171354" y="24745"/>
                              </a:lnTo>
                              <a:lnTo>
                                <a:pt x="171354" y="32337"/>
                              </a:lnTo>
                              <a:lnTo>
                                <a:pt x="150214" y="56368"/>
                              </a:lnTo>
                              <a:lnTo>
                                <a:pt x="146569" y="57111"/>
                              </a:lnTo>
                              <a:close/>
                            </a:path>
                            <a:path w="285750" h="57150">
                              <a:moveTo>
                                <a:pt x="260773" y="57111"/>
                              </a:moveTo>
                              <a:lnTo>
                                <a:pt x="253195" y="57111"/>
                              </a:lnTo>
                              <a:lnTo>
                                <a:pt x="249550" y="56368"/>
                              </a:lnTo>
                              <a:lnTo>
                                <a:pt x="228409" y="32337"/>
                              </a:lnTo>
                              <a:lnTo>
                                <a:pt x="228409" y="24745"/>
                              </a:lnTo>
                              <a:lnTo>
                                <a:pt x="229134" y="21059"/>
                              </a:lnTo>
                              <a:lnTo>
                                <a:pt x="232034" y="14030"/>
                              </a:lnTo>
                              <a:lnTo>
                                <a:pt x="234099" y="10972"/>
                              </a:lnTo>
                              <a:lnTo>
                                <a:pt x="236778" y="8334"/>
                              </a:lnTo>
                              <a:lnTo>
                                <a:pt x="239458" y="5619"/>
                              </a:lnTo>
                              <a:lnTo>
                                <a:pt x="242548" y="3571"/>
                              </a:lnTo>
                              <a:lnTo>
                                <a:pt x="249550" y="704"/>
                              </a:lnTo>
                              <a:lnTo>
                                <a:pt x="253195" y="0"/>
                              </a:lnTo>
                              <a:lnTo>
                                <a:pt x="260773" y="0"/>
                              </a:lnTo>
                              <a:lnTo>
                                <a:pt x="264418" y="704"/>
                              </a:lnTo>
                              <a:lnTo>
                                <a:pt x="271420" y="3571"/>
                              </a:lnTo>
                              <a:lnTo>
                                <a:pt x="274510" y="5619"/>
                              </a:lnTo>
                              <a:lnTo>
                                <a:pt x="277190" y="8334"/>
                              </a:lnTo>
                              <a:lnTo>
                                <a:pt x="279869" y="10972"/>
                              </a:lnTo>
                              <a:lnTo>
                                <a:pt x="281934" y="14030"/>
                              </a:lnTo>
                              <a:lnTo>
                                <a:pt x="284834" y="21059"/>
                              </a:lnTo>
                              <a:lnTo>
                                <a:pt x="285559" y="24745"/>
                              </a:lnTo>
                              <a:lnTo>
                                <a:pt x="285559" y="32337"/>
                              </a:lnTo>
                              <a:lnTo>
                                <a:pt x="264418" y="56368"/>
                              </a:lnTo>
                              <a:lnTo>
                                <a:pt x="260773" y="57111"/>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18.929539pt;width:22.5pt;height:4.5pt;mso-position-horizontal-relative:page;mso-position-vertical-relative:paragraph;z-index:-15693824;mso-wrap-distance-left:0;mso-wrap-distance-right:0" id="docshape130" coordorigin="1545,379" coordsize="450,90" path="m1596,469l1584,469,1578,467,1567,463,1562,460,1558,455,1554,451,1551,446,1546,435,1545,430,1545,418,1546,412,1551,401,1554,396,1558,392,1562,387,1567,384,1578,380,1584,379,1596,379,1602,380,1613,384,1618,387,1622,392,1626,396,1629,401,1634,412,1635,418,1635,430,1634,435,1629,446,1626,451,1622,455,1618,460,1613,463,1602,467,1596,469xm1776,469l1764,469,1758,467,1747,463,1742,460,1738,455,1734,451,1731,446,1726,435,1725,430,1725,418,1726,412,1731,401,1734,396,1738,392,1742,387,1747,384,1758,380,1764,379,1776,379,1782,380,1793,384,1797,387,1802,392,1806,396,1809,401,1814,412,1815,418,1815,430,1814,435,1809,446,1806,451,1802,455,1797,460,1793,463,1782,467,1776,469xm1956,469l1944,469,1938,467,1927,463,1922,460,1918,455,1914,451,1910,446,1906,435,1905,430,1905,418,1906,412,1910,401,1914,396,1918,392,1922,387,1927,384,1938,380,1944,379,1956,379,1961,380,1972,384,1977,387,1982,392,1986,396,1989,401,1994,412,1995,418,1995,430,1994,435,1989,446,1986,451,1982,455,1977,460,1972,463,1961,467,1956,469xe" filled="true" fillcolor="#bdb4d4" stroked="false">
                <v:path arrowok="t"/>
                <v:fill type="solid"/>
                <w10:wrap type="topAndBottom"/>
              </v:shape>
            </w:pict>
          </mc:Fallback>
        </mc:AlternateContent>
      </w:r>
    </w:p>
    <w:p>
      <w:pPr>
        <w:pStyle w:val="Heading1"/>
      </w:pPr>
      <w:r>
        <w:rPr>
          <w:color w:val="534089"/>
          <w:spacing w:val="-2"/>
        </w:rPr>
        <w:t>REFERENCES</w:t>
      </w:r>
    </w:p>
    <w:p>
      <w:pPr>
        <w:pStyle w:val="BodyText"/>
        <w:spacing w:before="5"/>
        <w:ind w:left="0"/>
        <w:jc w:val="left"/>
        <w:rPr>
          <w:rFonts w:ascii="Arial"/>
          <w:b/>
          <w:sz w:val="11"/>
        </w:rPr>
      </w:pPr>
      <w:r>
        <w:rPr>
          <w:rFonts w:ascii="Arial"/>
          <w:b/>
          <w:sz w:val="11"/>
        </w:rPr>
        <mc:AlternateContent>
          <mc:Choice Requires="wps">
            <w:drawing>
              <wp:anchor distT="0" distB="0" distL="0" distR="0" allowOverlap="1" layoutInCell="1" locked="0" behindDoc="1" simplePos="0" relativeHeight="487623168">
                <wp:simplePos x="0" y="0"/>
                <wp:positionH relativeFrom="page">
                  <wp:posOffset>981075</wp:posOffset>
                </wp:positionH>
                <wp:positionV relativeFrom="paragraph">
                  <wp:posOffset>98777</wp:posOffset>
                </wp:positionV>
                <wp:extent cx="5810250" cy="19050"/>
                <wp:effectExtent l="0" t="0" r="0" b="0"/>
                <wp:wrapTopAndBottom/>
                <wp:docPr id="146" name="Graphic 146"/>
                <wp:cNvGraphicFramePr>
                  <a:graphicFrameLocks/>
                </wp:cNvGraphicFramePr>
                <a:graphic>
                  <a:graphicData uri="http://schemas.microsoft.com/office/word/2010/wordprocessingShape">
                    <wps:wsp>
                      <wps:cNvPr id="146" name="Graphic 146"/>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a:graphicData>
                </a:graphic>
              </wp:anchor>
            </w:drawing>
          </mc:Choice>
          <mc:Fallback>
            <w:pict>
              <v:rect style="position:absolute;margin-left:77.25pt;margin-top:7.777784pt;width:457.499964pt;height:1.5pt;mso-position-horizontal-relative:page;mso-position-vertical-relative:paragraph;z-index:-15693312;mso-wrap-distance-left:0;mso-wrap-distance-right:0" id="docshape131" filled="true" fillcolor="#534089" stroked="false">
                <v:fill type="solid"/>
                <w10:wrap type="topAndBottom"/>
              </v:rect>
            </w:pict>
          </mc:Fallback>
        </mc:AlternateContent>
      </w:r>
    </w:p>
    <w:p>
      <w:pPr>
        <w:pStyle w:val="ListParagraph"/>
        <w:numPr>
          <w:ilvl w:val="0"/>
          <w:numId w:val="8"/>
        </w:numPr>
        <w:tabs>
          <w:tab w:pos="698" w:val="left" w:leader="none"/>
          <w:tab w:pos="718" w:val="left" w:leader="none"/>
        </w:tabs>
        <w:spacing w:line="256" w:lineRule="auto" w:before="184" w:after="0"/>
        <w:ind w:left="718" w:right="97" w:hanging="293"/>
        <w:jc w:val="left"/>
        <w:rPr>
          <w:sz w:val="22"/>
        </w:rPr>
      </w:pPr>
      <w:r>
        <w:rPr>
          <w:sz w:val="22"/>
        </w:rPr>
        <w:t>Clynes MA, Harvey NC, Curtis EM, Fuggle NR, Dennison EM, Cooper C. The</w:t>
      </w:r>
      <w:r>
        <w:rPr>
          <w:spacing w:val="28"/>
          <w:sz w:val="22"/>
        </w:rPr>
        <w:t> </w:t>
      </w:r>
      <w:r>
        <w:rPr>
          <w:sz w:val="22"/>
        </w:rPr>
        <w:t>epidemiology</w:t>
      </w:r>
      <w:r>
        <w:rPr>
          <w:spacing w:val="80"/>
          <w:sz w:val="22"/>
        </w:rPr>
        <w:t> </w:t>
      </w:r>
      <w:r>
        <w:rPr>
          <w:sz w:val="22"/>
        </w:rPr>
        <w:t>of osteoporosis. </w:t>
      </w:r>
      <w:r>
        <w:rPr>
          <w:i/>
          <w:sz w:val="22"/>
        </w:rPr>
        <w:t>Br Med Bull</w:t>
      </w:r>
      <w:r>
        <w:rPr>
          <w:sz w:val="22"/>
        </w:rPr>
        <w:t>. 2020;133(1):105-117.</w:t>
      </w:r>
    </w:p>
    <w:p>
      <w:pPr>
        <w:pStyle w:val="ListParagraph"/>
        <w:numPr>
          <w:ilvl w:val="0"/>
          <w:numId w:val="8"/>
        </w:numPr>
        <w:tabs>
          <w:tab w:pos="698" w:val="left" w:leader="none"/>
          <w:tab w:pos="718" w:val="left" w:leader="none"/>
        </w:tabs>
        <w:spacing w:line="256" w:lineRule="auto" w:before="0" w:after="0"/>
        <w:ind w:left="718" w:right="99" w:hanging="293"/>
        <w:jc w:val="left"/>
        <w:rPr>
          <w:sz w:val="22"/>
        </w:rPr>
      </w:pPr>
      <w:r>
        <w:rPr>
          <w:sz w:val="22"/>
        </w:rPr>
        <w:t>Lees</w:t>
      </w:r>
      <w:r>
        <w:rPr>
          <w:spacing w:val="37"/>
          <w:sz w:val="22"/>
        </w:rPr>
        <w:t> </w:t>
      </w:r>
      <w:r>
        <w:rPr>
          <w:sz w:val="22"/>
        </w:rPr>
        <w:t>B,</w:t>
      </w:r>
      <w:r>
        <w:rPr>
          <w:spacing w:val="37"/>
          <w:sz w:val="22"/>
        </w:rPr>
        <w:t> </w:t>
      </w:r>
      <w:r>
        <w:rPr>
          <w:sz w:val="22"/>
        </w:rPr>
        <w:t>Molleson</w:t>
      </w:r>
      <w:r>
        <w:rPr>
          <w:spacing w:val="37"/>
          <w:sz w:val="22"/>
        </w:rPr>
        <w:t> </w:t>
      </w:r>
      <w:r>
        <w:rPr>
          <w:sz w:val="22"/>
        </w:rPr>
        <w:t>T,</w:t>
      </w:r>
      <w:r>
        <w:rPr>
          <w:spacing w:val="37"/>
          <w:sz w:val="22"/>
        </w:rPr>
        <w:t> </w:t>
      </w:r>
      <w:r>
        <w:rPr>
          <w:sz w:val="22"/>
        </w:rPr>
        <w:t>Arnett</w:t>
      </w:r>
      <w:r>
        <w:rPr>
          <w:spacing w:val="37"/>
          <w:sz w:val="22"/>
        </w:rPr>
        <w:t> </w:t>
      </w:r>
      <w:r>
        <w:rPr>
          <w:sz w:val="22"/>
        </w:rPr>
        <w:t>TR,</w:t>
      </w:r>
      <w:r>
        <w:rPr>
          <w:spacing w:val="37"/>
          <w:sz w:val="22"/>
        </w:rPr>
        <w:t> </w:t>
      </w:r>
      <w:r>
        <w:rPr>
          <w:sz w:val="22"/>
        </w:rPr>
        <w:t>Stevenson</w:t>
      </w:r>
      <w:r>
        <w:rPr>
          <w:spacing w:val="37"/>
          <w:sz w:val="22"/>
        </w:rPr>
        <w:t> </w:t>
      </w:r>
      <w:r>
        <w:rPr>
          <w:sz w:val="22"/>
        </w:rPr>
        <w:t>JC.</w:t>
      </w:r>
      <w:r>
        <w:rPr>
          <w:spacing w:val="37"/>
          <w:sz w:val="22"/>
        </w:rPr>
        <w:t> </w:t>
      </w:r>
      <w:r>
        <w:rPr>
          <w:sz w:val="22"/>
        </w:rPr>
        <w:t>Differences</w:t>
      </w:r>
      <w:r>
        <w:rPr>
          <w:spacing w:val="39"/>
          <w:sz w:val="22"/>
        </w:rPr>
        <w:t> </w:t>
      </w:r>
      <w:r>
        <w:rPr>
          <w:sz w:val="22"/>
        </w:rPr>
        <w:t>in</w:t>
      </w:r>
      <w:r>
        <w:rPr>
          <w:spacing w:val="39"/>
          <w:sz w:val="22"/>
        </w:rPr>
        <w:t> </w:t>
      </w:r>
      <w:r>
        <w:rPr>
          <w:sz w:val="22"/>
        </w:rPr>
        <w:t>proximal</w:t>
      </w:r>
      <w:r>
        <w:rPr>
          <w:spacing w:val="39"/>
          <w:sz w:val="22"/>
        </w:rPr>
        <w:t> </w:t>
      </w:r>
      <w:r>
        <w:rPr>
          <w:sz w:val="22"/>
        </w:rPr>
        <w:t>femur</w:t>
      </w:r>
      <w:r>
        <w:rPr>
          <w:spacing w:val="39"/>
          <w:sz w:val="22"/>
        </w:rPr>
        <w:t> </w:t>
      </w:r>
      <w:r>
        <w:rPr>
          <w:sz w:val="22"/>
        </w:rPr>
        <w:t>bone</w:t>
      </w:r>
      <w:r>
        <w:rPr>
          <w:spacing w:val="39"/>
          <w:sz w:val="22"/>
        </w:rPr>
        <w:t> </w:t>
      </w:r>
      <w:r>
        <w:rPr>
          <w:sz w:val="22"/>
        </w:rPr>
        <w:t>density over two centuries. </w:t>
      </w:r>
      <w:r>
        <w:rPr>
          <w:i/>
          <w:sz w:val="22"/>
        </w:rPr>
        <w:t>Lancet</w:t>
      </w:r>
      <w:r>
        <w:rPr>
          <w:sz w:val="22"/>
        </w:rPr>
        <w:t>. 1993;341:673.</w:t>
      </w:r>
    </w:p>
    <w:p>
      <w:pPr>
        <w:pStyle w:val="ListParagraph"/>
        <w:spacing w:after="0" w:line="256" w:lineRule="auto"/>
        <w:jc w:val="left"/>
        <w:rPr>
          <w:sz w:val="22"/>
        </w:rPr>
        <w:sectPr>
          <w:pgSz w:w="12240" w:h="15840"/>
          <w:pgMar w:top="1360" w:bottom="280" w:left="1440" w:right="1440"/>
        </w:sectPr>
      </w:pPr>
    </w:p>
    <w:p>
      <w:pPr>
        <w:pStyle w:val="ListParagraph"/>
        <w:numPr>
          <w:ilvl w:val="0"/>
          <w:numId w:val="8"/>
        </w:numPr>
        <w:tabs>
          <w:tab w:pos="699" w:val="left" w:leader="none"/>
        </w:tabs>
        <w:spacing w:line="240" w:lineRule="auto" w:before="84" w:after="0"/>
        <w:ind w:left="699" w:right="0" w:hanging="273"/>
        <w:jc w:val="both"/>
        <w:rPr>
          <w:sz w:val="22"/>
        </w:rPr>
      </w:pPr>
      <w:r>
        <w:rPr>
          <w:sz w:val="22"/>
        </w:rPr>
        <w:t>Eaton</w:t>
      </w:r>
      <w:r>
        <w:rPr>
          <w:spacing w:val="11"/>
          <w:sz w:val="22"/>
        </w:rPr>
        <w:t> </w:t>
      </w:r>
      <w:r>
        <w:rPr>
          <w:sz w:val="22"/>
        </w:rPr>
        <w:t>SB,</w:t>
      </w:r>
      <w:r>
        <w:rPr>
          <w:spacing w:val="11"/>
          <w:sz w:val="22"/>
        </w:rPr>
        <w:t> </w:t>
      </w:r>
      <w:r>
        <w:rPr>
          <w:sz w:val="22"/>
        </w:rPr>
        <w:t>Nelson</w:t>
      </w:r>
      <w:r>
        <w:rPr>
          <w:spacing w:val="11"/>
          <w:sz w:val="22"/>
        </w:rPr>
        <w:t> </w:t>
      </w:r>
      <w:r>
        <w:rPr>
          <w:sz w:val="22"/>
        </w:rPr>
        <w:t>DA.</w:t>
      </w:r>
      <w:r>
        <w:rPr>
          <w:spacing w:val="11"/>
          <w:sz w:val="22"/>
        </w:rPr>
        <w:t> </w:t>
      </w:r>
      <w:r>
        <w:rPr>
          <w:sz w:val="22"/>
        </w:rPr>
        <w:t>Calcium</w:t>
      </w:r>
      <w:r>
        <w:rPr>
          <w:spacing w:val="11"/>
          <w:sz w:val="22"/>
        </w:rPr>
        <w:t> </w:t>
      </w:r>
      <w:r>
        <w:rPr>
          <w:sz w:val="22"/>
        </w:rPr>
        <w:t>in</w:t>
      </w:r>
      <w:r>
        <w:rPr>
          <w:spacing w:val="11"/>
          <w:sz w:val="22"/>
        </w:rPr>
        <w:t> </w:t>
      </w:r>
      <w:r>
        <w:rPr>
          <w:sz w:val="22"/>
        </w:rPr>
        <w:t>evolutionary</w:t>
      </w:r>
      <w:r>
        <w:rPr>
          <w:spacing w:val="12"/>
          <w:sz w:val="22"/>
        </w:rPr>
        <w:t> </w:t>
      </w:r>
      <w:r>
        <w:rPr>
          <w:sz w:val="22"/>
        </w:rPr>
        <w:t>perspective.</w:t>
      </w:r>
      <w:r>
        <w:rPr>
          <w:spacing w:val="11"/>
          <w:sz w:val="22"/>
        </w:rPr>
        <w:t> </w:t>
      </w:r>
      <w:r>
        <w:rPr>
          <w:i/>
          <w:sz w:val="22"/>
        </w:rPr>
        <w:t>Am</w:t>
      </w:r>
      <w:r>
        <w:rPr>
          <w:i/>
          <w:spacing w:val="11"/>
          <w:sz w:val="22"/>
        </w:rPr>
        <w:t> </w:t>
      </w:r>
      <w:r>
        <w:rPr>
          <w:i/>
          <w:sz w:val="22"/>
        </w:rPr>
        <w:t>J</w:t>
      </w:r>
      <w:r>
        <w:rPr>
          <w:i/>
          <w:spacing w:val="11"/>
          <w:sz w:val="22"/>
        </w:rPr>
        <w:t> </w:t>
      </w:r>
      <w:r>
        <w:rPr>
          <w:i/>
          <w:sz w:val="22"/>
        </w:rPr>
        <w:t>Clin</w:t>
      </w:r>
      <w:r>
        <w:rPr>
          <w:i/>
          <w:spacing w:val="11"/>
          <w:sz w:val="22"/>
        </w:rPr>
        <w:t> </w:t>
      </w:r>
      <w:r>
        <w:rPr>
          <w:i/>
          <w:sz w:val="22"/>
        </w:rPr>
        <w:t>Nutr</w:t>
      </w:r>
      <w:r>
        <w:rPr>
          <w:sz w:val="22"/>
        </w:rPr>
        <w:t>.</w:t>
      </w:r>
      <w:r>
        <w:rPr>
          <w:spacing w:val="11"/>
          <w:sz w:val="22"/>
        </w:rPr>
        <w:t> </w:t>
      </w:r>
      <w:r>
        <w:rPr>
          <w:spacing w:val="-2"/>
          <w:sz w:val="22"/>
        </w:rPr>
        <w:t>1991;54:281S.</w:t>
      </w:r>
    </w:p>
    <w:p>
      <w:pPr>
        <w:pStyle w:val="ListParagraph"/>
        <w:numPr>
          <w:ilvl w:val="0"/>
          <w:numId w:val="8"/>
        </w:numPr>
        <w:tabs>
          <w:tab w:pos="699" w:val="left" w:leader="none"/>
        </w:tabs>
        <w:spacing w:line="240" w:lineRule="auto" w:before="17" w:after="0"/>
        <w:ind w:left="699" w:right="0" w:hanging="273"/>
        <w:jc w:val="both"/>
        <w:rPr>
          <w:sz w:val="22"/>
        </w:rPr>
      </w:pPr>
      <w:r>
        <w:rPr>
          <w:sz w:val="22"/>
        </w:rPr>
        <w:t>Cooper</w:t>
      </w:r>
      <w:r>
        <w:rPr>
          <w:spacing w:val="33"/>
          <w:sz w:val="22"/>
        </w:rPr>
        <w:t> </w:t>
      </w:r>
      <w:r>
        <w:rPr>
          <w:sz w:val="22"/>
        </w:rPr>
        <w:t>C,</w:t>
      </w:r>
      <w:r>
        <w:rPr>
          <w:spacing w:val="33"/>
          <w:sz w:val="22"/>
        </w:rPr>
        <w:t> </w:t>
      </w:r>
      <w:r>
        <w:rPr>
          <w:sz w:val="22"/>
        </w:rPr>
        <w:t>Campion</w:t>
      </w:r>
      <w:r>
        <w:rPr>
          <w:spacing w:val="33"/>
          <w:sz w:val="22"/>
        </w:rPr>
        <w:t> </w:t>
      </w:r>
      <w:r>
        <w:rPr>
          <w:sz w:val="22"/>
        </w:rPr>
        <w:t>G,</w:t>
      </w:r>
      <w:r>
        <w:rPr>
          <w:spacing w:val="33"/>
          <w:sz w:val="22"/>
        </w:rPr>
        <w:t> </w:t>
      </w:r>
      <w:r>
        <w:rPr>
          <w:sz w:val="22"/>
        </w:rPr>
        <w:t>Melton</w:t>
      </w:r>
      <w:r>
        <w:rPr>
          <w:spacing w:val="33"/>
          <w:sz w:val="22"/>
        </w:rPr>
        <w:t> </w:t>
      </w:r>
      <w:r>
        <w:rPr>
          <w:sz w:val="22"/>
        </w:rPr>
        <w:t>LJ</w:t>
      </w:r>
      <w:r>
        <w:rPr>
          <w:spacing w:val="33"/>
          <w:sz w:val="22"/>
        </w:rPr>
        <w:t> </w:t>
      </w:r>
      <w:r>
        <w:rPr>
          <w:sz w:val="22"/>
        </w:rPr>
        <w:t>III.</w:t>
      </w:r>
      <w:r>
        <w:rPr>
          <w:spacing w:val="33"/>
          <w:sz w:val="22"/>
        </w:rPr>
        <w:t> </w:t>
      </w:r>
      <w:r>
        <w:rPr>
          <w:sz w:val="22"/>
        </w:rPr>
        <w:t>Hip</w:t>
      </w:r>
      <w:r>
        <w:rPr>
          <w:spacing w:val="33"/>
          <w:sz w:val="22"/>
        </w:rPr>
        <w:t> </w:t>
      </w:r>
      <w:r>
        <w:rPr>
          <w:sz w:val="22"/>
        </w:rPr>
        <w:t>fractures</w:t>
      </w:r>
      <w:r>
        <w:rPr>
          <w:spacing w:val="33"/>
          <w:sz w:val="22"/>
        </w:rPr>
        <w:t> </w:t>
      </w:r>
      <w:r>
        <w:rPr>
          <w:sz w:val="22"/>
        </w:rPr>
        <w:t>in</w:t>
      </w:r>
      <w:r>
        <w:rPr>
          <w:spacing w:val="33"/>
          <w:sz w:val="22"/>
        </w:rPr>
        <w:t> </w:t>
      </w:r>
      <w:r>
        <w:rPr>
          <w:sz w:val="22"/>
        </w:rPr>
        <w:t>the</w:t>
      </w:r>
      <w:r>
        <w:rPr>
          <w:spacing w:val="33"/>
          <w:sz w:val="22"/>
        </w:rPr>
        <w:t> </w:t>
      </w:r>
      <w:r>
        <w:rPr>
          <w:sz w:val="22"/>
        </w:rPr>
        <w:t>elderly:</w:t>
      </w:r>
      <w:r>
        <w:rPr>
          <w:spacing w:val="33"/>
          <w:sz w:val="22"/>
        </w:rPr>
        <w:t> </w:t>
      </w:r>
      <w:r>
        <w:rPr>
          <w:sz w:val="22"/>
        </w:rPr>
        <w:t>a</w:t>
      </w:r>
      <w:r>
        <w:rPr>
          <w:spacing w:val="33"/>
          <w:sz w:val="22"/>
        </w:rPr>
        <w:t> </w:t>
      </w:r>
      <w:r>
        <w:rPr>
          <w:sz w:val="22"/>
        </w:rPr>
        <w:t>world-wide</w:t>
      </w:r>
      <w:r>
        <w:rPr>
          <w:spacing w:val="33"/>
          <w:sz w:val="22"/>
        </w:rPr>
        <w:t> </w:t>
      </w:r>
      <w:r>
        <w:rPr>
          <w:spacing w:val="-2"/>
          <w:sz w:val="22"/>
        </w:rPr>
        <w:t>projection.</w:t>
      </w:r>
    </w:p>
    <w:p>
      <w:pPr>
        <w:spacing w:before="17"/>
        <w:ind w:left="718" w:right="0" w:firstLine="0"/>
        <w:jc w:val="both"/>
        <w:rPr>
          <w:sz w:val="22"/>
        </w:rPr>
      </w:pPr>
      <w:r>
        <w:rPr>
          <w:i/>
          <w:sz w:val="22"/>
        </w:rPr>
        <w:t>Osteoporos</w:t>
      </w:r>
      <w:r>
        <w:rPr>
          <w:i/>
          <w:spacing w:val="9"/>
          <w:sz w:val="22"/>
        </w:rPr>
        <w:t> </w:t>
      </w:r>
      <w:r>
        <w:rPr>
          <w:i/>
          <w:sz w:val="22"/>
        </w:rPr>
        <w:t>Int</w:t>
      </w:r>
      <w:r>
        <w:rPr>
          <w:sz w:val="22"/>
        </w:rPr>
        <w:t>.</w:t>
      </w:r>
      <w:r>
        <w:rPr>
          <w:spacing w:val="9"/>
          <w:sz w:val="22"/>
        </w:rPr>
        <w:t> </w:t>
      </w:r>
      <w:r>
        <w:rPr>
          <w:spacing w:val="-2"/>
          <w:sz w:val="22"/>
        </w:rPr>
        <w:t>1992;2:285.</w:t>
      </w:r>
    </w:p>
    <w:p>
      <w:pPr>
        <w:pStyle w:val="ListParagraph"/>
        <w:numPr>
          <w:ilvl w:val="0"/>
          <w:numId w:val="8"/>
        </w:numPr>
        <w:tabs>
          <w:tab w:pos="698" w:val="left" w:leader="none"/>
          <w:tab w:pos="718" w:val="left" w:leader="none"/>
        </w:tabs>
        <w:spacing w:line="256" w:lineRule="auto" w:before="17" w:after="0"/>
        <w:ind w:left="718" w:right="98" w:hanging="293"/>
        <w:jc w:val="both"/>
        <w:rPr>
          <w:sz w:val="22"/>
        </w:rPr>
      </w:pPr>
      <w:r>
        <w:rPr>
          <w:sz w:val="22"/>
        </w:rPr>
        <w:t>Riis</w:t>
      </w:r>
      <w:r>
        <w:rPr>
          <w:spacing w:val="20"/>
          <w:sz w:val="22"/>
        </w:rPr>
        <w:t> </w:t>
      </w:r>
      <w:r>
        <w:rPr>
          <w:sz w:val="22"/>
        </w:rPr>
        <w:t>BJ,</w:t>
      </w:r>
      <w:r>
        <w:rPr>
          <w:spacing w:val="20"/>
          <w:sz w:val="22"/>
        </w:rPr>
        <w:t> </w:t>
      </w:r>
      <w:r>
        <w:rPr>
          <w:sz w:val="22"/>
        </w:rPr>
        <w:t>Hansen</w:t>
      </w:r>
      <w:r>
        <w:rPr>
          <w:spacing w:val="20"/>
          <w:sz w:val="22"/>
        </w:rPr>
        <w:t> </w:t>
      </w:r>
      <w:r>
        <w:rPr>
          <w:sz w:val="22"/>
        </w:rPr>
        <w:t>MA,</w:t>
      </w:r>
      <w:r>
        <w:rPr>
          <w:spacing w:val="20"/>
          <w:sz w:val="22"/>
        </w:rPr>
        <w:t> </w:t>
      </w:r>
      <w:r>
        <w:rPr>
          <w:sz w:val="22"/>
        </w:rPr>
        <w:t>Jensen</w:t>
      </w:r>
      <w:r>
        <w:rPr>
          <w:spacing w:val="20"/>
          <w:sz w:val="22"/>
        </w:rPr>
        <w:t> </w:t>
      </w:r>
      <w:r>
        <w:rPr>
          <w:sz w:val="22"/>
        </w:rPr>
        <w:t>AM,</w:t>
      </w:r>
      <w:r>
        <w:rPr>
          <w:spacing w:val="20"/>
          <w:sz w:val="22"/>
        </w:rPr>
        <w:t> </w:t>
      </w:r>
      <w:r>
        <w:rPr>
          <w:sz w:val="22"/>
        </w:rPr>
        <w:t>Overgaard</w:t>
      </w:r>
      <w:r>
        <w:rPr>
          <w:spacing w:val="20"/>
          <w:sz w:val="22"/>
        </w:rPr>
        <w:t> </w:t>
      </w:r>
      <w:r>
        <w:rPr>
          <w:sz w:val="22"/>
        </w:rPr>
        <w:t>K,</w:t>
      </w:r>
      <w:r>
        <w:rPr>
          <w:spacing w:val="20"/>
          <w:sz w:val="22"/>
        </w:rPr>
        <w:t> </w:t>
      </w:r>
      <w:r>
        <w:rPr>
          <w:sz w:val="22"/>
        </w:rPr>
        <w:t>Christiansen</w:t>
      </w:r>
      <w:r>
        <w:rPr>
          <w:spacing w:val="20"/>
          <w:sz w:val="22"/>
        </w:rPr>
        <w:t> </w:t>
      </w:r>
      <w:r>
        <w:rPr>
          <w:sz w:val="22"/>
        </w:rPr>
        <w:t>C.</w:t>
      </w:r>
      <w:r>
        <w:rPr>
          <w:spacing w:val="20"/>
          <w:sz w:val="22"/>
        </w:rPr>
        <w:t> </w:t>
      </w:r>
      <w:r>
        <w:rPr>
          <w:sz w:val="22"/>
        </w:rPr>
        <w:t>Low</w:t>
      </w:r>
      <w:r>
        <w:rPr>
          <w:spacing w:val="22"/>
          <w:sz w:val="22"/>
        </w:rPr>
        <w:t> </w:t>
      </w:r>
      <w:r>
        <w:rPr>
          <w:sz w:val="22"/>
        </w:rPr>
        <w:t>bone</w:t>
      </w:r>
      <w:r>
        <w:rPr>
          <w:spacing w:val="22"/>
          <w:sz w:val="22"/>
        </w:rPr>
        <w:t> </w:t>
      </w:r>
      <w:r>
        <w:rPr>
          <w:sz w:val="22"/>
        </w:rPr>
        <w:t>mass</w:t>
      </w:r>
      <w:r>
        <w:rPr>
          <w:spacing w:val="22"/>
          <w:sz w:val="22"/>
        </w:rPr>
        <w:t> </w:t>
      </w:r>
      <w:r>
        <w:rPr>
          <w:sz w:val="22"/>
        </w:rPr>
        <w:t>and</w:t>
      </w:r>
      <w:r>
        <w:rPr>
          <w:spacing w:val="22"/>
          <w:sz w:val="22"/>
        </w:rPr>
        <w:t> </w:t>
      </w:r>
      <w:r>
        <w:rPr>
          <w:sz w:val="22"/>
        </w:rPr>
        <w:t>fast</w:t>
      </w:r>
      <w:r>
        <w:rPr>
          <w:spacing w:val="22"/>
          <w:sz w:val="22"/>
        </w:rPr>
        <w:t> </w:t>
      </w:r>
      <w:r>
        <w:rPr>
          <w:sz w:val="22"/>
        </w:rPr>
        <w:t>rate of bone loss at menopause: equal risk factors for future fracture: a 15-year follow-up study. </w:t>
      </w:r>
      <w:r>
        <w:rPr>
          <w:i/>
          <w:sz w:val="22"/>
        </w:rPr>
        <w:t>Bone</w:t>
      </w:r>
      <w:r>
        <w:rPr>
          <w:sz w:val="22"/>
        </w:rPr>
        <w:t>. 1996;19:9.</w:t>
      </w:r>
    </w:p>
    <w:p>
      <w:pPr>
        <w:pStyle w:val="ListParagraph"/>
        <w:numPr>
          <w:ilvl w:val="0"/>
          <w:numId w:val="8"/>
        </w:numPr>
        <w:tabs>
          <w:tab w:pos="698" w:val="left" w:leader="none"/>
          <w:tab w:pos="718" w:val="left" w:leader="none"/>
        </w:tabs>
        <w:spacing w:line="256" w:lineRule="auto" w:before="0" w:after="0"/>
        <w:ind w:left="718" w:right="99" w:hanging="293"/>
        <w:jc w:val="both"/>
        <w:rPr>
          <w:sz w:val="22"/>
        </w:rPr>
      </w:pPr>
      <w:r>
        <w:rPr>
          <w:sz w:val="22"/>
        </w:rPr>
        <w:t>Theitz G, Buch B, Rizzoli R, et al. Longitudinal monitoring of bone mass accumulation in healthy adolescents: evidence for a marked reduction after 16 years of age at the levels of</w:t>
      </w:r>
      <w:r>
        <w:rPr>
          <w:spacing w:val="40"/>
          <w:sz w:val="22"/>
        </w:rPr>
        <w:t> </w:t>
      </w:r>
      <w:r>
        <w:rPr>
          <w:sz w:val="22"/>
        </w:rPr>
        <w:t>lumbar spine and femoral neck in female subjects. </w:t>
      </w:r>
      <w:r>
        <w:rPr>
          <w:i/>
          <w:sz w:val="22"/>
        </w:rPr>
        <w:t>J Clin Endocrinol Metab</w:t>
      </w:r>
      <w:r>
        <w:rPr>
          <w:sz w:val="22"/>
        </w:rPr>
        <w:t>. 1992;75:1060.</w:t>
      </w:r>
    </w:p>
    <w:p>
      <w:pPr>
        <w:pStyle w:val="ListParagraph"/>
        <w:numPr>
          <w:ilvl w:val="0"/>
          <w:numId w:val="8"/>
        </w:numPr>
        <w:tabs>
          <w:tab w:pos="698" w:val="left" w:leader="none"/>
          <w:tab w:pos="718" w:val="left" w:leader="none"/>
        </w:tabs>
        <w:spacing w:line="256" w:lineRule="auto" w:before="0" w:after="0"/>
        <w:ind w:left="718" w:right="102" w:hanging="293"/>
        <w:jc w:val="both"/>
        <w:rPr>
          <w:sz w:val="22"/>
        </w:rPr>
      </w:pPr>
      <w:r>
        <w:rPr>
          <w:sz w:val="22"/>
        </w:rPr>
        <w:t>Matkovic V, Jelic T, Wardlaw GM, et al. Timing of peak bone mass in Caucasian females and</w:t>
      </w:r>
      <w:r>
        <w:rPr>
          <w:spacing w:val="40"/>
          <w:sz w:val="22"/>
        </w:rPr>
        <w:t> </w:t>
      </w:r>
      <w:r>
        <w:rPr>
          <w:sz w:val="22"/>
        </w:rPr>
        <w:t>its</w:t>
      </w:r>
      <w:r>
        <w:rPr>
          <w:spacing w:val="37"/>
          <w:sz w:val="22"/>
        </w:rPr>
        <w:t> </w:t>
      </w:r>
      <w:r>
        <w:rPr>
          <w:sz w:val="22"/>
        </w:rPr>
        <w:t>implication</w:t>
      </w:r>
      <w:r>
        <w:rPr>
          <w:spacing w:val="37"/>
          <w:sz w:val="22"/>
        </w:rPr>
        <w:t> </w:t>
      </w:r>
      <w:r>
        <w:rPr>
          <w:sz w:val="22"/>
        </w:rPr>
        <w:t>for</w:t>
      </w:r>
      <w:r>
        <w:rPr>
          <w:spacing w:val="37"/>
          <w:sz w:val="22"/>
        </w:rPr>
        <w:t> </w:t>
      </w:r>
      <w:r>
        <w:rPr>
          <w:sz w:val="22"/>
        </w:rPr>
        <w:t>the</w:t>
      </w:r>
      <w:r>
        <w:rPr>
          <w:spacing w:val="37"/>
          <w:sz w:val="22"/>
        </w:rPr>
        <w:t> </w:t>
      </w:r>
      <w:r>
        <w:rPr>
          <w:sz w:val="22"/>
        </w:rPr>
        <w:t>prevention</w:t>
      </w:r>
      <w:r>
        <w:rPr>
          <w:spacing w:val="37"/>
          <w:sz w:val="22"/>
        </w:rPr>
        <w:t> </w:t>
      </w:r>
      <w:r>
        <w:rPr>
          <w:sz w:val="22"/>
        </w:rPr>
        <w:t>of</w:t>
      </w:r>
      <w:r>
        <w:rPr>
          <w:spacing w:val="37"/>
          <w:sz w:val="22"/>
        </w:rPr>
        <w:t> </w:t>
      </w:r>
      <w:r>
        <w:rPr>
          <w:sz w:val="22"/>
        </w:rPr>
        <w:t>osteoporosis.</w:t>
      </w:r>
      <w:r>
        <w:rPr>
          <w:spacing w:val="37"/>
          <w:sz w:val="22"/>
        </w:rPr>
        <w:t> </w:t>
      </w:r>
      <w:r>
        <w:rPr>
          <w:sz w:val="22"/>
        </w:rPr>
        <w:t>Inference</w:t>
      </w:r>
      <w:r>
        <w:rPr>
          <w:spacing w:val="39"/>
          <w:sz w:val="22"/>
        </w:rPr>
        <w:t> </w:t>
      </w:r>
      <w:r>
        <w:rPr>
          <w:sz w:val="22"/>
        </w:rPr>
        <w:t>from</w:t>
      </w:r>
      <w:r>
        <w:rPr>
          <w:spacing w:val="39"/>
          <w:sz w:val="22"/>
        </w:rPr>
        <w:t> </w:t>
      </w:r>
      <w:r>
        <w:rPr>
          <w:sz w:val="22"/>
        </w:rPr>
        <w:t>a</w:t>
      </w:r>
      <w:r>
        <w:rPr>
          <w:spacing w:val="39"/>
          <w:sz w:val="22"/>
        </w:rPr>
        <w:t> </w:t>
      </w:r>
      <w:r>
        <w:rPr>
          <w:sz w:val="22"/>
        </w:rPr>
        <w:t>cross-sectional</w:t>
      </w:r>
      <w:r>
        <w:rPr>
          <w:spacing w:val="39"/>
          <w:sz w:val="22"/>
        </w:rPr>
        <w:t> </w:t>
      </w:r>
      <w:r>
        <w:rPr>
          <w:sz w:val="22"/>
        </w:rPr>
        <w:t>model.</w:t>
      </w:r>
      <w:r>
        <w:rPr>
          <w:spacing w:val="39"/>
          <w:sz w:val="22"/>
        </w:rPr>
        <w:t> </w:t>
      </w:r>
      <w:r>
        <w:rPr>
          <w:i/>
          <w:sz w:val="22"/>
        </w:rPr>
        <w:t>J</w:t>
      </w:r>
      <w:r>
        <w:rPr>
          <w:i/>
          <w:sz w:val="22"/>
        </w:rPr>
        <w:t> Clin Invest</w:t>
      </w:r>
      <w:r>
        <w:rPr>
          <w:sz w:val="22"/>
        </w:rPr>
        <w:t>. 1994;93:799.</w:t>
      </w:r>
    </w:p>
    <w:p>
      <w:pPr>
        <w:pStyle w:val="ListParagraph"/>
        <w:numPr>
          <w:ilvl w:val="0"/>
          <w:numId w:val="8"/>
        </w:numPr>
        <w:tabs>
          <w:tab w:pos="698" w:val="left" w:leader="none"/>
          <w:tab w:pos="718" w:val="left" w:leader="none"/>
        </w:tabs>
        <w:spacing w:line="256" w:lineRule="auto" w:before="0" w:after="0"/>
        <w:ind w:left="718" w:right="99" w:hanging="293"/>
        <w:jc w:val="both"/>
        <w:rPr>
          <w:sz w:val="22"/>
        </w:rPr>
      </w:pPr>
      <w:r>
        <w:rPr>
          <w:sz w:val="22"/>
        </w:rPr>
        <w:t>Sabatier JP, Guaydier-Souquieres G, Laroche D, et al. Bone mineral acquisition during adolescence</w:t>
      </w:r>
      <w:r>
        <w:rPr>
          <w:spacing w:val="40"/>
          <w:sz w:val="22"/>
        </w:rPr>
        <w:t> </w:t>
      </w:r>
      <w:r>
        <w:rPr>
          <w:sz w:val="22"/>
        </w:rPr>
        <w:t>and</w:t>
      </w:r>
      <w:r>
        <w:rPr>
          <w:spacing w:val="40"/>
          <w:sz w:val="22"/>
        </w:rPr>
        <w:t> </w:t>
      </w:r>
      <w:r>
        <w:rPr>
          <w:sz w:val="22"/>
        </w:rPr>
        <w:t>early</w:t>
      </w:r>
      <w:r>
        <w:rPr>
          <w:spacing w:val="40"/>
          <w:sz w:val="22"/>
        </w:rPr>
        <w:t> </w:t>
      </w:r>
      <w:r>
        <w:rPr>
          <w:sz w:val="22"/>
        </w:rPr>
        <w:t>adulthood:</w:t>
      </w:r>
      <w:r>
        <w:rPr>
          <w:spacing w:val="40"/>
          <w:sz w:val="22"/>
        </w:rPr>
        <w:t> </w:t>
      </w:r>
      <w:r>
        <w:rPr>
          <w:sz w:val="22"/>
        </w:rPr>
        <w:t>a</w:t>
      </w:r>
      <w:r>
        <w:rPr>
          <w:spacing w:val="40"/>
          <w:sz w:val="22"/>
        </w:rPr>
        <w:t> </w:t>
      </w:r>
      <w:r>
        <w:rPr>
          <w:sz w:val="22"/>
        </w:rPr>
        <w:t>study</w:t>
      </w:r>
      <w:r>
        <w:rPr>
          <w:spacing w:val="40"/>
          <w:sz w:val="22"/>
        </w:rPr>
        <w:t> </w:t>
      </w:r>
      <w:r>
        <w:rPr>
          <w:sz w:val="22"/>
        </w:rPr>
        <w:t>in</w:t>
      </w:r>
      <w:r>
        <w:rPr>
          <w:spacing w:val="40"/>
          <w:sz w:val="22"/>
        </w:rPr>
        <w:t> </w:t>
      </w:r>
      <w:r>
        <w:rPr>
          <w:sz w:val="22"/>
        </w:rPr>
        <w:t>574</w:t>
      </w:r>
      <w:r>
        <w:rPr>
          <w:spacing w:val="40"/>
          <w:sz w:val="22"/>
        </w:rPr>
        <w:t> </w:t>
      </w:r>
      <w:r>
        <w:rPr>
          <w:sz w:val="22"/>
        </w:rPr>
        <w:t>healthy</w:t>
      </w:r>
      <w:r>
        <w:rPr>
          <w:spacing w:val="40"/>
          <w:sz w:val="22"/>
        </w:rPr>
        <w:t> </w:t>
      </w:r>
      <w:r>
        <w:rPr>
          <w:sz w:val="22"/>
        </w:rPr>
        <w:t>females</w:t>
      </w:r>
      <w:r>
        <w:rPr>
          <w:spacing w:val="40"/>
          <w:sz w:val="22"/>
        </w:rPr>
        <w:t> </w:t>
      </w:r>
      <w:r>
        <w:rPr>
          <w:sz w:val="22"/>
        </w:rPr>
        <w:t>10-24</w:t>
      </w:r>
      <w:r>
        <w:rPr>
          <w:spacing w:val="40"/>
          <w:sz w:val="22"/>
        </w:rPr>
        <w:t> </w:t>
      </w:r>
      <w:r>
        <w:rPr>
          <w:sz w:val="22"/>
        </w:rPr>
        <w:t>years</w:t>
      </w:r>
      <w:r>
        <w:rPr>
          <w:spacing w:val="40"/>
          <w:sz w:val="22"/>
        </w:rPr>
        <w:t> </w:t>
      </w:r>
      <w:r>
        <w:rPr>
          <w:sz w:val="22"/>
        </w:rPr>
        <w:t>of</w:t>
      </w:r>
      <w:r>
        <w:rPr>
          <w:spacing w:val="40"/>
          <w:sz w:val="22"/>
        </w:rPr>
        <w:t> </w:t>
      </w:r>
      <w:r>
        <w:rPr>
          <w:sz w:val="22"/>
        </w:rPr>
        <w:t>age. </w:t>
      </w:r>
      <w:r>
        <w:rPr>
          <w:i/>
          <w:sz w:val="22"/>
        </w:rPr>
        <w:t>Osteoporos Int</w:t>
      </w:r>
      <w:r>
        <w:rPr>
          <w:sz w:val="22"/>
        </w:rPr>
        <w:t>. 1996;6:141.</w:t>
      </w:r>
    </w:p>
    <w:p>
      <w:pPr>
        <w:pStyle w:val="ListParagraph"/>
        <w:numPr>
          <w:ilvl w:val="0"/>
          <w:numId w:val="8"/>
        </w:numPr>
        <w:tabs>
          <w:tab w:pos="698" w:val="left" w:leader="none"/>
          <w:tab w:pos="718" w:val="left" w:leader="none"/>
        </w:tabs>
        <w:spacing w:line="256" w:lineRule="auto" w:before="0" w:after="0"/>
        <w:ind w:left="718" w:right="101" w:hanging="293"/>
        <w:jc w:val="both"/>
        <w:rPr>
          <w:sz w:val="22"/>
        </w:rPr>
      </w:pPr>
      <w:r>
        <w:rPr>
          <w:sz w:val="22"/>
        </w:rPr>
        <w:t>Chevalley</w:t>
      </w:r>
      <w:r>
        <w:rPr>
          <w:spacing w:val="35"/>
          <w:sz w:val="22"/>
        </w:rPr>
        <w:t> </w:t>
      </w:r>
      <w:r>
        <w:rPr>
          <w:sz w:val="22"/>
        </w:rPr>
        <w:t>T,</w:t>
      </w:r>
      <w:r>
        <w:rPr>
          <w:spacing w:val="35"/>
          <w:sz w:val="22"/>
        </w:rPr>
        <w:t> </w:t>
      </w:r>
      <w:r>
        <w:rPr>
          <w:sz w:val="22"/>
        </w:rPr>
        <w:t>Bonjour</w:t>
      </w:r>
      <w:r>
        <w:rPr>
          <w:spacing w:val="35"/>
          <w:sz w:val="22"/>
        </w:rPr>
        <w:t> </w:t>
      </w:r>
      <w:r>
        <w:rPr>
          <w:sz w:val="22"/>
        </w:rPr>
        <w:t>JP,</w:t>
      </w:r>
      <w:r>
        <w:rPr>
          <w:spacing w:val="35"/>
          <w:sz w:val="22"/>
        </w:rPr>
        <w:t> </w:t>
      </w:r>
      <w:r>
        <w:rPr>
          <w:sz w:val="22"/>
        </w:rPr>
        <w:t>Ferrari</w:t>
      </w:r>
      <w:r>
        <w:rPr>
          <w:spacing w:val="35"/>
          <w:sz w:val="22"/>
        </w:rPr>
        <w:t> </w:t>
      </w:r>
      <w:r>
        <w:rPr>
          <w:sz w:val="22"/>
        </w:rPr>
        <w:t>S,</w:t>
      </w:r>
      <w:r>
        <w:rPr>
          <w:spacing w:val="35"/>
          <w:sz w:val="22"/>
        </w:rPr>
        <w:t> </w:t>
      </w:r>
      <w:r>
        <w:rPr>
          <w:sz w:val="22"/>
        </w:rPr>
        <w:t>Rizzoli</w:t>
      </w:r>
      <w:r>
        <w:rPr>
          <w:spacing w:val="35"/>
          <w:sz w:val="22"/>
        </w:rPr>
        <w:t> </w:t>
      </w:r>
      <w:r>
        <w:rPr>
          <w:sz w:val="22"/>
        </w:rPr>
        <w:t>R.</w:t>
      </w:r>
      <w:r>
        <w:rPr>
          <w:spacing w:val="35"/>
          <w:sz w:val="22"/>
        </w:rPr>
        <w:t> </w:t>
      </w:r>
      <w:r>
        <w:rPr>
          <w:sz w:val="22"/>
        </w:rPr>
        <w:t>Deleterious</w:t>
      </w:r>
      <w:r>
        <w:rPr>
          <w:spacing w:val="37"/>
          <w:sz w:val="22"/>
        </w:rPr>
        <w:t> </w:t>
      </w:r>
      <w:r>
        <w:rPr>
          <w:sz w:val="22"/>
        </w:rPr>
        <w:t>effect</w:t>
      </w:r>
      <w:r>
        <w:rPr>
          <w:spacing w:val="37"/>
          <w:sz w:val="22"/>
        </w:rPr>
        <w:t> </w:t>
      </w:r>
      <w:r>
        <w:rPr>
          <w:sz w:val="22"/>
        </w:rPr>
        <w:t>of</w:t>
      </w:r>
      <w:r>
        <w:rPr>
          <w:spacing w:val="37"/>
          <w:sz w:val="22"/>
        </w:rPr>
        <w:t> </w:t>
      </w:r>
      <w:r>
        <w:rPr>
          <w:sz w:val="22"/>
        </w:rPr>
        <w:t>late</w:t>
      </w:r>
      <w:r>
        <w:rPr>
          <w:spacing w:val="37"/>
          <w:sz w:val="22"/>
        </w:rPr>
        <w:t> </w:t>
      </w:r>
      <w:r>
        <w:rPr>
          <w:sz w:val="22"/>
        </w:rPr>
        <w:t>menarche</w:t>
      </w:r>
      <w:r>
        <w:rPr>
          <w:spacing w:val="37"/>
          <w:sz w:val="22"/>
        </w:rPr>
        <w:t> </w:t>
      </w:r>
      <w:r>
        <w:rPr>
          <w:sz w:val="22"/>
        </w:rPr>
        <w:t>on</w:t>
      </w:r>
      <w:r>
        <w:rPr>
          <w:spacing w:val="37"/>
          <w:sz w:val="22"/>
        </w:rPr>
        <w:t> </w:t>
      </w:r>
      <w:r>
        <w:rPr>
          <w:sz w:val="22"/>
        </w:rPr>
        <w:t>distal tibia microstructure in healthy 20-year-old and premenopausal middle-aged women. </w:t>
      </w:r>
      <w:r>
        <w:rPr>
          <w:i/>
          <w:sz w:val="22"/>
        </w:rPr>
        <w:t>J Bone</w:t>
      </w:r>
      <w:r>
        <w:rPr>
          <w:i/>
          <w:sz w:val="22"/>
        </w:rPr>
        <w:t> Miner Res. </w:t>
      </w:r>
      <w:r>
        <w:rPr>
          <w:sz w:val="22"/>
        </w:rPr>
        <w:t>2009;24:144.</w:t>
      </w:r>
    </w:p>
    <w:p>
      <w:pPr>
        <w:pStyle w:val="ListParagraph"/>
        <w:numPr>
          <w:ilvl w:val="0"/>
          <w:numId w:val="8"/>
        </w:numPr>
        <w:tabs>
          <w:tab w:pos="699" w:val="left" w:leader="none"/>
          <w:tab w:pos="718" w:val="left" w:leader="none"/>
        </w:tabs>
        <w:spacing w:line="256" w:lineRule="auto" w:before="0" w:after="0"/>
        <w:ind w:left="718" w:right="108" w:hanging="405"/>
        <w:jc w:val="both"/>
        <w:rPr>
          <w:sz w:val="22"/>
        </w:rPr>
      </w:pPr>
      <w:r>
        <w:rPr>
          <w:sz w:val="22"/>
        </w:rPr>
        <w:t>Csermely T, Halvax L, Vizer M, et al. Relationship between adolescent amenorrhea and climacteric osteoporosis. </w:t>
      </w:r>
      <w:r>
        <w:rPr>
          <w:i/>
          <w:sz w:val="22"/>
        </w:rPr>
        <w:t>Maturitas</w:t>
      </w:r>
      <w:r>
        <w:rPr>
          <w:sz w:val="22"/>
        </w:rPr>
        <w:t>. 2007;56:368.</w:t>
      </w:r>
    </w:p>
    <w:p>
      <w:pPr>
        <w:pStyle w:val="ListParagraph"/>
        <w:numPr>
          <w:ilvl w:val="0"/>
          <w:numId w:val="8"/>
        </w:numPr>
        <w:tabs>
          <w:tab w:pos="689" w:val="left" w:leader="none"/>
          <w:tab w:pos="718" w:val="left" w:leader="none"/>
        </w:tabs>
        <w:spacing w:line="256" w:lineRule="auto" w:before="0" w:after="0"/>
        <w:ind w:left="718" w:right="98" w:hanging="405"/>
        <w:jc w:val="both"/>
        <w:rPr>
          <w:sz w:val="22"/>
        </w:rPr>
      </w:pPr>
      <w:r>
        <w:rPr>
          <w:sz w:val="22"/>
        </w:rPr>
        <w:t>Bonjour JP, Carrie AL, Ferrari S, et al. Calcium-enriched foods and bone mass growth in prepubertal girls: a randomized, double-blind, placebo-controlled trial. </w:t>
      </w:r>
      <w:r>
        <w:rPr>
          <w:i/>
          <w:sz w:val="22"/>
        </w:rPr>
        <w:t>J Clin Invest</w:t>
      </w:r>
      <w:r>
        <w:rPr>
          <w:sz w:val="22"/>
        </w:rPr>
        <w:t>. </w:t>
      </w:r>
      <w:r>
        <w:rPr>
          <w:spacing w:val="-2"/>
          <w:sz w:val="22"/>
        </w:rPr>
        <w:t>1997;15:1287.</w:t>
      </w:r>
    </w:p>
    <w:p>
      <w:pPr>
        <w:pStyle w:val="ListParagraph"/>
        <w:numPr>
          <w:ilvl w:val="0"/>
          <w:numId w:val="8"/>
        </w:numPr>
        <w:tabs>
          <w:tab w:pos="699" w:val="left" w:leader="none"/>
          <w:tab w:pos="718" w:val="left" w:leader="none"/>
        </w:tabs>
        <w:spacing w:line="256" w:lineRule="auto" w:before="0" w:after="0"/>
        <w:ind w:left="718" w:right="103" w:hanging="405"/>
        <w:jc w:val="both"/>
        <w:rPr>
          <w:sz w:val="22"/>
        </w:rPr>
      </w:pPr>
      <w:r>
        <w:rPr>
          <w:sz w:val="22"/>
        </w:rPr>
        <w:t>Bonjour JP, Chevalley T, Ammann P, Slosman D, Rizzoli R. Gain in bone mineral mass in prepubertal</w:t>
      </w:r>
      <w:r>
        <w:rPr>
          <w:spacing w:val="40"/>
          <w:sz w:val="22"/>
        </w:rPr>
        <w:t> </w:t>
      </w:r>
      <w:r>
        <w:rPr>
          <w:sz w:val="22"/>
        </w:rPr>
        <w:t>girls</w:t>
      </w:r>
      <w:r>
        <w:rPr>
          <w:spacing w:val="40"/>
          <w:sz w:val="22"/>
        </w:rPr>
        <w:t> </w:t>
      </w:r>
      <w:r>
        <w:rPr>
          <w:sz w:val="22"/>
        </w:rPr>
        <w:t>3.5</w:t>
      </w:r>
      <w:r>
        <w:rPr>
          <w:spacing w:val="40"/>
          <w:sz w:val="22"/>
        </w:rPr>
        <w:t> </w:t>
      </w:r>
      <w:r>
        <w:rPr>
          <w:sz w:val="22"/>
        </w:rPr>
        <w:t>years</w:t>
      </w:r>
      <w:r>
        <w:rPr>
          <w:spacing w:val="40"/>
          <w:sz w:val="22"/>
        </w:rPr>
        <w:t> </w:t>
      </w:r>
      <w:r>
        <w:rPr>
          <w:sz w:val="22"/>
        </w:rPr>
        <w:t>after</w:t>
      </w:r>
      <w:r>
        <w:rPr>
          <w:spacing w:val="40"/>
          <w:sz w:val="22"/>
        </w:rPr>
        <w:t> </w:t>
      </w:r>
      <w:r>
        <w:rPr>
          <w:sz w:val="22"/>
        </w:rPr>
        <w:t>discontinuation</w:t>
      </w:r>
      <w:r>
        <w:rPr>
          <w:spacing w:val="40"/>
          <w:sz w:val="22"/>
        </w:rPr>
        <w:t> </w:t>
      </w:r>
      <w:r>
        <w:rPr>
          <w:sz w:val="22"/>
        </w:rPr>
        <w:t>of</w:t>
      </w:r>
      <w:r>
        <w:rPr>
          <w:spacing w:val="40"/>
          <w:sz w:val="22"/>
        </w:rPr>
        <w:t> </w:t>
      </w:r>
      <w:r>
        <w:rPr>
          <w:sz w:val="22"/>
        </w:rPr>
        <w:t>calcium</w:t>
      </w:r>
      <w:r>
        <w:rPr>
          <w:spacing w:val="40"/>
          <w:sz w:val="22"/>
        </w:rPr>
        <w:t> </w:t>
      </w:r>
      <w:r>
        <w:rPr>
          <w:sz w:val="22"/>
        </w:rPr>
        <w:t>supplementation:</w:t>
      </w:r>
      <w:r>
        <w:rPr>
          <w:spacing w:val="40"/>
          <w:sz w:val="22"/>
        </w:rPr>
        <w:t> </w:t>
      </w:r>
      <w:r>
        <w:rPr>
          <w:sz w:val="22"/>
        </w:rPr>
        <w:t>a</w:t>
      </w:r>
      <w:r>
        <w:rPr>
          <w:spacing w:val="40"/>
          <w:sz w:val="22"/>
        </w:rPr>
        <w:t> </w:t>
      </w:r>
      <w:r>
        <w:rPr>
          <w:sz w:val="22"/>
        </w:rPr>
        <w:t>follow-up study. </w:t>
      </w:r>
      <w:r>
        <w:rPr>
          <w:i/>
          <w:sz w:val="22"/>
        </w:rPr>
        <w:t>Lancet</w:t>
      </w:r>
      <w:r>
        <w:rPr>
          <w:sz w:val="22"/>
        </w:rPr>
        <w:t>. 2001;358:1208.</w:t>
      </w:r>
    </w:p>
    <w:p>
      <w:pPr>
        <w:pStyle w:val="ListParagraph"/>
        <w:numPr>
          <w:ilvl w:val="0"/>
          <w:numId w:val="8"/>
        </w:numPr>
        <w:tabs>
          <w:tab w:pos="699" w:val="left" w:leader="none"/>
          <w:tab w:pos="718" w:val="left" w:leader="none"/>
        </w:tabs>
        <w:spacing w:line="256" w:lineRule="auto" w:before="0" w:after="0"/>
        <w:ind w:left="718" w:right="99" w:hanging="405"/>
        <w:jc w:val="both"/>
        <w:rPr>
          <w:sz w:val="22"/>
        </w:rPr>
      </w:pPr>
      <w:r>
        <w:rPr>
          <w:sz w:val="22"/>
        </w:rPr>
        <w:t>Stear SJ, Prentice A, Jones SC, Cole TJ. Effect of a calcium and exercise intervention on </w:t>
      </w:r>
      <w:r>
        <w:rPr>
          <w:sz w:val="22"/>
        </w:rPr>
        <w:t>the bone mineral status of 16-18-y-old adolescent girls. </w:t>
      </w:r>
      <w:r>
        <w:rPr>
          <w:i/>
          <w:sz w:val="22"/>
        </w:rPr>
        <w:t>Am J Clin Nutr</w:t>
      </w:r>
      <w:r>
        <w:rPr>
          <w:sz w:val="22"/>
        </w:rPr>
        <w:t>. 2003;77:985.</w:t>
      </w:r>
    </w:p>
    <w:p>
      <w:pPr>
        <w:pStyle w:val="ListParagraph"/>
        <w:numPr>
          <w:ilvl w:val="0"/>
          <w:numId w:val="8"/>
        </w:numPr>
        <w:tabs>
          <w:tab w:pos="699" w:val="left" w:leader="none"/>
          <w:tab w:pos="718" w:val="left" w:leader="none"/>
        </w:tabs>
        <w:spacing w:line="256" w:lineRule="auto" w:before="0" w:after="0"/>
        <w:ind w:left="718" w:right="107" w:hanging="405"/>
        <w:jc w:val="both"/>
        <w:rPr>
          <w:sz w:val="22"/>
        </w:rPr>
      </w:pPr>
      <w:r>
        <w:rPr>
          <w:sz w:val="22"/>
        </w:rPr>
        <w:t>Rozen GS, Rennert G, Dodiuk-Gad RP, et al. Calcium supplementation provides an </w:t>
      </w:r>
      <w:r>
        <w:rPr>
          <w:sz w:val="22"/>
        </w:rPr>
        <w:t>extended window of opportunity for bone mass accretion after menarche. </w:t>
      </w:r>
      <w:r>
        <w:rPr>
          <w:i/>
          <w:sz w:val="22"/>
        </w:rPr>
        <w:t>Am J Clin Nutr</w:t>
      </w:r>
      <w:r>
        <w:rPr>
          <w:sz w:val="22"/>
        </w:rPr>
        <w:t>. 2003;78:993.</w:t>
      </w:r>
    </w:p>
    <w:p>
      <w:pPr>
        <w:pStyle w:val="ListParagraph"/>
        <w:numPr>
          <w:ilvl w:val="0"/>
          <w:numId w:val="8"/>
        </w:numPr>
        <w:tabs>
          <w:tab w:pos="699" w:val="left" w:leader="none"/>
          <w:tab w:pos="718" w:val="left" w:leader="none"/>
        </w:tabs>
        <w:spacing w:line="256" w:lineRule="auto" w:before="0" w:after="0"/>
        <w:ind w:left="718" w:right="102" w:hanging="405"/>
        <w:jc w:val="both"/>
        <w:rPr>
          <w:sz w:val="22"/>
        </w:rPr>
      </w:pPr>
      <w:r>
        <w:rPr>
          <w:sz w:val="22"/>
        </w:rPr>
        <w:t>Matkovic V, Jelic T, Wardlaw GM, et al. Timing of peak bone mass in Caucasian females and</w:t>
      </w:r>
      <w:r>
        <w:rPr>
          <w:spacing w:val="40"/>
          <w:sz w:val="22"/>
        </w:rPr>
        <w:t> </w:t>
      </w:r>
      <w:r>
        <w:rPr>
          <w:sz w:val="22"/>
        </w:rPr>
        <w:t>its</w:t>
      </w:r>
      <w:r>
        <w:rPr>
          <w:spacing w:val="37"/>
          <w:sz w:val="22"/>
        </w:rPr>
        <w:t> </w:t>
      </w:r>
      <w:r>
        <w:rPr>
          <w:sz w:val="22"/>
        </w:rPr>
        <w:t>implication</w:t>
      </w:r>
      <w:r>
        <w:rPr>
          <w:spacing w:val="37"/>
          <w:sz w:val="22"/>
        </w:rPr>
        <w:t> </w:t>
      </w:r>
      <w:r>
        <w:rPr>
          <w:sz w:val="22"/>
        </w:rPr>
        <w:t>for</w:t>
      </w:r>
      <w:r>
        <w:rPr>
          <w:spacing w:val="37"/>
          <w:sz w:val="22"/>
        </w:rPr>
        <w:t> </w:t>
      </w:r>
      <w:r>
        <w:rPr>
          <w:sz w:val="22"/>
        </w:rPr>
        <w:t>the</w:t>
      </w:r>
      <w:r>
        <w:rPr>
          <w:spacing w:val="37"/>
          <w:sz w:val="22"/>
        </w:rPr>
        <w:t> </w:t>
      </w:r>
      <w:r>
        <w:rPr>
          <w:sz w:val="22"/>
        </w:rPr>
        <w:t>prevention</w:t>
      </w:r>
      <w:r>
        <w:rPr>
          <w:spacing w:val="37"/>
          <w:sz w:val="22"/>
        </w:rPr>
        <w:t> </w:t>
      </w:r>
      <w:r>
        <w:rPr>
          <w:sz w:val="22"/>
        </w:rPr>
        <w:t>of</w:t>
      </w:r>
      <w:r>
        <w:rPr>
          <w:spacing w:val="37"/>
          <w:sz w:val="22"/>
        </w:rPr>
        <w:t> </w:t>
      </w:r>
      <w:r>
        <w:rPr>
          <w:sz w:val="22"/>
        </w:rPr>
        <w:t>osteoporosis.</w:t>
      </w:r>
      <w:r>
        <w:rPr>
          <w:spacing w:val="37"/>
          <w:sz w:val="22"/>
        </w:rPr>
        <w:t> </w:t>
      </w:r>
      <w:r>
        <w:rPr>
          <w:sz w:val="22"/>
        </w:rPr>
        <w:t>Inference</w:t>
      </w:r>
      <w:r>
        <w:rPr>
          <w:spacing w:val="39"/>
          <w:sz w:val="22"/>
        </w:rPr>
        <w:t> </w:t>
      </w:r>
      <w:r>
        <w:rPr>
          <w:sz w:val="22"/>
        </w:rPr>
        <w:t>from</w:t>
      </w:r>
      <w:r>
        <w:rPr>
          <w:spacing w:val="39"/>
          <w:sz w:val="22"/>
        </w:rPr>
        <w:t> </w:t>
      </w:r>
      <w:r>
        <w:rPr>
          <w:sz w:val="22"/>
        </w:rPr>
        <w:t>a</w:t>
      </w:r>
      <w:r>
        <w:rPr>
          <w:spacing w:val="39"/>
          <w:sz w:val="22"/>
        </w:rPr>
        <w:t> </w:t>
      </w:r>
      <w:r>
        <w:rPr>
          <w:sz w:val="22"/>
        </w:rPr>
        <w:t>cross-sectional</w:t>
      </w:r>
      <w:r>
        <w:rPr>
          <w:spacing w:val="39"/>
          <w:sz w:val="22"/>
        </w:rPr>
        <w:t> </w:t>
      </w:r>
      <w:r>
        <w:rPr>
          <w:sz w:val="22"/>
        </w:rPr>
        <w:t>model.</w:t>
      </w:r>
      <w:r>
        <w:rPr>
          <w:spacing w:val="39"/>
          <w:sz w:val="22"/>
        </w:rPr>
        <w:t> </w:t>
      </w:r>
      <w:r>
        <w:rPr>
          <w:i/>
          <w:sz w:val="22"/>
        </w:rPr>
        <w:t>J</w:t>
      </w:r>
      <w:r>
        <w:rPr>
          <w:i/>
          <w:sz w:val="22"/>
        </w:rPr>
        <w:t> Clin Invest</w:t>
      </w:r>
      <w:r>
        <w:rPr>
          <w:sz w:val="22"/>
        </w:rPr>
        <w:t>. 1994;93:799.</w:t>
      </w:r>
    </w:p>
    <w:p>
      <w:pPr>
        <w:pStyle w:val="ListParagraph"/>
        <w:numPr>
          <w:ilvl w:val="0"/>
          <w:numId w:val="8"/>
        </w:numPr>
        <w:tabs>
          <w:tab w:pos="699" w:val="left" w:leader="none"/>
          <w:tab w:pos="718" w:val="left" w:leader="none"/>
        </w:tabs>
        <w:spacing w:line="256" w:lineRule="auto" w:before="0" w:after="0"/>
        <w:ind w:left="718" w:right="108" w:hanging="405"/>
        <w:jc w:val="both"/>
        <w:rPr>
          <w:sz w:val="22"/>
        </w:rPr>
      </w:pPr>
      <w:r>
        <w:rPr>
          <w:sz w:val="22"/>
        </w:rPr>
        <w:t>Recker RR, Davies KM, Hinders SM, Heaney RP, Stegman MR, Kimmel DB. Bone gain in young women. </w:t>
      </w:r>
      <w:r>
        <w:rPr>
          <w:i/>
          <w:sz w:val="22"/>
        </w:rPr>
        <w:t>JAMA</w:t>
      </w:r>
      <w:r>
        <w:rPr>
          <w:sz w:val="22"/>
        </w:rPr>
        <w:t>. 1992;268:2403.</w:t>
      </w:r>
    </w:p>
    <w:p>
      <w:pPr>
        <w:pStyle w:val="ListParagraph"/>
        <w:numPr>
          <w:ilvl w:val="0"/>
          <w:numId w:val="8"/>
        </w:numPr>
        <w:tabs>
          <w:tab w:pos="699" w:val="left" w:leader="none"/>
          <w:tab w:pos="718" w:val="left" w:leader="none"/>
        </w:tabs>
        <w:spacing w:line="256" w:lineRule="auto" w:before="0" w:after="0"/>
        <w:ind w:left="718" w:right="104" w:hanging="405"/>
        <w:jc w:val="both"/>
        <w:rPr>
          <w:sz w:val="22"/>
        </w:rPr>
      </w:pPr>
      <w:r>
        <w:rPr>
          <w:sz w:val="22"/>
        </w:rPr>
        <w:t>Sirola</w:t>
      </w:r>
      <w:r>
        <w:rPr>
          <w:spacing w:val="40"/>
          <w:sz w:val="22"/>
        </w:rPr>
        <w:t> </w:t>
      </w:r>
      <w:r>
        <w:rPr>
          <w:sz w:val="22"/>
        </w:rPr>
        <w:t>J,</w:t>
      </w:r>
      <w:r>
        <w:rPr>
          <w:spacing w:val="40"/>
          <w:sz w:val="22"/>
        </w:rPr>
        <w:t> </w:t>
      </w:r>
      <w:r>
        <w:rPr>
          <w:sz w:val="22"/>
        </w:rPr>
        <w:t>Kröger</w:t>
      </w:r>
      <w:r>
        <w:rPr>
          <w:spacing w:val="40"/>
          <w:sz w:val="22"/>
        </w:rPr>
        <w:t> </w:t>
      </w:r>
      <w:r>
        <w:rPr>
          <w:sz w:val="22"/>
        </w:rPr>
        <w:t>H,</w:t>
      </w:r>
      <w:r>
        <w:rPr>
          <w:spacing w:val="40"/>
          <w:sz w:val="22"/>
        </w:rPr>
        <w:t> </w:t>
      </w:r>
      <w:r>
        <w:rPr>
          <w:sz w:val="22"/>
        </w:rPr>
        <w:t>Honkanen</w:t>
      </w:r>
      <w:r>
        <w:rPr>
          <w:spacing w:val="40"/>
          <w:sz w:val="22"/>
        </w:rPr>
        <w:t> </w:t>
      </w:r>
      <w:r>
        <w:rPr>
          <w:sz w:val="22"/>
        </w:rPr>
        <w:t>R,</w:t>
      </w:r>
      <w:r>
        <w:rPr>
          <w:spacing w:val="40"/>
          <w:sz w:val="22"/>
        </w:rPr>
        <w:t> </w:t>
      </w:r>
      <w:r>
        <w:rPr>
          <w:sz w:val="22"/>
        </w:rPr>
        <w:t>et</w:t>
      </w:r>
      <w:r>
        <w:rPr>
          <w:spacing w:val="40"/>
          <w:sz w:val="22"/>
        </w:rPr>
        <w:t> </w:t>
      </w:r>
      <w:r>
        <w:rPr>
          <w:sz w:val="22"/>
        </w:rPr>
        <w:t>al.</w:t>
      </w:r>
      <w:r>
        <w:rPr>
          <w:spacing w:val="40"/>
          <w:sz w:val="22"/>
        </w:rPr>
        <w:t> </w:t>
      </w:r>
      <w:r>
        <w:rPr>
          <w:sz w:val="22"/>
        </w:rPr>
        <w:t>Factors</w:t>
      </w:r>
      <w:r>
        <w:rPr>
          <w:spacing w:val="40"/>
          <w:sz w:val="22"/>
        </w:rPr>
        <w:t> </w:t>
      </w:r>
      <w:r>
        <w:rPr>
          <w:sz w:val="22"/>
        </w:rPr>
        <w:t>affecting</w:t>
      </w:r>
      <w:r>
        <w:rPr>
          <w:spacing w:val="40"/>
          <w:sz w:val="22"/>
        </w:rPr>
        <w:t> </w:t>
      </w:r>
      <w:r>
        <w:rPr>
          <w:sz w:val="22"/>
        </w:rPr>
        <w:t>bone</w:t>
      </w:r>
      <w:r>
        <w:rPr>
          <w:spacing w:val="40"/>
          <w:sz w:val="22"/>
        </w:rPr>
        <w:t> </w:t>
      </w:r>
      <w:r>
        <w:rPr>
          <w:sz w:val="22"/>
        </w:rPr>
        <w:t>loss</w:t>
      </w:r>
      <w:r>
        <w:rPr>
          <w:spacing w:val="40"/>
          <w:sz w:val="22"/>
        </w:rPr>
        <w:t> </w:t>
      </w:r>
      <w:r>
        <w:rPr>
          <w:sz w:val="22"/>
        </w:rPr>
        <w:t>around</w:t>
      </w:r>
      <w:r>
        <w:rPr>
          <w:spacing w:val="40"/>
          <w:sz w:val="22"/>
        </w:rPr>
        <w:t> </w:t>
      </w:r>
      <w:r>
        <w:rPr>
          <w:sz w:val="22"/>
        </w:rPr>
        <w:t>menopause</w:t>
      </w:r>
      <w:r>
        <w:rPr>
          <w:spacing w:val="40"/>
          <w:sz w:val="22"/>
        </w:rPr>
        <w:t> </w:t>
      </w:r>
      <w:r>
        <w:rPr>
          <w:sz w:val="22"/>
        </w:rPr>
        <w:t>in women without HRT: a prospective study. </w:t>
      </w:r>
      <w:r>
        <w:rPr>
          <w:i/>
          <w:sz w:val="22"/>
        </w:rPr>
        <w:t>Maturitas</w:t>
      </w:r>
      <w:r>
        <w:rPr>
          <w:sz w:val="22"/>
        </w:rPr>
        <w:t>. 2003;45:159.</w:t>
      </w:r>
    </w:p>
    <w:p>
      <w:pPr>
        <w:pStyle w:val="ListParagraph"/>
        <w:numPr>
          <w:ilvl w:val="0"/>
          <w:numId w:val="8"/>
        </w:numPr>
        <w:tabs>
          <w:tab w:pos="699" w:val="left" w:leader="none"/>
          <w:tab w:pos="718" w:val="left" w:leader="none"/>
        </w:tabs>
        <w:spacing w:line="256" w:lineRule="auto" w:before="0" w:after="0"/>
        <w:ind w:left="718" w:right="106" w:hanging="405"/>
        <w:jc w:val="both"/>
        <w:rPr>
          <w:sz w:val="22"/>
        </w:rPr>
      </w:pPr>
      <w:r>
        <w:rPr>
          <w:sz w:val="22"/>
        </w:rPr>
        <w:t>Ettinger B. Prevention of osteoporosis: treatment of estradiol deficiency. </w:t>
      </w:r>
      <w:r>
        <w:rPr>
          <w:i/>
          <w:sz w:val="22"/>
        </w:rPr>
        <w:t>Obstet Gynecol</w:t>
      </w:r>
      <w:r>
        <w:rPr>
          <w:sz w:val="22"/>
        </w:rPr>
        <w:t>. </w:t>
      </w:r>
      <w:r>
        <w:rPr>
          <w:spacing w:val="-2"/>
          <w:sz w:val="22"/>
        </w:rPr>
        <w:t>1988;72:125.</w:t>
      </w:r>
    </w:p>
    <w:p>
      <w:pPr>
        <w:pStyle w:val="ListParagraph"/>
        <w:numPr>
          <w:ilvl w:val="0"/>
          <w:numId w:val="8"/>
        </w:numPr>
        <w:tabs>
          <w:tab w:pos="699" w:val="left" w:leader="none"/>
        </w:tabs>
        <w:spacing w:line="252" w:lineRule="exact" w:before="0" w:after="0"/>
        <w:ind w:left="699" w:right="0" w:hanging="386"/>
        <w:jc w:val="both"/>
        <w:rPr>
          <w:sz w:val="22"/>
        </w:rPr>
      </w:pPr>
      <w:r>
        <w:rPr>
          <w:sz w:val="22"/>
        </w:rPr>
        <w:t>Lindsay</w:t>
      </w:r>
      <w:r>
        <w:rPr>
          <w:spacing w:val="13"/>
          <w:sz w:val="22"/>
        </w:rPr>
        <w:t> </w:t>
      </w:r>
      <w:r>
        <w:rPr>
          <w:sz w:val="22"/>
        </w:rPr>
        <w:t>R.</w:t>
      </w:r>
      <w:r>
        <w:rPr>
          <w:spacing w:val="13"/>
          <w:sz w:val="22"/>
        </w:rPr>
        <w:t> </w:t>
      </w:r>
      <w:r>
        <w:rPr>
          <w:sz w:val="22"/>
        </w:rPr>
        <w:t>Prevention</w:t>
      </w:r>
      <w:r>
        <w:rPr>
          <w:spacing w:val="14"/>
          <w:sz w:val="22"/>
        </w:rPr>
        <w:t> </w:t>
      </w:r>
      <w:r>
        <w:rPr>
          <w:sz w:val="22"/>
        </w:rPr>
        <w:t>and</w:t>
      </w:r>
      <w:r>
        <w:rPr>
          <w:spacing w:val="13"/>
          <w:sz w:val="22"/>
        </w:rPr>
        <w:t> </w:t>
      </w:r>
      <w:r>
        <w:rPr>
          <w:sz w:val="22"/>
        </w:rPr>
        <w:t>treatment</w:t>
      </w:r>
      <w:r>
        <w:rPr>
          <w:spacing w:val="13"/>
          <w:sz w:val="22"/>
        </w:rPr>
        <w:t> </w:t>
      </w:r>
      <w:r>
        <w:rPr>
          <w:sz w:val="22"/>
        </w:rPr>
        <w:t>of</w:t>
      </w:r>
      <w:r>
        <w:rPr>
          <w:spacing w:val="14"/>
          <w:sz w:val="22"/>
        </w:rPr>
        <w:t> </w:t>
      </w:r>
      <w:r>
        <w:rPr>
          <w:sz w:val="22"/>
        </w:rPr>
        <w:t>osteoporosis.</w:t>
      </w:r>
      <w:r>
        <w:rPr>
          <w:spacing w:val="13"/>
          <w:sz w:val="22"/>
        </w:rPr>
        <w:t> </w:t>
      </w:r>
      <w:r>
        <w:rPr>
          <w:i/>
          <w:sz w:val="22"/>
        </w:rPr>
        <w:t>Lancet</w:t>
      </w:r>
      <w:r>
        <w:rPr>
          <w:sz w:val="22"/>
        </w:rPr>
        <w:t>.</w:t>
      </w:r>
      <w:r>
        <w:rPr>
          <w:spacing w:val="14"/>
          <w:sz w:val="22"/>
        </w:rPr>
        <w:t> </w:t>
      </w:r>
      <w:r>
        <w:rPr>
          <w:spacing w:val="-2"/>
          <w:sz w:val="22"/>
        </w:rPr>
        <w:t>1993;341:801.</w:t>
      </w:r>
    </w:p>
    <w:p>
      <w:pPr>
        <w:pStyle w:val="ListParagraph"/>
        <w:numPr>
          <w:ilvl w:val="0"/>
          <w:numId w:val="8"/>
        </w:numPr>
        <w:tabs>
          <w:tab w:pos="699" w:val="left" w:leader="none"/>
          <w:tab w:pos="718" w:val="left" w:leader="none"/>
        </w:tabs>
        <w:spacing w:line="256" w:lineRule="auto" w:before="0" w:after="0"/>
        <w:ind w:left="718" w:right="98" w:hanging="405"/>
        <w:jc w:val="left"/>
        <w:rPr>
          <w:sz w:val="22"/>
        </w:rPr>
      </w:pPr>
      <w:r>
        <w:rPr>
          <w:sz w:val="22"/>
        </w:rPr>
        <w:t>Manolagas</w:t>
      </w:r>
      <w:r>
        <w:rPr>
          <w:spacing w:val="26"/>
          <w:sz w:val="22"/>
        </w:rPr>
        <w:t> </w:t>
      </w:r>
      <w:r>
        <w:rPr>
          <w:sz w:val="22"/>
        </w:rPr>
        <w:t>SC.</w:t>
      </w:r>
      <w:r>
        <w:rPr>
          <w:spacing w:val="26"/>
          <w:sz w:val="22"/>
        </w:rPr>
        <w:t> </w:t>
      </w:r>
      <w:r>
        <w:rPr>
          <w:sz w:val="22"/>
        </w:rPr>
        <w:t>Birth</w:t>
      </w:r>
      <w:r>
        <w:rPr>
          <w:spacing w:val="34"/>
          <w:sz w:val="22"/>
        </w:rPr>
        <w:t> </w:t>
      </w:r>
      <w:r>
        <w:rPr>
          <w:sz w:val="22"/>
        </w:rPr>
        <w:t>and</w:t>
      </w:r>
      <w:r>
        <w:rPr>
          <w:spacing w:val="34"/>
          <w:sz w:val="22"/>
        </w:rPr>
        <w:t> </w:t>
      </w:r>
      <w:r>
        <w:rPr>
          <w:sz w:val="22"/>
        </w:rPr>
        <w:t>death</w:t>
      </w:r>
      <w:r>
        <w:rPr>
          <w:spacing w:val="34"/>
          <w:sz w:val="22"/>
        </w:rPr>
        <w:t> </w:t>
      </w:r>
      <w:r>
        <w:rPr>
          <w:sz w:val="22"/>
        </w:rPr>
        <w:t>of</w:t>
      </w:r>
      <w:r>
        <w:rPr>
          <w:spacing w:val="34"/>
          <w:sz w:val="22"/>
        </w:rPr>
        <w:t> </w:t>
      </w:r>
      <w:r>
        <w:rPr>
          <w:sz w:val="22"/>
        </w:rPr>
        <w:t>bone</w:t>
      </w:r>
      <w:r>
        <w:rPr>
          <w:spacing w:val="34"/>
          <w:sz w:val="22"/>
        </w:rPr>
        <w:t> </w:t>
      </w:r>
      <w:r>
        <w:rPr>
          <w:sz w:val="22"/>
        </w:rPr>
        <w:t>cells:</w:t>
      </w:r>
      <w:r>
        <w:rPr>
          <w:spacing w:val="34"/>
          <w:sz w:val="22"/>
        </w:rPr>
        <w:t> </w:t>
      </w:r>
      <w:r>
        <w:rPr>
          <w:sz w:val="22"/>
        </w:rPr>
        <w:t>basic</w:t>
      </w:r>
      <w:r>
        <w:rPr>
          <w:spacing w:val="34"/>
          <w:sz w:val="22"/>
        </w:rPr>
        <w:t> </w:t>
      </w:r>
      <w:r>
        <w:rPr>
          <w:sz w:val="22"/>
        </w:rPr>
        <w:t>regulatory</w:t>
      </w:r>
      <w:r>
        <w:rPr>
          <w:spacing w:val="34"/>
          <w:sz w:val="22"/>
        </w:rPr>
        <w:t> </w:t>
      </w:r>
      <w:r>
        <w:rPr>
          <w:sz w:val="22"/>
        </w:rPr>
        <w:t>mechanisms</w:t>
      </w:r>
      <w:r>
        <w:rPr>
          <w:spacing w:val="34"/>
          <w:sz w:val="22"/>
        </w:rPr>
        <w:t> </w:t>
      </w:r>
      <w:r>
        <w:rPr>
          <w:sz w:val="22"/>
        </w:rPr>
        <w:t>and</w:t>
      </w:r>
      <w:r>
        <w:rPr>
          <w:spacing w:val="34"/>
          <w:sz w:val="22"/>
        </w:rPr>
        <w:t> </w:t>
      </w:r>
      <w:r>
        <w:rPr>
          <w:sz w:val="22"/>
        </w:rPr>
        <w:t>implications for the pathogenesis and treatment of osteoporosis. </w:t>
      </w:r>
      <w:r>
        <w:rPr>
          <w:i/>
          <w:sz w:val="22"/>
        </w:rPr>
        <w:t>Endocr Rev</w:t>
      </w:r>
      <w:r>
        <w:rPr>
          <w:sz w:val="22"/>
        </w:rPr>
        <w:t>. 2000;21:115.</w:t>
      </w:r>
    </w:p>
    <w:p>
      <w:pPr>
        <w:pStyle w:val="ListParagraph"/>
        <w:numPr>
          <w:ilvl w:val="0"/>
          <w:numId w:val="8"/>
        </w:numPr>
        <w:tabs>
          <w:tab w:pos="699" w:val="left" w:leader="none"/>
          <w:tab w:pos="718" w:val="left" w:leader="none"/>
        </w:tabs>
        <w:spacing w:line="256" w:lineRule="auto" w:before="0" w:after="0"/>
        <w:ind w:left="718" w:right="100" w:hanging="405"/>
        <w:jc w:val="left"/>
        <w:rPr>
          <w:sz w:val="22"/>
        </w:rPr>
      </w:pPr>
      <w:r>
        <w:rPr>
          <w:sz w:val="22"/>
        </w:rPr>
        <w:t>Manolagas</w:t>
      </w:r>
      <w:r>
        <w:rPr>
          <w:spacing w:val="79"/>
          <w:sz w:val="22"/>
        </w:rPr>
        <w:t> </w:t>
      </w:r>
      <w:r>
        <w:rPr>
          <w:sz w:val="22"/>
        </w:rPr>
        <w:t>SC,</w:t>
      </w:r>
      <w:r>
        <w:rPr>
          <w:spacing w:val="79"/>
          <w:sz w:val="22"/>
        </w:rPr>
        <w:t> </w:t>
      </w:r>
      <w:r>
        <w:rPr>
          <w:sz w:val="22"/>
        </w:rPr>
        <w:t>Kousteni</w:t>
      </w:r>
      <w:r>
        <w:rPr>
          <w:spacing w:val="79"/>
          <w:sz w:val="22"/>
        </w:rPr>
        <w:t> </w:t>
      </w:r>
      <w:r>
        <w:rPr>
          <w:sz w:val="22"/>
        </w:rPr>
        <w:t>S,</w:t>
      </w:r>
      <w:r>
        <w:rPr>
          <w:spacing w:val="79"/>
          <w:sz w:val="22"/>
        </w:rPr>
        <w:t> </w:t>
      </w:r>
      <w:r>
        <w:rPr>
          <w:sz w:val="22"/>
        </w:rPr>
        <w:t>Jilka</w:t>
      </w:r>
      <w:r>
        <w:rPr>
          <w:spacing w:val="79"/>
          <w:sz w:val="22"/>
        </w:rPr>
        <w:t> </w:t>
      </w:r>
      <w:r>
        <w:rPr>
          <w:sz w:val="22"/>
        </w:rPr>
        <w:t>RL.</w:t>
      </w:r>
      <w:r>
        <w:rPr>
          <w:spacing w:val="79"/>
          <w:sz w:val="22"/>
        </w:rPr>
        <w:t> </w:t>
      </w:r>
      <w:r>
        <w:rPr>
          <w:sz w:val="22"/>
        </w:rPr>
        <w:t>Sex</w:t>
      </w:r>
      <w:r>
        <w:rPr>
          <w:spacing w:val="80"/>
          <w:sz w:val="22"/>
        </w:rPr>
        <w:t> </w:t>
      </w:r>
      <w:r>
        <w:rPr>
          <w:sz w:val="22"/>
        </w:rPr>
        <w:t>steroids</w:t>
      </w:r>
      <w:r>
        <w:rPr>
          <w:spacing w:val="80"/>
          <w:sz w:val="22"/>
        </w:rPr>
        <w:t> </w:t>
      </w:r>
      <w:r>
        <w:rPr>
          <w:sz w:val="22"/>
        </w:rPr>
        <w:t>and</w:t>
      </w:r>
      <w:r>
        <w:rPr>
          <w:spacing w:val="80"/>
          <w:sz w:val="22"/>
        </w:rPr>
        <w:t> </w:t>
      </w:r>
      <w:r>
        <w:rPr>
          <w:sz w:val="22"/>
        </w:rPr>
        <w:t>bone.</w:t>
      </w:r>
      <w:r>
        <w:rPr>
          <w:spacing w:val="80"/>
          <w:sz w:val="22"/>
        </w:rPr>
        <w:t> </w:t>
      </w:r>
      <w:r>
        <w:rPr>
          <w:i/>
          <w:sz w:val="22"/>
        </w:rPr>
        <w:t>Recent</w:t>
      </w:r>
      <w:r>
        <w:rPr>
          <w:i/>
          <w:spacing w:val="80"/>
          <w:sz w:val="22"/>
        </w:rPr>
        <w:t> </w:t>
      </w:r>
      <w:r>
        <w:rPr>
          <w:i/>
          <w:sz w:val="22"/>
        </w:rPr>
        <w:t>Prog</w:t>
      </w:r>
      <w:r>
        <w:rPr>
          <w:i/>
          <w:spacing w:val="80"/>
          <w:sz w:val="22"/>
        </w:rPr>
        <w:t> </w:t>
      </w:r>
      <w:r>
        <w:rPr>
          <w:i/>
          <w:sz w:val="22"/>
        </w:rPr>
        <w:t>Horm</w:t>
      </w:r>
      <w:r>
        <w:rPr>
          <w:i/>
          <w:spacing w:val="80"/>
          <w:sz w:val="22"/>
        </w:rPr>
        <w:t> </w:t>
      </w:r>
      <w:r>
        <w:rPr>
          <w:i/>
          <w:sz w:val="22"/>
        </w:rPr>
        <w:t>Res</w:t>
      </w:r>
      <w:r>
        <w:rPr>
          <w:sz w:val="22"/>
        </w:rPr>
        <w:t>. </w:t>
      </w:r>
      <w:r>
        <w:rPr>
          <w:spacing w:val="-2"/>
          <w:sz w:val="22"/>
        </w:rPr>
        <w:t>2002;57:385.</w:t>
      </w:r>
    </w:p>
    <w:p>
      <w:pPr>
        <w:pStyle w:val="ListParagraph"/>
        <w:numPr>
          <w:ilvl w:val="0"/>
          <w:numId w:val="8"/>
        </w:numPr>
        <w:tabs>
          <w:tab w:pos="699" w:val="left" w:leader="none"/>
        </w:tabs>
        <w:spacing w:line="252" w:lineRule="exact" w:before="0" w:after="0"/>
        <w:ind w:left="699" w:right="0" w:hanging="386"/>
        <w:jc w:val="left"/>
        <w:rPr>
          <w:sz w:val="22"/>
        </w:rPr>
      </w:pPr>
      <w:r>
        <w:rPr>
          <w:sz w:val="22"/>
        </w:rPr>
        <w:t>Pacifici</w:t>
      </w:r>
      <w:r>
        <w:rPr>
          <w:spacing w:val="79"/>
          <w:w w:val="150"/>
          <w:sz w:val="22"/>
        </w:rPr>
        <w:t> </w:t>
      </w:r>
      <w:r>
        <w:rPr>
          <w:sz w:val="22"/>
        </w:rPr>
        <w:t>R.</w:t>
      </w:r>
      <w:r>
        <w:rPr>
          <w:spacing w:val="26"/>
          <w:sz w:val="22"/>
        </w:rPr>
        <w:t>  </w:t>
      </w:r>
      <w:r>
        <w:rPr>
          <w:sz w:val="22"/>
        </w:rPr>
        <w:t>Cytokines,</w:t>
      </w:r>
      <w:r>
        <w:rPr>
          <w:spacing w:val="26"/>
          <w:sz w:val="22"/>
        </w:rPr>
        <w:t>  </w:t>
      </w:r>
      <w:r>
        <w:rPr>
          <w:sz w:val="22"/>
        </w:rPr>
        <w:t>estrogen,</w:t>
      </w:r>
      <w:r>
        <w:rPr>
          <w:spacing w:val="27"/>
          <w:sz w:val="22"/>
        </w:rPr>
        <w:t>  </w:t>
      </w:r>
      <w:r>
        <w:rPr>
          <w:sz w:val="22"/>
        </w:rPr>
        <w:t>and</w:t>
      </w:r>
      <w:r>
        <w:rPr>
          <w:spacing w:val="79"/>
          <w:w w:val="150"/>
          <w:sz w:val="22"/>
        </w:rPr>
        <w:t> </w:t>
      </w:r>
      <w:r>
        <w:rPr>
          <w:sz w:val="22"/>
        </w:rPr>
        <w:t>postmenopausal</w:t>
      </w:r>
      <w:r>
        <w:rPr>
          <w:spacing w:val="26"/>
          <w:sz w:val="22"/>
        </w:rPr>
        <w:t>  </w:t>
      </w:r>
      <w:r>
        <w:rPr>
          <w:sz w:val="22"/>
        </w:rPr>
        <w:t>osteoporosis—the</w:t>
      </w:r>
      <w:r>
        <w:rPr>
          <w:spacing w:val="26"/>
          <w:sz w:val="22"/>
        </w:rPr>
        <w:t>  </w:t>
      </w:r>
      <w:r>
        <w:rPr>
          <w:sz w:val="22"/>
        </w:rPr>
        <w:t>second</w:t>
      </w:r>
      <w:r>
        <w:rPr>
          <w:spacing w:val="27"/>
          <w:sz w:val="22"/>
        </w:rPr>
        <w:t>  </w:t>
      </w:r>
      <w:r>
        <w:rPr>
          <w:spacing w:val="-2"/>
          <w:sz w:val="22"/>
        </w:rPr>
        <w:t>decade.</w:t>
      </w:r>
    </w:p>
    <w:p>
      <w:pPr>
        <w:spacing w:before="10"/>
        <w:ind w:left="718" w:right="0" w:firstLine="0"/>
        <w:jc w:val="left"/>
        <w:rPr>
          <w:sz w:val="22"/>
        </w:rPr>
      </w:pPr>
      <w:r>
        <w:rPr>
          <w:i/>
          <w:sz w:val="22"/>
        </w:rPr>
        <w:t>Endocrinology</w:t>
      </w:r>
      <w:r>
        <w:rPr>
          <w:sz w:val="22"/>
        </w:rPr>
        <w:t>.</w:t>
      </w:r>
      <w:r>
        <w:rPr>
          <w:spacing w:val="27"/>
          <w:sz w:val="22"/>
        </w:rPr>
        <w:t> </w:t>
      </w:r>
      <w:r>
        <w:rPr>
          <w:spacing w:val="-2"/>
          <w:sz w:val="22"/>
        </w:rPr>
        <w:t>1998;130:2659.</w:t>
      </w:r>
    </w:p>
    <w:p>
      <w:pPr>
        <w:pStyle w:val="ListParagraph"/>
        <w:numPr>
          <w:ilvl w:val="0"/>
          <w:numId w:val="8"/>
        </w:numPr>
        <w:tabs>
          <w:tab w:pos="699" w:val="left" w:leader="none"/>
          <w:tab w:pos="718" w:val="left" w:leader="none"/>
        </w:tabs>
        <w:spacing w:line="256" w:lineRule="auto" w:before="17" w:after="0"/>
        <w:ind w:left="718" w:right="112" w:hanging="405"/>
        <w:jc w:val="left"/>
        <w:rPr>
          <w:sz w:val="22"/>
        </w:rPr>
      </w:pPr>
      <w:r>
        <w:rPr>
          <w:sz w:val="22"/>
        </w:rPr>
        <w:t>Canalis</w:t>
      </w:r>
      <w:r>
        <w:rPr>
          <w:spacing w:val="40"/>
          <w:sz w:val="22"/>
        </w:rPr>
        <w:t> </w:t>
      </w:r>
      <w:r>
        <w:rPr>
          <w:sz w:val="22"/>
        </w:rPr>
        <w:t>E,</w:t>
      </w:r>
      <w:r>
        <w:rPr>
          <w:spacing w:val="40"/>
          <w:sz w:val="22"/>
        </w:rPr>
        <w:t> </w:t>
      </w:r>
      <w:r>
        <w:rPr>
          <w:sz w:val="22"/>
        </w:rPr>
        <w:t>Giustina</w:t>
      </w:r>
      <w:r>
        <w:rPr>
          <w:spacing w:val="40"/>
          <w:sz w:val="22"/>
        </w:rPr>
        <w:t> </w:t>
      </w:r>
      <w:r>
        <w:rPr>
          <w:sz w:val="22"/>
        </w:rPr>
        <w:t>A,</w:t>
      </w:r>
      <w:r>
        <w:rPr>
          <w:spacing w:val="40"/>
          <w:sz w:val="22"/>
        </w:rPr>
        <w:t> </w:t>
      </w:r>
      <w:r>
        <w:rPr>
          <w:sz w:val="22"/>
        </w:rPr>
        <w:t>Bilezikian</w:t>
      </w:r>
      <w:r>
        <w:rPr>
          <w:spacing w:val="40"/>
          <w:sz w:val="22"/>
        </w:rPr>
        <w:t> </w:t>
      </w:r>
      <w:r>
        <w:rPr>
          <w:sz w:val="22"/>
        </w:rPr>
        <w:t>JP.</w:t>
      </w:r>
      <w:r>
        <w:rPr>
          <w:spacing w:val="40"/>
          <w:sz w:val="22"/>
        </w:rPr>
        <w:t> </w:t>
      </w:r>
      <w:r>
        <w:rPr>
          <w:sz w:val="22"/>
        </w:rPr>
        <w:t>Mechanisms</w:t>
      </w:r>
      <w:r>
        <w:rPr>
          <w:spacing w:val="40"/>
          <w:sz w:val="22"/>
        </w:rPr>
        <w:t> </w:t>
      </w:r>
      <w:r>
        <w:rPr>
          <w:sz w:val="22"/>
        </w:rPr>
        <w:t>of</w:t>
      </w:r>
      <w:r>
        <w:rPr>
          <w:spacing w:val="40"/>
          <w:sz w:val="22"/>
        </w:rPr>
        <w:t> </w:t>
      </w:r>
      <w:r>
        <w:rPr>
          <w:sz w:val="22"/>
        </w:rPr>
        <w:t>anabolic</w:t>
      </w:r>
      <w:r>
        <w:rPr>
          <w:spacing w:val="40"/>
          <w:sz w:val="22"/>
        </w:rPr>
        <w:t> </w:t>
      </w:r>
      <w:r>
        <w:rPr>
          <w:sz w:val="22"/>
        </w:rPr>
        <w:t>therapies</w:t>
      </w:r>
      <w:r>
        <w:rPr>
          <w:spacing w:val="40"/>
          <w:sz w:val="22"/>
        </w:rPr>
        <w:t> </w:t>
      </w:r>
      <w:r>
        <w:rPr>
          <w:sz w:val="22"/>
        </w:rPr>
        <w:t>for</w:t>
      </w:r>
      <w:r>
        <w:rPr>
          <w:spacing w:val="40"/>
          <w:sz w:val="22"/>
        </w:rPr>
        <w:t> </w:t>
      </w:r>
      <w:r>
        <w:rPr>
          <w:sz w:val="22"/>
        </w:rPr>
        <w:t>osteoporosis.</w:t>
      </w:r>
      <w:r>
        <w:rPr>
          <w:spacing w:val="40"/>
          <w:sz w:val="22"/>
        </w:rPr>
        <w:t> </w:t>
      </w:r>
      <w:r>
        <w:rPr>
          <w:i/>
          <w:sz w:val="22"/>
        </w:rPr>
        <w:t>N</w:t>
      </w:r>
      <w:r>
        <w:rPr>
          <w:i/>
          <w:sz w:val="22"/>
        </w:rPr>
        <w:t> Engl J Med</w:t>
      </w:r>
      <w:r>
        <w:rPr>
          <w:sz w:val="22"/>
        </w:rPr>
        <w:t>. 2007;357:905.</w:t>
      </w:r>
    </w:p>
    <w:p>
      <w:pPr>
        <w:pStyle w:val="ListParagraph"/>
        <w:spacing w:after="0" w:line="256" w:lineRule="auto"/>
        <w:jc w:val="left"/>
        <w:rPr>
          <w:sz w:val="22"/>
        </w:rPr>
        <w:sectPr>
          <w:pgSz w:w="12240" w:h="15840"/>
          <w:pgMar w:top="1360" w:bottom="280" w:left="1440" w:right="1440"/>
        </w:sectPr>
      </w:pPr>
    </w:p>
    <w:p>
      <w:pPr>
        <w:pStyle w:val="ListParagraph"/>
        <w:numPr>
          <w:ilvl w:val="0"/>
          <w:numId w:val="8"/>
        </w:numPr>
        <w:tabs>
          <w:tab w:pos="699" w:val="left" w:leader="none"/>
          <w:tab w:pos="718" w:val="left" w:leader="none"/>
        </w:tabs>
        <w:spacing w:line="256" w:lineRule="auto" w:before="84" w:after="0"/>
        <w:ind w:left="718" w:right="104" w:hanging="405"/>
        <w:jc w:val="both"/>
        <w:rPr>
          <w:sz w:val="22"/>
        </w:rPr>
      </w:pPr>
      <w:r>
        <w:rPr>
          <w:sz w:val="22"/>
        </w:rPr>
        <w:t>Hofbauer LC, Khosla S, Dunstan CR, Lacey DL, Boyle WJ, Riggs BL. The roles </w:t>
      </w:r>
      <w:r>
        <w:rPr>
          <w:sz w:val="22"/>
        </w:rPr>
        <w:t>of osteoprotegerin and osteoprotegerin ligand in the paracrine regulation of bone resorption. </w:t>
      </w:r>
      <w:r>
        <w:rPr>
          <w:i/>
          <w:sz w:val="22"/>
        </w:rPr>
        <w:t>J</w:t>
      </w:r>
      <w:r>
        <w:rPr>
          <w:i/>
          <w:spacing w:val="80"/>
          <w:sz w:val="22"/>
        </w:rPr>
        <w:t> </w:t>
      </w:r>
      <w:r>
        <w:rPr>
          <w:i/>
          <w:sz w:val="22"/>
        </w:rPr>
        <w:t>Bone Miner Res</w:t>
      </w:r>
      <w:r>
        <w:rPr>
          <w:sz w:val="22"/>
        </w:rPr>
        <w:t>. 2000;15:2.</w:t>
      </w:r>
    </w:p>
    <w:p>
      <w:pPr>
        <w:pStyle w:val="ListParagraph"/>
        <w:numPr>
          <w:ilvl w:val="0"/>
          <w:numId w:val="8"/>
        </w:numPr>
        <w:tabs>
          <w:tab w:pos="699" w:val="left" w:leader="none"/>
          <w:tab w:pos="718" w:val="left" w:leader="none"/>
        </w:tabs>
        <w:spacing w:line="256" w:lineRule="auto" w:before="0" w:after="0"/>
        <w:ind w:left="718" w:right="103" w:hanging="405"/>
        <w:jc w:val="both"/>
        <w:rPr>
          <w:sz w:val="22"/>
        </w:rPr>
      </w:pPr>
      <w:r>
        <w:rPr>
          <w:sz w:val="22"/>
        </w:rPr>
        <w:t>Liel Y, Kraus S, Levy J, Shany S. Evidence that estrogens modulate activity and increase the number of 1,25-dihydroxyvitamin D receptors in osteoblast-like cells (ROS </w:t>
      </w:r>
      <w:r>
        <w:rPr>
          <w:sz w:val="22"/>
        </w:rPr>
        <w:t>17/2.8). </w:t>
      </w:r>
      <w:r>
        <w:rPr>
          <w:i/>
          <w:sz w:val="22"/>
        </w:rPr>
        <w:t>Endocrinology</w:t>
      </w:r>
      <w:r>
        <w:rPr>
          <w:sz w:val="22"/>
        </w:rPr>
        <w:t>. 1992;130:2597.</w:t>
      </w:r>
    </w:p>
    <w:p>
      <w:pPr>
        <w:pStyle w:val="ListParagraph"/>
        <w:numPr>
          <w:ilvl w:val="0"/>
          <w:numId w:val="8"/>
        </w:numPr>
        <w:tabs>
          <w:tab w:pos="699" w:val="left" w:leader="none"/>
        </w:tabs>
        <w:spacing w:line="251" w:lineRule="exact" w:before="0" w:after="0"/>
        <w:ind w:left="699" w:right="0" w:hanging="386"/>
        <w:jc w:val="both"/>
        <w:rPr>
          <w:sz w:val="22"/>
        </w:rPr>
      </w:pPr>
      <w:r>
        <w:rPr>
          <w:sz w:val="22"/>
        </w:rPr>
        <w:t>Prince</w:t>
      </w:r>
      <w:r>
        <w:rPr>
          <w:spacing w:val="27"/>
          <w:sz w:val="22"/>
        </w:rPr>
        <w:t> </w:t>
      </w:r>
      <w:r>
        <w:rPr>
          <w:sz w:val="22"/>
        </w:rPr>
        <w:t>RL.</w:t>
      </w:r>
      <w:r>
        <w:rPr>
          <w:spacing w:val="28"/>
          <w:sz w:val="22"/>
        </w:rPr>
        <w:t> </w:t>
      </w:r>
      <w:r>
        <w:rPr>
          <w:sz w:val="22"/>
        </w:rPr>
        <w:t>Counterpoint:</w:t>
      </w:r>
      <w:r>
        <w:rPr>
          <w:spacing w:val="35"/>
          <w:sz w:val="22"/>
        </w:rPr>
        <w:t> </w:t>
      </w:r>
      <w:r>
        <w:rPr>
          <w:sz w:val="22"/>
        </w:rPr>
        <w:t>estrogen</w:t>
      </w:r>
      <w:r>
        <w:rPr>
          <w:spacing w:val="36"/>
          <w:sz w:val="22"/>
        </w:rPr>
        <w:t> </w:t>
      </w:r>
      <w:r>
        <w:rPr>
          <w:sz w:val="22"/>
        </w:rPr>
        <w:t>effects</w:t>
      </w:r>
      <w:r>
        <w:rPr>
          <w:spacing w:val="36"/>
          <w:sz w:val="22"/>
        </w:rPr>
        <w:t> </w:t>
      </w:r>
      <w:r>
        <w:rPr>
          <w:sz w:val="22"/>
        </w:rPr>
        <w:t>on</w:t>
      </w:r>
      <w:r>
        <w:rPr>
          <w:spacing w:val="35"/>
          <w:sz w:val="22"/>
        </w:rPr>
        <w:t> </w:t>
      </w:r>
      <w:r>
        <w:rPr>
          <w:sz w:val="22"/>
        </w:rPr>
        <w:t>calcitropic</w:t>
      </w:r>
      <w:r>
        <w:rPr>
          <w:spacing w:val="36"/>
          <w:sz w:val="22"/>
        </w:rPr>
        <w:t> </w:t>
      </w:r>
      <w:r>
        <w:rPr>
          <w:sz w:val="22"/>
        </w:rPr>
        <w:t>hormones</w:t>
      </w:r>
      <w:r>
        <w:rPr>
          <w:spacing w:val="36"/>
          <w:sz w:val="22"/>
        </w:rPr>
        <w:t> </w:t>
      </w:r>
      <w:r>
        <w:rPr>
          <w:sz w:val="22"/>
        </w:rPr>
        <w:t>and</w:t>
      </w:r>
      <w:r>
        <w:rPr>
          <w:spacing w:val="35"/>
          <w:sz w:val="22"/>
        </w:rPr>
        <w:t> </w:t>
      </w:r>
      <w:r>
        <w:rPr>
          <w:sz w:val="22"/>
        </w:rPr>
        <w:t>calcium</w:t>
      </w:r>
      <w:r>
        <w:rPr>
          <w:spacing w:val="36"/>
          <w:sz w:val="22"/>
        </w:rPr>
        <w:t> </w:t>
      </w:r>
      <w:r>
        <w:rPr>
          <w:spacing w:val="-2"/>
          <w:sz w:val="22"/>
        </w:rPr>
        <w:t>homeostasis.</w:t>
      </w:r>
    </w:p>
    <w:p>
      <w:pPr>
        <w:spacing w:before="15"/>
        <w:ind w:left="718" w:right="0" w:firstLine="0"/>
        <w:jc w:val="both"/>
        <w:rPr>
          <w:sz w:val="22"/>
        </w:rPr>
      </w:pPr>
      <w:r>
        <w:rPr>
          <w:i/>
          <w:sz w:val="22"/>
        </w:rPr>
        <w:t>Endocr</w:t>
      </w:r>
      <w:r>
        <w:rPr>
          <w:i/>
          <w:spacing w:val="10"/>
          <w:sz w:val="22"/>
        </w:rPr>
        <w:t> </w:t>
      </w:r>
      <w:r>
        <w:rPr>
          <w:i/>
          <w:sz w:val="22"/>
        </w:rPr>
        <w:t>Rev</w:t>
      </w:r>
      <w:r>
        <w:rPr>
          <w:sz w:val="22"/>
        </w:rPr>
        <w:t>.</w:t>
      </w:r>
      <w:r>
        <w:rPr>
          <w:spacing w:val="11"/>
          <w:sz w:val="22"/>
        </w:rPr>
        <w:t> </w:t>
      </w:r>
      <w:r>
        <w:rPr>
          <w:spacing w:val="-2"/>
          <w:sz w:val="22"/>
        </w:rPr>
        <w:t>1994;15:301.</w:t>
      </w:r>
    </w:p>
    <w:p>
      <w:pPr>
        <w:pStyle w:val="ListParagraph"/>
        <w:numPr>
          <w:ilvl w:val="0"/>
          <w:numId w:val="8"/>
        </w:numPr>
        <w:tabs>
          <w:tab w:pos="699" w:val="left" w:leader="none"/>
          <w:tab w:pos="718" w:val="left" w:leader="none"/>
        </w:tabs>
        <w:spacing w:line="256" w:lineRule="auto" w:before="17" w:after="0"/>
        <w:ind w:left="718" w:right="99" w:hanging="405"/>
        <w:jc w:val="both"/>
        <w:rPr>
          <w:sz w:val="22"/>
        </w:rPr>
      </w:pPr>
      <w:r>
        <w:rPr>
          <w:sz w:val="22"/>
        </w:rPr>
        <w:t>Smith EP, Boyd J, Frank GR, et al. Estrogen resistance caused by a mutation in the </w:t>
      </w:r>
      <w:r>
        <w:rPr>
          <w:sz w:val="22"/>
        </w:rPr>
        <w:t>estrogen-receptor gene in a man. </w:t>
      </w:r>
      <w:r>
        <w:rPr>
          <w:i/>
          <w:sz w:val="22"/>
        </w:rPr>
        <w:t>N Engl J Med</w:t>
      </w:r>
      <w:r>
        <w:rPr>
          <w:sz w:val="22"/>
        </w:rPr>
        <w:t>. 1994;331:1056.</w:t>
      </w:r>
    </w:p>
    <w:p>
      <w:pPr>
        <w:pStyle w:val="ListParagraph"/>
        <w:numPr>
          <w:ilvl w:val="0"/>
          <w:numId w:val="8"/>
        </w:numPr>
        <w:tabs>
          <w:tab w:pos="699" w:val="left" w:leader="none"/>
          <w:tab w:pos="718" w:val="left" w:leader="none"/>
        </w:tabs>
        <w:spacing w:line="256" w:lineRule="auto" w:before="0" w:after="0"/>
        <w:ind w:left="718" w:right="110" w:hanging="405"/>
        <w:jc w:val="both"/>
        <w:rPr>
          <w:sz w:val="22"/>
        </w:rPr>
      </w:pPr>
      <w:r>
        <w:rPr>
          <w:sz w:val="22"/>
        </w:rPr>
        <w:t>Carani C, Qin K, Simoni M, et al. Effect of testosterone and estradiol in a man with aromatase deficiency. </w:t>
      </w:r>
      <w:r>
        <w:rPr>
          <w:i/>
          <w:sz w:val="22"/>
        </w:rPr>
        <w:t>N Engl J Med</w:t>
      </w:r>
      <w:r>
        <w:rPr>
          <w:sz w:val="22"/>
        </w:rPr>
        <w:t>. 1997;337:91.</w:t>
      </w:r>
    </w:p>
    <w:p>
      <w:pPr>
        <w:pStyle w:val="ListParagraph"/>
        <w:numPr>
          <w:ilvl w:val="0"/>
          <w:numId w:val="8"/>
        </w:numPr>
        <w:tabs>
          <w:tab w:pos="699" w:val="left" w:leader="none"/>
          <w:tab w:pos="718" w:val="left" w:leader="none"/>
        </w:tabs>
        <w:spacing w:line="256" w:lineRule="auto" w:before="0" w:after="0"/>
        <w:ind w:left="718" w:right="103" w:hanging="405"/>
        <w:jc w:val="both"/>
        <w:rPr>
          <w:sz w:val="22"/>
        </w:rPr>
      </w:pPr>
      <w:r>
        <w:rPr>
          <w:sz w:val="22"/>
        </w:rPr>
        <w:t>Khosla S, Melton LJ III, Atkinson EJ, O’Fallon WM, Klee GG, Riggs BL. Relationship </w:t>
      </w:r>
      <w:r>
        <w:rPr>
          <w:sz w:val="22"/>
        </w:rPr>
        <w:t>of</w:t>
      </w:r>
      <w:r>
        <w:rPr>
          <w:spacing w:val="40"/>
          <w:sz w:val="22"/>
        </w:rPr>
        <w:t> </w:t>
      </w:r>
      <w:r>
        <w:rPr>
          <w:sz w:val="22"/>
        </w:rPr>
        <w:t>serum sex steroid levels and bone turnover markers with bone mineral density in men and women: a key role for bioavailable estrogen. </w:t>
      </w:r>
      <w:r>
        <w:rPr>
          <w:i/>
          <w:sz w:val="22"/>
        </w:rPr>
        <w:t>J Clin Endocrinol Metab</w:t>
      </w:r>
      <w:r>
        <w:rPr>
          <w:sz w:val="22"/>
        </w:rPr>
        <w:t>. 1998;83:2266.</w:t>
      </w:r>
    </w:p>
    <w:p>
      <w:pPr>
        <w:pStyle w:val="ListParagraph"/>
        <w:numPr>
          <w:ilvl w:val="0"/>
          <w:numId w:val="8"/>
        </w:numPr>
        <w:tabs>
          <w:tab w:pos="699" w:val="left" w:leader="none"/>
          <w:tab w:pos="718" w:val="left" w:leader="none"/>
        </w:tabs>
        <w:spacing w:line="256" w:lineRule="auto" w:before="0" w:after="0"/>
        <w:ind w:left="718" w:right="112" w:hanging="405"/>
        <w:jc w:val="both"/>
        <w:rPr>
          <w:sz w:val="22"/>
        </w:rPr>
      </w:pPr>
      <w:r>
        <w:rPr>
          <w:sz w:val="22"/>
        </w:rPr>
        <w:t>Bilezikian</w:t>
      </w:r>
      <w:r>
        <w:rPr>
          <w:spacing w:val="40"/>
          <w:sz w:val="22"/>
        </w:rPr>
        <w:t> </w:t>
      </w:r>
      <w:r>
        <w:rPr>
          <w:sz w:val="22"/>
        </w:rPr>
        <w:t>JP,</w:t>
      </w:r>
      <w:r>
        <w:rPr>
          <w:spacing w:val="40"/>
          <w:sz w:val="22"/>
        </w:rPr>
        <w:t> </w:t>
      </w:r>
      <w:r>
        <w:rPr>
          <w:sz w:val="22"/>
        </w:rPr>
        <w:t>Morishima</w:t>
      </w:r>
      <w:r>
        <w:rPr>
          <w:spacing w:val="40"/>
          <w:sz w:val="22"/>
        </w:rPr>
        <w:t> </w:t>
      </w:r>
      <w:r>
        <w:rPr>
          <w:sz w:val="22"/>
        </w:rPr>
        <w:t>A,</w:t>
      </w:r>
      <w:r>
        <w:rPr>
          <w:spacing w:val="40"/>
          <w:sz w:val="22"/>
        </w:rPr>
        <w:t> </w:t>
      </w:r>
      <w:r>
        <w:rPr>
          <w:sz w:val="22"/>
        </w:rPr>
        <w:t>Bell</w:t>
      </w:r>
      <w:r>
        <w:rPr>
          <w:spacing w:val="40"/>
          <w:sz w:val="22"/>
        </w:rPr>
        <w:t> </w:t>
      </w:r>
      <w:r>
        <w:rPr>
          <w:sz w:val="22"/>
        </w:rPr>
        <w:t>J,</w:t>
      </w:r>
      <w:r>
        <w:rPr>
          <w:spacing w:val="40"/>
          <w:sz w:val="22"/>
        </w:rPr>
        <w:t> </w:t>
      </w:r>
      <w:r>
        <w:rPr>
          <w:sz w:val="22"/>
        </w:rPr>
        <w:t>Grumbach</w:t>
      </w:r>
      <w:r>
        <w:rPr>
          <w:spacing w:val="40"/>
          <w:sz w:val="22"/>
        </w:rPr>
        <w:t> </w:t>
      </w:r>
      <w:r>
        <w:rPr>
          <w:sz w:val="22"/>
        </w:rPr>
        <w:t>MM.</w:t>
      </w:r>
      <w:r>
        <w:rPr>
          <w:spacing w:val="40"/>
          <w:sz w:val="22"/>
        </w:rPr>
        <w:t> </w:t>
      </w:r>
      <w:r>
        <w:rPr>
          <w:sz w:val="22"/>
        </w:rPr>
        <w:t>Increased</w:t>
      </w:r>
      <w:r>
        <w:rPr>
          <w:spacing w:val="40"/>
          <w:sz w:val="22"/>
        </w:rPr>
        <w:t> </w:t>
      </w:r>
      <w:r>
        <w:rPr>
          <w:sz w:val="22"/>
        </w:rPr>
        <w:t>bone</w:t>
      </w:r>
      <w:r>
        <w:rPr>
          <w:spacing w:val="40"/>
          <w:sz w:val="22"/>
        </w:rPr>
        <w:t> </w:t>
      </w:r>
      <w:r>
        <w:rPr>
          <w:sz w:val="22"/>
        </w:rPr>
        <w:t>mass</w:t>
      </w:r>
      <w:r>
        <w:rPr>
          <w:spacing w:val="40"/>
          <w:sz w:val="22"/>
        </w:rPr>
        <w:t> </w:t>
      </w:r>
      <w:r>
        <w:rPr>
          <w:sz w:val="22"/>
        </w:rPr>
        <w:t>as</w:t>
      </w:r>
      <w:r>
        <w:rPr>
          <w:spacing w:val="40"/>
          <w:sz w:val="22"/>
        </w:rPr>
        <w:t> </w:t>
      </w:r>
      <w:r>
        <w:rPr>
          <w:sz w:val="22"/>
        </w:rPr>
        <w:t>a</w:t>
      </w:r>
      <w:r>
        <w:rPr>
          <w:spacing w:val="40"/>
          <w:sz w:val="22"/>
        </w:rPr>
        <w:t> </w:t>
      </w:r>
      <w:r>
        <w:rPr>
          <w:sz w:val="22"/>
        </w:rPr>
        <w:t>result</w:t>
      </w:r>
      <w:r>
        <w:rPr>
          <w:spacing w:val="40"/>
          <w:sz w:val="22"/>
        </w:rPr>
        <w:t> </w:t>
      </w:r>
      <w:r>
        <w:rPr>
          <w:sz w:val="22"/>
        </w:rPr>
        <w:t>of estrogen therapy in a man with aromatase deficiency. </w:t>
      </w:r>
      <w:r>
        <w:rPr>
          <w:i/>
          <w:sz w:val="22"/>
        </w:rPr>
        <w:t>N Engl J Med</w:t>
      </w:r>
      <w:r>
        <w:rPr>
          <w:sz w:val="22"/>
        </w:rPr>
        <w:t>. 1998;339:599.</w:t>
      </w:r>
    </w:p>
    <w:p>
      <w:pPr>
        <w:pStyle w:val="ListParagraph"/>
        <w:numPr>
          <w:ilvl w:val="0"/>
          <w:numId w:val="8"/>
        </w:numPr>
        <w:tabs>
          <w:tab w:pos="699" w:val="left" w:leader="none"/>
          <w:tab w:pos="718" w:val="left" w:leader="none"/>
        </w:tabs>
        <w:spacing w:line="256" w:lineRule="auto" w:before="0" w:after="0"/>
        <w:ind w:left="718" w:right="100" w:hanging="405"/>
        <w:jc w:val="both"/>
        <w:rPr>
          <w:sz w:val="22"/>
        </w:rPr>
      </w:pPr>
      <w:r>
        <w:rPr>
          <w:sz w:val="22"/>
        </w:rPr>
        <w:t>Rochira V, Faustini-Fustini M, Balestrieri A, Carani C. Estrogen replacement therapy in a </w:t>
      </w:r>
      <w:r>
        <w:rPr>
          <w:sz w:val="22"/>
        </w:rPr>
        <w:t>man with</w:t>
      </w:r>
      <w:r>
        <w:rPr>
          <w:spacing w:val="40"/>
          <w:sz w:val="22"/>
        </w:rPr>
        <w:t> </w:t>
      </w:r>
      <w:r>
        <w:rPr>
          <w:sz w:val="22"/>
        </w:rPr>
        <w:t>congenital</w:t>
      </w:r>
      <w:r>
        <w:rPr>
          <w:spacing w:val="40"/>
          <w:sz w:val="22"/>
        </w:rPr>
        <w:t> </w:t>
      </w:r>
      <w:r>
        <w:rPr>
          <w:sz w:val="22"/>
        </w:rPr>
        <w:t>aromatase</w:t>
      </w:r>
      <w:r>
        <w:rPr>
          <w:spacing w:val="40"/>
          <w:sz w:val="22"/>
        </w:rPr>
        <w:t> </w:t>
      </w:r>
      <w:r>
        <w:rPr>
          <w:sz w:val="22"/>
        </w:rPr>
        <w:t>deficiency:</w:t>
      </w:r>
      <w:r>
        <w:rPr>
          <w:spacing w:val="40"/>
          <w:sz w:val="22"/>
        </w:rPr>
        <w:t> </w:t>
      </w:r>
      <w:r>
        <w:rPr>
          <w:sz w:val="22"/>
        </w:rPr>
        <w:t>effects</w:t>
      </w:r>
      <w:r>
        <w:rPr>
          <w:spacing w:val="40"/>
          <w:sz w:val="22"/>
        </w:rPr>
        <w:t> </w:t>
      </w:r>
      <w:r>
        <w:rPr>
          <w:sz w:val="22"/>
        </w:rPr>
        <w:t>of</w:t>
      </w:r>
      <w:r>
        <w:rPr>
          <w:spacing w:val="40"/>
          <w:sz w:val="22"/>
        </w:rPr>
        <w:t> </w:t>
      </w:r>
      <w:r>
        <w:rPr>
          <w:sz w:val="22"/>
        </w:rPr>
        <w:t>different</w:t>
      </w:r>
      <w:r>
        <w:rPr>
          <w:spacing w:val="40"/>
          <w:sz w:val="22"/>
        </w:rPr>
        <w:t> </w:t>
      </w:r>
      <w:r>
        <w:rPr>
          <w:sz w:val="22"/>
        </w:rPr>
        <w:t>doses</w:t>
      </w:r>
      <w:r>
        <w:rPr>
          <w:spacing w:val="40"/>
          <w:sz w:val="22"/>
        </w:rPr>
        <w:t> </w:t>
      </w:r>
      <w:r>
        <w:rPr>
          <w:sz w:val="22"/>
        </w:rPr>
        <w:t>of</w:t>
      </w:r>
      <w:r>
        <w:rPr>
          <w:spacing w:val="40"/>
          <w:sz w:val="22"/>
        </w:rPr>
        <w:t> </w:t>
      </w:r>
      <w:r>
        <w:rPr>
          <w:sz w:val="22"/>
        </w:rPr>
        <w:t>transdermal</w:t>
      </w:r>
      <w:r>
        <w:rPr>
          <w:spacing w:val="40"/>
          <w:sz w:val="22"/>
        </w:rPr>
        <w:t> </w:t>
      </w:r>
      <w:r>
        <w:rPr>
          <w:sz w:val="22"/>
        </w:rPr>
        <w:t>estradiol</w:t>
      </w:r>
      <w:r>
        <w:rPr>
          <w:spacing w:val="40"/>
          <w:sz w:val="22"/>
        </w:rPr>
        <w:t> </w:t>
      </w:r>
      <w:r>
        <w:rPr>
          <w:sz w:val="22"/>
        </w:rPr>
        <w:t>on bone mineral density and hormonal parameters, </w:t>
      </w:r>
      <w:r>
        <w:rPr>
          <w:i/>
          <w:sz w:val="22"/>
        </w:rPr>
        <w:t>J Clin Endocrinol Metab</w:t>
      </w:r>
      <w:r>
        <w:rPr>
          <w:sz w:val="22"/>
        </w:rPr>
        <w:t>. 2000;85:1841.</w:t>
      </w:r>
    </w:p>
    <w:p>
      <w:pPr>
        <w:pStyle w:val="ListParagraph"/>
        <w:numPr>
          <w:ilvl w:val="0"/>
          <w:numId w:val="8"/>
        </w:numPr>
        <w:tabs>
          <w:tab w:pos="699" w:val="left" w:leader="none"/>
          <w:tab w:pos="718" w:val="left" w:leader="none"/>
        </w:tabs>
        <w:spacing w:line="256" w:lineRule="auto" w:before="0" w:after="0"/>
        <w:ind w:left="718" w:right="103" w:hanging="405"/>
        <w:jc w:val="both"/>
        <w:rPr>
          <w:sz w:val="22"/>
        </w:rPr>
      </w:pPr>
      <w:r>
        <w:rPr>
          <w:sz w:val="22"/>
        </w:rPr>
        <w:t>Ettinger B, Sidney S, Cummings SR, et al. Racial differences in bone density between young adult black and white subjects persist after adjustment for anthropometric, lifestyle, and biochemical differences. </w:t>
      </w:r>
      <w:r>
        <w:rPr>
          <w:i/>
          <w:sz w:val="22"/>
        </w:rPr>
        <w:t>J Clin Endocrinol Metab</w:t>
      </w:r>
      <w:r>
        <w:rPr>
          <w:sz w:val="22"/>
        </w:rPr>
        <w:t>. 1997;82:429.</w:t>
      </w:r>
    </w:p>
    <w:p>
      <w:pPr>
        <w:pStyle w:val="ListParagraph"/>
        <w:numPr>
          <w:ilvl w:val="0"/>
          <w:numId w:val="8"/>
        </w:numPr>
        <w:tabs>
          <w:tab w:pos="699" w:val="left" w:leader="none"/>
          <w:tab w:pos="718" w:val="left" w:leader="none"/>
        </w:tabs>
        <w:spacing w:line="256" w:lineRule="auto" w:before="0" w:after="0"/>
        <w:ind w:left="718" w:right="107" w:hanging="405"/>
        <w:jc w:val="both"/>
        <w:rPr>
          <w:sz w:val="22"/>
        </w:rPr>
      </w:pPr>
      <w:r>
        <w:rPr>
          <w:sz w:val="22"/>
        </w:rPr>
        <w:t>Nelson DA, Simpson PM, Johnson CC, Barondess DA, Kleerekopper M. The accumulation of whole</w:t>
      </w:r>
      <w:r>
        <w:rPr>
          <w:spacing w:val="40"/>
          <w:sz w:val="22"/>
        </w:rPr>
        <w:t> </w:t>
      </w:r>
      <w:r>
        <w:rPr>
          <w:sz w:val="22"/>
        </w:rPr>
        <w:t>body</w:t>
      </w:r>
      <w:r>
        <w:rPr>
          <w:spacing w:val="40"/>
          <w:sz w:val="22"/>
        </w:rPr>
        <w:t> </w:t>
      </w:r>
      <w:r>
        <w:rPr>
          <w:sz w:val="22"/>
        </w:rPr>
        <w:t>skeletal</w:t>
      </w:r>
      <w:r>
        <w:rPr>
          <w:spacing w:val="40"/>
          <w:sz w:val="22"/>
        </w:rPr>
        <w:t> </w:t>
      </w:r>
      <w:r>
        <w:rPr>
          <w:sz w:val="22"/>
        </w:rPr>
        <w:t>mass</w:t>
      </w:r>
      <w:r>
        <w:rPr>
          <w:spacing w:val="40"/>
          <w:sz w:val="22"/>
        </w:rPr>
        <w:t> </w:t>
      </w:r>
      <w:r>
        <w:rPr>
          <w:sz w:val="22"/>
        </w:rPr>
        <w:t>in</w:t>
      </w:r>
      <w:r>
        <w:rPr>
          <w:spacing w:val="40"/>
          <w:sz w:val="22"/>
        </w:rPr>
        <w:t> </w:t>
      </w:r>
      <w:r>
        <w:rPr>
          <w:sz w:val="22"/>
        </w:rPr>
        <w:t>third-</w:t>
      </w:r>
      <w:r>
        <w:rPr>
          <w:spacing w:val="40"/>
          <w:sz w:val="22"/>
        </w:rPr>
        <w:t> </w:t>
      </w:r>
      <w:r>
        <w:rPr>
          <w:sz w:val="22"/>
        </w:rPr>
        <w:t>and</w:t>
      </w:r>
      <w:r>
        <w:rPr>
          <w:spacing w:val="40"/>
          <w:sz w:val="22"/>
        </w:rPr>
        <w:t> </w:t>
      </w:r>
      <w:r>
        <w:rPr>
          <w:sz w:val="22"/>
        </w:rPr>
        <w:t>fourth-grade</w:t>
      </w:r>
      <w:r>
        <w:rPr>
          <w:spacing w:val="40"/>
          <w:sz w:val="22"/>
        </w:rPr>
        <w:t> </w:t>
      </w:r>
      <w:r>
        <w:rPr>
          <w:sz w:val="22"/>
        </w:rPr>
        <w:t>children:</w:t>
      </w:r>
      <w:r>
        <w:rPr>
          <w:spacing w:val="40"/>
          <w:sz w:val="22"/>
        </w:rPr>
        <w:t> </w:t>
      </w:r>
      <w:r>
        <w:rPr>
          <w:sz w:val="22"/>
        </w:rPr>
        <w:t>effects</w:t>
      </w:r>
      <w:r>
        <w:rPr>
          <w:spacing w:val="40"/>
          <w:sz w:val="22"/>
        </w:rPr>
        <w:t> </w:t>
      </w:r>
      <w:r>
        <w:rPr>
          <w:sz w:val="22"/>
        </w:rPr>
        <w:t>of</w:t>
      </w:r>
      <w:r>
        <w:rPr>
          <w:spacing w:val="40"/>
          <w:sz w:val="22"/>
        </w:rPr>
        <w:t> </w:t>
      </w:r>
      <w:r>
        <w:rPr>
          <w:sz w:val="22"/>
        </w:rPr>
        <w:t>age,</w:t>
      </w:r>
      <w:r>
        <w:rPr>
          <w:spacing w:val="40"/>
          <w:sz w:val="22"/>
        </w:rPr>
        <w:t> </w:t>
      </w:r>
      <w:r>
        <w:rPr>
          <w:sz w:val="22"/>
        </w:rPr>
        <w:t>ethnicity,</w:t>
      </w:r>
      <w:r>
        <w:rPr>
          <w:spacing w:val="40"/>
          <w:sz w:val="22"/>
        </w:rPr>
        <w:t> </w:t>
      </w:r>
      <w:r>
        <w:rPr>
          <w:sz w:val="22"/>
        </w:rPr>
        <w:t>and body composition. </w:t>
      </w:r>
      <w:r>
        <w:rPr>
          <w:i/>
          <w:sz w:val="22"/>
        </w:rPr>
        <w:t>Bone</w:t>
      </w:r>
      <w:r>
        <w:rPr>
          <w:sz w:val="22"/>
        </w:rPr>
        <w:t>. 1997;20:73.</w:t>
      </w:r>
    </w:p>
    <w:p>
      <w:pPr>
        <w:pStyle w:val="ListParagraph"/>
        <w:numPr>
          <w:ilvl w:val="0"/>
          <w:numId w:val="8"/>
        </w:numPr>
        <w:tabs>
          <w:tab w:pos="699" w:val="left" w:leader="none"/>
          <w:tab w:pos="718" w:val="left" w:leader="none"/>
        </w:tabs>
        <w:spacing w:line="256" w:lineRule="auto" w:before="0" w:after="0"/>
        <w:ind w:left="718" w:right="98" w:hanging="405"/>
        <w:jc w:val="both"/>
        <w:rPr>
          <w:sz w:val="22"/>
        </w:rPr>
      </w:pPr>
      <w:r>
        <w:rPr>
          <w:sz w:val="22"/>
        </w:rPr>
        <w:t>Hui SL, Dimeglio LA, Longcope C, et al. Difference in bone mass between black and </w:t>
      </w:r>
      <w:r>
        <w:rPr>
          <w:sz w:val="22"/>
        </w:rPr>
        <w:t>white American children: attributable to body build, sex hormone levels, or bone turnover? </w:t>
      </w:r>
      <w:r>
        <w:rPr>
          <w:i/>
          <w:sz w:val="22"/>
        </w:rPr>
        <w:t>J Clin</w:t>
      </w:r>
      <w:r>
        <w:rPr>
          <w:i/>
          <w:sz w:val="22"/>
        </w:rPr>
        <w:t> Endocrinol Metab</w:t>
      </w:r>
      <w:r>
        <w:rPr>
          <w:sz w:val="22"/>
        </w:rPr>
        <w:t>. 2003;88:642.</w:t>
      </w:r>
    </w:p>
    <w:p>
      <w:pPr>
        <w:pStyle w:val="ListParagraph"/>
        <w:numPr>
          <w:ilvl w:val="0"/>
          <w:numId w:val="8"/>
        </w:numPr>
        <w:tabs>
          <w:tab w:pos="699" w:val="left" w:leader="none"/>
          <w:tab w:pos="718" w:val="left" w:leader="none"/>
        </w:tabs>
        <w:spacing w:line="256" w:lineRule="auto" w:before="0" w:after="0"/>
        <w:ind w:left="718" w:right="110" w:hanging="405"/>
        <w:jc w:val="both"/>
        <w:rPr>
          <w:sz w:val="22"/>
        </w:rPr>
      </w:pPr>
      <w:r>
        <w:rPr>
          <w:sz w:val="22"/>
        </w:rPr>
        <w:t>Bryant RJ, Wastney ME, Martin BR, et al. Racial differences in bone turnover and calcium metabolism in adolescent females. </w:t>
      </w:r>
      <w:r>
        <w:rPr>
          <w:i/>
          <w:sz w:val="22"/>
        </w:rPr>
        <w:t>J Clin Endocrinol Metab</w:t>
      </w:r>
      <w:r>
        <w:rPr>
          <w:sz w:val="22"/>
        </w:rPr>
        <w:t>. 2003;88:1043.</w:t>
      </w:r>
    </w:p>
    <w:p>
      <w:pPr>
        <w:pStyle w:val="ListParagraph"/>
        <w:numPr>
          <w:ilvl w:val="0"/>
          <w:numId w:val="8"/>
        </w:numPr>
        <w:tabs>
          <w:tab w:pos="699" w:val="left" w:leader="none"/>
          <w:tab w:pos="718" w:val="left" w:leader="none"/>
        </w:tabs>
        <w:spacing w:line="256" w:lineRule="auto" w:before="0" w:after="0"/>
        <w:ind w:left="718" w:right="101" w:hanging="405"/>
        <w:jc w:val="both"/>
        <w:rPr>
          <w:sz w:val="22"/>
        </w:rPr>
      </w:pPr>
      <w:r>
        <w:rPr>
          <w:sz w:val="22"/>
        </w:rPr>
        <w:t>Finkelstein</w:t>
      </w:r>
      <w:r>
        <w:rPr>
          <w:spacing w:val="29"/>
          <w:sz w:val="22"/>
        </w:rPr>
        <w:t> </w:t>
      </w:r>
      <w:r>
        <w:rPr>
          <w:sz w:val="22"/>
        </w:rPr>
        <w:t>JS,</w:t>
      </w:r>
      <w:r>
        <w:rPr>
          <w:spacing w:val="29"/>
          <w:sz w:val="22"/>
        </w:rPr>
        <w:t> </w:t>
      </w:r>
      <w:r>
        <w:rPr>
          <w:sz w:val="22"/>
        </w:rPr>
        <w:t>Lee</w:t>
      </w:r>
      <w:r>
        <w:rPr>
          <w:spacing w:val="29"/>
          <w:sz w:val="22"/>
        </w:rPr>
        <w:t> </w:t>
      </w:r>
      <w:r>
        <w:rPr>
          <w:sz w:val="22"/>
        </w:rPr>
        <w:t>MT,</w:t>
      </w:r>
      <w:r>
        <w:rPr>
          <w:spacing w:val="29"/>
          <w:sz w:val="22"/>
        </w:rPr>
        <w:t> </w:t>
      </w:r>
      <w:r>
        <w:rPr>
          <w:sz w:val="22"/>
        </w:rPr>
        <w:t>Sowers</w:t>
      </w:r>
      <w:r>
        <w:rPr>
          <w:spacing w:val="29"/>
          <w:sz w:val="22"/>
        </w:rPr>
        <w:t> </w:t>
      </w:r>
      <w:r>
        <w:rPr>
          <w:sz w:val="22"/>
        </w:rPr>
        <w:t>M,</w:t>
      </w:r>
      <w:r>
        <w:rPr>
          <w:spacing w:val="29"/>
          <w:sz w:val="22"/>
        </w:rPr>
        <w:t> </w:t>
      </w:r>
      <w:r>
        <w:rPr>
          <w:sz w:val="22"/>
        </w:rPr>
        <w:t>et</w:t>
      </w:r>
      <w:r>
        <w:rPr>
          <w:spacing w:val="29"/>
          <w:sz w:val="22"/>
        </w:rPr>
        <w:t> </w:t>
      </w:r>
      <w:r>
        <w:rPr>
          <w:sz w:val="22"/>
        </w:rPr>
        <w:t>al.</w:t>
      </w:r>
      <w:r>
        <w:rPr>
          <w:spacing w:val="29"/>
          <w:sz w:val="22"/>
        </w:rPr>
        <w:t> </w:t>
      </w:r>
      <w:r>
        <w:rPr>
          <w:sz w:val="22"/>
        </w:rPr>
        <w:t>Ethnic</w:t>
      </w:r>
      <w:r>
        <w:rPr>
          <w:spacing w:val="32"/>
          <w:sz w:val="22"/>
        </w:rPr>
        <w:t> </w:t>
      </w:r>
      <w:r>
        <w:rPr>
          <w:sz w:val="22"/>
        </w:rPr>
        <w:t>variation</w:t>
      </w:r>
      <w:r>
        <w:rPr>
          <w:spacing w:val="32"/>
          <w:sz w:val="22"/>
        </w:rPr>
        <w:t> </w:t>
      </w:r>
      <w:r>
        <w:rPr>
          <w:sz w:val="22"/>
        </w:rPr>
        <w:t>in</w:t>
      </w:r>
      <w:r>
        <w:rPr>
          <w:spacing w:val="32"/>
          <w:sz w:val="22"/>
        </w:rPr>
        <w:t> </w:t>
      </w:r>
      <w:r>
        <w:rPr>
          <w:sz w:val="22"/>
        </w:rPr>
        <w:t>bone</w:t>
      </w:r>
      <w:r>
        <w:rPr>
          <w:spacing w:val="32"/>
          <w:sz w:val="22"/>
        </w:rPr>
        <w:t> </w:t>
      </w:r>
      <w:r>
        <w:rPr>
          <w:sz w:val="22"/>
        </w:rPr>
        <w:t>density</w:t>
      </w:r>
      <w:r>
        <w:rPr>
          <w:spacing w:val="32"/>
          <w:sz w:val="22"/>
        </w:rPr>
        <w:t> </w:t>
      </w:r>
      <w:r>
        <w:rPr>
          <w:sz w:val="22"/>
        </w:rPr>
        <w:t>in</w:t>
      </w:r>
      <w:r>
        <w:rPr>
          <w:spacing w:val="32"/>
          <w:sz w:val="22"/>
        </w:rPr>
        <w:t> </w:t>
      </w:r>
      <w:r>
        <w:rPr>
          <w:sz w:val="22"/>
        </w:rPr>
        <w:t>premenopausal and early perimenopausal women: effects of anthropometric and lifestyle factors. </w:t>
      </w:r>
      <w:r>
        <w:rPr>
          <w:i/>
          <w:sz w:val="22"/>
        </w:rPr>
        <w:t>J </w:t>
      </w:r>
      <w:r>
        <w:rPr>
          <w:i/>
          <w:sz w:val="22"/>
        </w:rPr>
        <w:t>Clin</w:t>
      </w:r>
      <w:r>
        <w:rPr>
          <w:i/>
          <w:sz w:val="22"/>
        </w:rPr>
        <w:t> Endocrinol Metab</w:t>
      </w:r>
      <w:r>
        <w:rPr>
          <w:sz w:val="22"/>
        </w:rPr>
        <w:t>. 2002;87:3057.</w:t>
      </w:r>
    </w:p>
    <w:p>
      <w:pPr>
        <w:pStyle w:val="ListParagraph"/>
        <w:numPr>
          <w:ilvl w:val="0"/>
          <w:numId w:val="8"/>
        </w:numPr>
        <w:tabs>
          <w:tab w:pos="699" w:val="left" w:leader="none"/>
          <w:tab w:pos="718" w:val="left" w:leader="none"/>
        </w:tabs>
        <w:spacing w:line="256" w:lineRule="auto" w:before="0" w:after="0"/>
        <w:ind w:left="718" w:right="107" w:hanging="405"/>
        <w:jc w:val="both"/>
        <w:rPr>
          <w:sz w:val="22"/>
        </w:rPr>
      </w:pPr>
      <w:r>
        <w:rPr>
          <w:sz w:val="22"/>
        </w:rPr>
        <w:t>Finkelstein JS, Brockwell SE, Mehta V, et al. Bone mineral density changes during </w:t>
      </w:r>
      <w:r>
        <w:rPr>
          <w:sz w:val="22"/>
        </w:rPr>
        <w:t>the menopause</w:t>
      </w:r>
      <w:r>
        <w:rPr>
          <w:spacing w:val="40"/>
          <w:sz w:val="22"/>
        </w:rPr>
        <w:t> </w:t>
      </w:r>
      <w:r>
        <w:rPr>
          <w:sz w:val="22"/>
        </w:rPr>
        <w:t>transition</w:t>
      </w:r>
      <w:r>
        <w:rPr>
          <w:spacing w:val="40"/>
          <w:sz w:val="22"/>
        </w:rPr>
        <w:t> </w:t>
      </w:r>
      <w:r>
        <w:rPr>
          <w:sz w:val="22"/>
        </w:rPr>
        <w:t>in</w:t>
      </w:r>
      <w:r>
        <w:rPr>
          <w:spacing w:val="40"/>
          <w:sz w:val="22"/>
        </w:rPr>
        <w:t> </w:t>
      </w:r>
      <w:r>
        <w:rPr>
          <w:sz w:val="22"/>
        </w:rPr>
        <w:t>a</w:t>
      </w:r>
      <w:r>
        <w:rPr>
          <w:spacing w:val="40"/>
          <w:sz w:val="22"/>
        </w:rPr>
        <w:t> </w:t>
      </w:r>
      <w:r>
        <w:rPr>
          <w:sz w:val="22"/>
        </w:rPr>
        <w:t>multiethnic</w:t>
      </w:r>
      <w:r>
        <w:rPr>
          <w:spacing w:val="40"/>
          <w:sz w:val="22"/>
        </w:rPr>
        <w:t> </w:t>
      </w:r>
      <w:r>
        <w:rPr>
          <w:sz w:val="22"/>
        </w:rPr>
        <w:t>cohort</w:t>
      </w:r>
      <w:r>
        <w:rPr>
          <w:spacing w:val="40"/>
          <w:sz w:val="22"/>
        </w:rPr>
        <w:t> </w:t>
      </w:r>
      <w:r>
        <w:rPr>
          <w:sz w:val="22"/>
        </w:rPr>
        <w:t>of</w:t>
      </w:r>
      <w:r>
        <w:rPr>
          <w:spacing w:val="40"/>
          <w:sz w:val="22"/>
        </w:rPr>
        <w:t> </w:t>
      </w:r>
      <w:r>
        <w:rPr>
          <w:sz w:val="22"/>
        </w:rPr>
        <w:t>women.</w:t>
      </w:r>
      <w:r>
        <w:rPr>
          <w:spacing w:val="40"/>
          <w:sz w:val="22"/>
        </w:rPr>
        <w:t> </w:t>
      </w:r>
      <w:r>
        <w:rPr>
          <w:i/>
          <w:sz w:val="22"/>
        </w:rPr>
        <w:t>J</w:t>
      </w:r>
      <w:r>
        <w:rPr>
          <w:i/>
          <w:spacing w:val="40"/>
          <w:sz w:val="22"/>
        </w:rPr>
        <w:t> </w:t>
      </w:r>
      <w:r>
        <w:rPr>
          <w:i/>
          <w:sz w:val="22"/>
        </w:rPr>
        <w:t>Clin</w:t>
      </w:r>
      <w:r>
        <w:rPr>
          <w:i/>
          <w:spacing w:val="40"/>
          <w:sz w:val="22"/>
        </w:rPr>
        <w:t> </w:t>
      </w:r>
      <w:r>
        <w:rPr>
          <w:i/>
          <w:sz w:val="22"/>
        </w:rPr>
        <w:t>Endocrinol</w:t>
      </w:r>
      <w:r>
        <w:rPr>
          <w:i/>
          <w:spacing w:val="40"/>
          <w:sz w:val="22"/>
        </w:rPr>
        <w:t> </w:t>
      </w:r>
      <w:r>
        <w:rPr>
          <w:i/>
          <w:sz w:val="22"/>
        </w:rPr>
        <w:t>Metab</w:t>
      </w:r>
      <w:r>
        <w:rPr>
          <w:sz w:val="22"/>
        </w:rPr>
        <w:t>. </w:t>
      </w:r>
      <w:r>
        <w:rPr>
          <w:spacing w:val="-2"/>
          <w:sz w:val="22"/>
        </w:rPr>
        <w:t>2008;93:861.</w:t>
      </w:r>
    </w:p>
    <w:p>
      <w:pPr>
        <w:pStyle w:val="ListParagraph"/>
        <w:numPr>
          <w:ilvl w:val="0"/>
          <w:numId w:val="8"/>
        </w:numPr>
        <w:tabs>
          <w:tab w:pos="699" w:val="left" w:leader="none"/>
          <w:tab w:pos="718" w:val="left" w:leader="none"/>
        </w:tabs>
        <w:spacing w:line="256" w:lineRule="auto" w:before="0" w:after="0"/>
        <w:ind w:left="718" w:right="106" w:hanging="405"/>
        <w:jc w:val="both"/>
        <w:rPr>
          <w:sz w:val="22"/>
        </w:rPr>
      </w:pPr>
      <w:r>
        <w:rPr>
          <w:sz w:val="22"/>
        </w:rPr>
        <w:t>Grisso JA, Kelsey JL, Strom BL, et al. Risk factors for hip fracture in black women. </w:t>
      </w:r>
      <w:r>
        <w:rPr>
          <w:i/>
          <w:sz w:val="22"/>
        </w:rPr>
        <w:t>N Engl J</w:t>
      </w:r>
      <w:r>
        <w:rPr>
          <w:i/>
          <w:sz w:val="22"/>
        </w:rPr>
        <w:t> Med</w:t>
      </w:r>
      <w:r>
        <w:rPr>
          <w:sz w:val="22"/>
        </w:rPr>
        <w:t>. 1994;330:1555.</w:t>
      </w:r>
    </w:p>
    <w:p>
      <w:pPr>
        <w:pStyle w:val="ListParagraph"/>
        <w:numPr>
          <w:ilvl w:val="0"/>
          <w:numId w:val="8"/>
        </w:numPr>
        <w:tabs>
          <w:tab w:pos="699" w:val="left" w:leader="none"/>
          <w:tab w:pos="718" w:val="left" w:leader="none"/>
        </w:tabs>
        <w:spacing w:line="256" w:lineRule="auto" w:before="0" w:after="0"/>
        <w:ind w:left="718" w:right="104" w:hanging="405"/>
        <w:jc w:val="both"/>
        <w:rPr>
          <w:sz w:val="22"/>
        </w:rPr>
      </w:pPr>
      <w:r>
        <w:rPr>
          <w:sz w:val="22"/>
        </w:rPr>
        <w:t>Iki</w:t>
      </w:r>
      <w:r>
        <w:rPr>
          <w:spacing w:val="20"/>
          <w:sz w:val="22"/>
        </w:rPr>
        <w:t> </w:t>
      </w:r>
      <w:r>
        <w:rPr>
          <w:sz w:val="22"/>
        </w:rPr>
        <w:t>M,</w:t>
      </w:r>
      <w:r>
        <w:rPr>
          <w:spacing w:val="20"/>
          <w:sz w:val="22"/>
        </w:rPr>
        <w:t> </w:t>
      </w:r>
      <w:r>
        <w:rPr>
          <w:sz w:val="22"/>
        </w:rPr>
        <w:t>Kajita</w:t>
      </w:r>
      <w:r>
        <w:rPr>
          <w:spacing w:val="20"/>
          <w:sz w:val="22"/>
        </w:rPr>
        <w:t> </w:t>
      </w:r>
      <w:r>
        <w:rPr>
          <w:sz w:val="22"/>
        </w:rPr>
        <w:t>E,</w:t>
      </w:r>
      <w:r>
        <w:rPr>
          <w:spacing w:val="20"/>
          <w:sz w:val="22"/>
        </w:rPr>
        <w:t> </w:t>
      </w:r>
      <w:r>
        <w:rPr>
          <w:sz w:val="22"/>
        </w:rPr>
        <w:t>Dohi</w:t>
      </w:r>
      <w:r>
        <w:rPr>
          <w:spacing w:val="20"/>
          <w:sz w:val="22"/>
        </w:rPr>
        <w:t> </w:t>
      </w:r>
      <w:r>
        <w:rPr>
          <w:sz w:val="22"/>
        </w:rPr>
        <w:t>Y,</w:t>
      </w:r>
      <w:r>
        <w:rPr>
          <w:spacing w:val="20"/>
          <w:sz w:val="22"/>
        </w:rPr>
        <w:t> </w:t>
      </w:r>
      <w:r>
        <w:rPr>
          <w:sz w:val="22"/>
        </w:rPr>
        <w:t>et</w:t>
      </w:r>
      <w:r>
        <w:rPr>
          <w:spacing w:val="20"/>
          <w:sz w:val="22"/>
        </w:rPr>
        <w:t> </w:t>
      </w:r>
      <w:r>
        <w:rPr>
          <w:sz w:val="22"/>
        </w:rPr>
        <w:t>al.</w:t>
      </w:r>
      <w:r>
        <w:rPr>
          <w:spacing w:val="20"/>
          <w:sz w:val="22"/>
        </w:rPr>
        <w:t> </w:t>
      </w:r>
      <w:r>
        <w:rPr>
          <w:sz w:val="22"/>
        </w:rPr>
        <w:t>Age,</w:t>
      </w:r>
      <w:r>
        <w:rPr>
          <w:spacing w:val="20"/>
          <w:sz w:val="22"/>
        </w:rPr>
        <w:t> </w:t>
      </w:r>
      <w:r>
        <w:rPr>
          <w:sz w:val="22"/>
        </w:rPr>
        <w:t>menopause,</w:t>
      </w:r>
      <w:r>
        <w:rPr>
          <w:spacing w:val="20"/>
          <w:sz w:val="22"/>
        </w:rPr>
        <w:t> </w:t>
      </w:r>
      <w:r>
        <w:rPr>
          <w:sz w:val="22"/>
        </w:rPr>
        <w:t>bone</w:t>
      </w:r>
      <w:r>
        <w:rPr>
          <w:spacing w:val="20"/>
          <w:sz w:val="22"/>
        </w:rPr>
        <w:t> </w:t>
      </w:r>
      <w:r>
        <w:rPr>
          <w:sz w:val="22"/>
        </w:rPr>
        <w:t>turnover</w:t>
      </w:r>
      <w:r>
        <w:rPr>
          <w:spacing w:val="20"/>
          <w:sz w:val="22"/>
        </w:rPr>
        <w:t> </w:t>
      </w:r>
      <w:r>
        <w:rPr>
          <w:sz w:val="22"/>
        </w:rPr>
        <w:t>markers</w:t>
      </w:r>
      <w:r>
        <w:rPr>
          <w:spacing w:val="20"/>
          <w:sz w:val="22"/>
        </w:rPr>
        <w:t> </w:t>
      </w:r>
      <w:r>
        <w:rPr>
          <w:sz w:val="22"/>
        </w:rPr>
        <w:t>and</w:t>
      </w:r>
      <w:r>
        <w:rPr>
          <w:spacing w:val="20"/>
          <w:sz w:val="22"/>
        </w:rPr>
        <w:t> </w:t>
      </w:r>
      <w:r>
        <w:rPr>
          <w:sz w:val="22"/>
        </w:rPr>
        <w:t>lumbar</w:t>
      </w:r>
      <w:r>
        <w:rPr>
          <w:spacing w:val="20"/>
          <w:sz w:val="22"/>
        </w:rPr>
        <w:t> </w:t>
      </w:r>
      <w:r>
        <w:rPr>
          <w:sz w:val="22"/>
        </w:rPr>
        <w:t>bone</w:t>
      </w:r>
      <w:r>
        <w:rPr>
          <w:spacing w:val="20"/>
          <w:sz w:val="22"/>
        </w:rPr>
        <w:t> </w:t>
      </w:r>
      <w:r>
        <w:rPr>
          <w:sz w:val="22"/>
        </w:rPr>
        <w:t>loss in healthy Japanese women, </w:t>
      </w:r>
      <w:r>
        <w:rPr>
          <w:i/>
          <w:sz w:val="22"/>
        </w:rPr>
        <w:t>Maturitas</w:t>
      </w:r>
      <w:r>
        <w:rPr>
          <w:sz w:val="22"/>
        </w:rPr>
        <w:t>. 1996;25:59.</w:t>
      </w:r>
    </w:p>
    <w:p>
      <w:pPr>
        <w:pStyle w:val="ListParagraph"/>
        <w:numPr>
          <w:ilvl w:val="0"/>
          <w:numId w:val="8"/>
        </w:numPr>
        <w:tabs>
          <w:tab w:pos="699" w:val="left" w:leader="none"/>
          <w:tab w:pos="718" w:val="left" w:leader="none"/>
        </w:tabs>
        <w:spacing w:line="256" w:lineRule="auto" w:before="0" w:after="0"/>
        <w:ind w:left="718" w:right="103" w:hanging="405"/>
        <w:jc w:val="both"/>
        <w:rPr>
          <w:sz w:val="22"/>
        </w:rPr>
      </w:pPr>
      <w:r>
        <w:rPr>
          <w:sz w:val="22"/>
        </w:rPr>
        <w:t>Seeman E, Hopper JL, Bach LA, et al. Reduced bone mass in daughters of women </w:t>
      </w:r>
      <w:r>
        <w:rPr>
          <w:sz w:val="22"/>
        </w:rPr>
        <w:t>with osteoporosis. </w:t>
      </w:r>
      <w:r>
        <w:rPr>
          <w:i/>
          <w:sz w:val="22"/>
        </w:rPr>
        <w:t>N Engl J Med</w:t>
      </w:r>
      <w:r>
        <w:rPr>
          <w:sz w:val="22"/>
        </w:rPr>
        <w:t>. 1989;320:554.</w:t>
      </w:r>
    </w:p>
    <w:p>
      <w:pPr>
        <w:pStyle w:val="ListParagraph"/>
        <w:numPr>
          <w:ilvl w:val="0"/>
          <w:numId w:val="8"/>
        </w:numPr>
        <w:tabs>
          <w:tab w:pos="699" w:val="left" w:leader="none"/>
          <w:tab w:pos="718" w:val="left" w:leader="none"/>
        </w:tabs>
        <w:spacing w:line="256" w:lineRule="auto" w:before="0" w:after="0"/>
        <w:ind w:left="718" w:right="98" w:hanging="405"/>
        <w:jc w:val="both"/>
        <w:rPr>
          <w:sz w:val="22"/>
        </w:rPr>
      </w:pPr>
      <w:r>
        <w:rPr>
          <w:sz w:val="22"/>
        </w:rPr>
        <w:t>Slemenda CW, Christian JC, Williams CJ, Norton JA, Johnston CC Jr. Genetic determinants </w:t>
      </w:r>
      <w:r>
        <w:rPr>
          <w:sz w:val="22"/>
        </w:rPr>
        <w:t>of bone mass in adult women: a reevaluation of the twin model and the potential importance of gene interaction on heritability estimates. </w:t>
      </w:r>
      <w:r>
        <w:rPr>
          <w:i/>
          <w:sz w:val="22"/>
        </w:rPr>
        <w:t>J Bone Miner Res</w:t>
      </w:r>
      <w:r>
        <w:rPr>
          <w:sz w:val="22"/>
        </w:rPr>
        <w:t>. 1991;6:561.</w:t>
      </w:r>
    </w:p>
    <w:p>
      <w:pPr>
        <w:pStyle w:val="ListParagraph"/>
        <w:numPr>
          <w:ilvl w:val="0"/>
          <w:numId w:val="8"/>
        </w:numPr>
        <w:tabs>
          <w:tab w:pos="699" w:val="left" w:leader="none"/>
          <w:tab w:pos="718" w:val="left" w:leader="none"/>
        </w:tabs>
        <w:spacing w:line="256" w:lineRule="auto" w:before="0" w:after="0"/>
        <w:ind w:left="718" w:right="111" w:hanging="405"/>
        <w:jc w:val="both"/>
        <w:rPr>
          <w:sz w:val="22"/>
        </w:rPr>
      </w:pPr>
      <w:r>
        <w:rPr>
          <w:sz w:val="22"/>
        </w:rPr>
        <w:t>Morrison</w:t>
      </w:r>
      <w:r>
        <w:rPr>
          <w:spacing w:val="40"/>
          <w:sz w:val="22"/>
        </w:rPr>
        <w:t> </w:t>
      </w:r>
      <w:r>
        <w:rPr>
          <w:sz w:val="22"/>
        </w:rPr>
        <w:t>NA,</w:t>
      </w:r>
      <w:r>
        <w:rPr>
          <w:spacing w:val="40"/>
          <w:sz w:val="22"/>
        </w:rPr>
        <w:t> </w:t>
      </w:r>
      <w:r>
        <w:rPr>
          <w:sz w:val="22"/>
        </w:rPr>
        <w:t>Qi</w:t>
      </w:r>
      <w:r>
        <w:rPr>
          <w:spacing w:val="40"/>
          <w:sz w:val="22"/>
        </w:rPr>
        <w:t> </w:t>
      </w:r>
      <w:r>
        <w:rPr>
          <w:sz w:val="22"/>
        </w:rPr>
        <w:t>JC,</w:t>
      </w:r>
      <w:r>
        <w:rPr>
          <w:spacing w:val="40"/>
          <w:sz w:val="22"/>
        </w:rPr>
        <w:t> </w:t>
      </w:r>
      <w:r>
        <w:rPr>
          <w:sz w:val="22"/>
        </w:rPr>
        <w:t>Tokita</w:t>
      </w:r>
      <w:r>
        <w:rPr>
          <w:spacing w:val="40"/>
          <w:sz w:val="22"/>
        </w:rPr>
        <w:t> </w:t>
      </w:r>
      <w:r>
        <w:rPr>
          <w:sz w:val="22"/>
        </w:rPr>
        <w:t>A,</w:t>
      </w:r>
      <w:r>
        <w:rPr>
          <w:spacing w:val="40"/>
          <w:sz w:val="22"/>
        </w:rPr>
        <w:t> </w:t>
      </w:r>
      <w:r>
        <w:rPr>
          <w:sz w:val="22"/>
        </w:rPr>
        <w:t>et</w:t>
      </w:r>
      <w:r>
        <w:rPr>
          <w:spacing w:val="40"/>
          <w:sz w:val="22"/>
        </w:rPr>
        <w:t> </w:t>
      </w:r>
      <w:r>
        <w:rPr>
          <w:sz w:val="22"/>
        </w:rPr>
        <w:t>al.</w:t>
      </w:r>
      <w:r>
        <w:rPr>
          <w:spacing w:val="40"/>
          <w:sz w:val="22"/>
        </w:rPr>
        <w:t> </w:t>
      </w:r>
      <w:r>
        <w:rPr>
          <w:sz w:val="22"/>
        </w:rPr>
        <w:t>Prediction</w:t>
      </w:r>
      <w:r>
        <w:rPr>
          <w:spacing w:val="40"/>
          <w:sz w:val="22"/>
        </w:rPr>
        <w:t> </w:t>
      </w:r>
      <w:r>
        <w:rPr>
          <w:sz w:val="22"/>
        </w:rPr>
        <w:t>of</w:t>
      </w:r>
      <w:r>
        <w:rPr>
          <w:spacing w:val="40"/>
          <w:sz w:val="22"/>
        </w:rPr>
        <w:t> </w:t>
      </w:r>
      <w:r>
        <w:rPr>
          <w:sz w:val="22"/>
        </w:rPr>
        <w:t>bone</w:t>
      </w:r>
      <w:r>
        <w:rPr>
          <w:spacing w:val="40"/>
          <w:sz w:val="22"/>
        </w:rPr>
        <w:t> </w:t>
      </w:r>
      <w:r>
        <w:rPr>
          <w:sz w:val="22"/>
        </w:rPr>
        <w:t>density</w:t>
      </w:r>
      <w:r>
        <w:rPr>
          <w:spacing w:val="40"/>
          <w:sz w:val="22"/>
        </w:rPr>
        <w:t> </w:t>
      </w:r>
      <w:r>
        <w:rPr>
          <w:sz w:val="22"/>
        </w:rPr>
        <w:t>from</w:t>
      </w:r>
      <w:r>
        <w:rPr>
          <w:spacing w:val="40"/>
          <w:sz w:val="22"/>
        </w:rPr>
        <w:t> </w:t>
      </w:r>
      <w:r>
        <w:rPr>
          <w:sz w:val="22"/>
        </w:rPr>
        <w:t>vitamin</w:t>
      </w:r>
      <w:r>
        <w:rPr>
          <w:spacing w:val="40"/>
          <w:sz w:val="22"/>
        </w:rPr>
        <w:t> </w:t>
      </w:r>
      <w:r>
        <w:rPr>
          <w:sz w:val="22"/>
        </w:rPr>
        <w:t>D</w:t>
      </w:r>
      <w:r>
        <w:rPr>
          <w:spacing w:val="40"/>
          <w:sz w:val="22"/>
        </w:rPr>
        <w:t> </w:t>
      </w:r>
      <w:r>
        <w:rPr>
          <w:sz w:val="22"/>
        </w:rPr>
        <w:t>receptor alleles. </w:t>
      </w:r>
      <w:r>
        <w:rPr>
          <w:i/>
          <w:sz w:val="22"/>
        </w:rPr>
        <w:t>Nature</w:t>
      </w:r>
      <w:r>
        <w:rPr>
          <w:sz w:val="22"/>
        </w:rPr>
        <w:t>. 1994;367:284.</w:t>
      </w:r>
    </w:p>
    <w:p>
      <w:pPr>
        <w:pStyle w:val="ListParagraph"/>
        <w:spacing w:after="0" w:line="256" w:lineRule="auto"/>
        <w:jc w:val="both"/>
        <w:rPr>
          <w:sz w:val="22"/>
        </w:rPr>
        <w:sectPr>
          <w:pgSz w:w="12240" w:h="15840"/>
          <w:pgMar w:top="1360" w:bottom="280" w:left="1440" w:right="1440"/>
        </w:sectPr>
      </w:pPr>
    </w:p>
    <w:p>
      <w:pPr>
        <w:pStyle w:val="ListParagraph"/>
        <w:numPr>
          <w:ilvl w:val="0"/>
          <w:numId w:val="8"/>
        </w:numPr>
        <w:tabs>
          <w:tab w:pos="699" w:val="left" w:leader="none"/>
          <w:tab w:pos="718" w:val="left" w:leader="none"/>
        </w:tabs>
        <w:spacing w:line="256" w:lineRule="auto" w:before="84" w:after="0"/>
        <w:ind w:left="718" w:right="99" w:hanging="405"/>
        <w:jc w:val="both"/>
        <w:rPr>
          <w:sz w:val="22"/>
        </w:rPr>
      </w:pPr>
      <w:r>
        <w:rPr>
          <w:sz w:val="22"/>
        </w:rPr>
        <w:t>Ferrari S, Rizzoli R, Chevalley T, Slosman D, Eisman JA, Bonjour J-P. Vitamin-D-receptor-gene polymorphisms and change in lumbar-spine bone mineral density. </w:t>
      </w:r>
      <w:r>
        <w:rPr>
          <w:i/>
          <w:sz w:val="22"/>
        </w:rPr>
        <w:t>Lancet</w:t>
      </w:r>
      <w:r>
        <w:rPr>
          <w:sz w:val="22"/>
        </w:rPr>
        <w:t>. 1995;345:423.</w:t>
      </w:r>
    </w:p>
    <w:p>
      <w:pPr>
        <w:pStyle w:val="ListParagraph"/>
        <w:numPr>
          <w:ilvl w:val="0"/>
          <w:numId w:val="8"/>
        </w:numPr>
        <w:tabs>
          <w:tab w:pos="699" w:val="left" w:leader="none"/>
          <w:tab w:pos="718" w:val="left" w:leader="none"/>
        </w:tabs>
        <w:spacing w:line="256" w:lineRule="auto" w:before="0" w:after="0"/>
        <w:ind w:left="718" w:right="101" w:hanging="405"/>
        <w:jc w:val="both"/>
        <w:rPr>
          <w:sz w:val="22"/>
        </w:rPr>
      </w:pPr>
      <w:r>
        <w:rPr>
          <w:sz w:val="22"/>
        </w:rPr>
        <w:t>Uitterlinden AG, Burger H, Huang Q, et al. Relation of alleles of the collagen type Ia1 gene to bone density and the risk of osteoporotic fractures in postmenopausal women. </w:t>
      </w:r>
      <w:r>
        <w:rPr>
          <w:i/>
          <w:sz w:val="22"/>
        </w:rPr>
        <w:t>N Engl J </w:t>
      </w:r>
      <w:r>
        <w:rPr>
          <w:i/>
          <w:sz w:val="22"/>
        </w:rPr>
        <w:t>Med</w:t>
      </w:r>
      <w:r>
        <w:rPr>
          <w:sz w:val="22"/>
        </w:rPr>
        <w:t>. </w:t>
      </w:r>
      <w:r>
        <w:rPr>
          <w:spacing w:val="-2"/>
          <w:sz w:val="22"/>
        </w:rPr>
        <w:t>1998;338:1016.</w:t>
      </w:r>
    </w:p>
    <w:p>
      <w:pPr>
        <w:pStyle w:val="ListParagraph"/>
        <w:numPr>
          <w:ilvl w:val="0"/>
          <w:numId w:val="8"/>
        </w:numPr>
        <w:tabs>
          <w:tab w:pos="699" w:val="left" w:leader="none"/>
          <w:tab w:pos="718" w:val="left" w:leader="none"/>
        </w:tabs>
        <w:spacing w:line="256" w:lineRule="auto" w:before="0" w:after="0"/>
        <w:ind w:left="718" w:right="102" w:hanging="405"/>
        <w:jc w:val="both"/>
        <w:rPr>
          <w:sz w:val="22"/>
        </w:rPr>
      </w:pPr>
      <w:r>
        <w:rPr>
          <w:sz w:val="22"/>
        </w:rPr>
        <w:t>Richards JB, Rivadeneira F, Inouye M, et al. Bone mineral density, osteoporosis, </w:t>
      </w:r>
      <w:r>
        <w:rPr>
          <w:sz w:val="22"/>
        </w:rPr>
        <w:t>and osteoporotic fractures: a genome-wide association study. </w:t>
      </w:r>
      <w:r>
        <w:rPr>
          <w:i/>
          <w:sz w:val="22"/>
        </w:rPr>
        <w:t>Lancet</w:t>
      </w:r>
      <w:r>
        <w:rPr>
          <w:sz w:val="22"/>
        </w:rPr>
        <w:t>. 2008;371:1505.</w:t>
      </w:r>
    </w:p>
    <w:p>
      <w:pPr>
        <w:pStyle w:val="ListParagraph"/>
        <w:numPr>
          <w:ilvl w:val="0"/>
          <w:numId w:val="8"/>
        </w:numPr>
        <w:tabs>
          <w:tab w:pos="699" w:val="left" w:leader="none"/>
          <w:tab w:pos="718" w:val="left" w:leader="none"/>
        </w:tabs>
        <w:spacing w:line="256" w:lineRule="auto" w:before="0" w:after="0"/>
        <w:ind w:left="718" w:right="104" w:hanging="405"/>
        <w:jc w:val="both"/>
        <w:rPr>
          <w:sz w:val="22"/>
        </w:rPr>
      </w:pPr>
      <w:r>
        <w:rPr>
          <w:sz w:val="22"/>
        </w:rPr>
        <w:t>Richelson LS, Wahner HW, Melton LJ III, Riggs BL. Relative contributions of aging </w:t>
      </w:r>
      <w:r>
        <w:rPr>
          <w:sz w:val="22"/>
        </w:rPr>
        <w:t>and estrogen deficiency to postmenopausal bone loss. </w:t>
      </w:r>
      <w:r>
        <w:rPr>
          <w:i/>
          <w:sz w:val="22"/>
        </w:rPr>
        <w:t>N Engl J Med</w:t>
      </w:r>
      <w:r>
        <w:rPr>
          <w:sz w:val="22"/>
        </w:rPr>
        <w:t>. 1984;311:1273.</w:t>
      </w:r>
    </w:p>
    <w:p>
      <w:pPr>
        <w:pStyle w:val="ListParagraph"/>
        <w:numPr>
          <w:ilvl w:val="0"/>
          <w:numId w:val="8"/>
        </w:numPr>
        <w:tabs>
          <w:tab w:pos="699" w:val="left" w:leader="none"/>
          <w:tab w:pos="718" w:val="left" w:leader="none"/>
        </w:tabs>
        <w:spacing w:line="256" w:lineRule="auto" w:before="0" w:after="0"/>
        <w:ind w:left="718" w:right="107" w:hanging="405"/>
        <w:jc w:val="both"/>
        <w:rPr>
          <w:sz w:val="22"/>
        </w:rPr>
      </w:pPr>
      <w:r>
        <w:rPr>
          <w:sz w:val="22"/>
        </w:rPr>
        <w:t>Nilas L, Christiansen C. Bone mass and its relationship to age and the menopause. </w:t>
      </w:r>
      <w:r>
        <w:rPr>
          <w:i/>
          <w:sz w:val="22"/>
        </w:rPr>
        <w:t>J Clin</w:t>
      </w:r>
      <w:r>
        <w:rPr>
          <w:i/>
          <w:sz w:val="22"/>
        </w:rPr>
        <w:t> Endocrinol Metab</w:t>
      </w:r>
      <w:r>
        <w:rPr>
          <w:sz w:val="22"/>
        </w:rPr>
        <w:t>. 1987;65:697.</w:t>
      </w:r>
    </w:p>
    <w:p>
      <w:pPr>
        <w:pStyle w:val="ListParagraph"/>
        <w:numPr>
          <w:ilvl w:val="0"/>
          <w:numId w:val="8"/>
        </w:numPr>
        <w:tabs>
          <w:tab w:pos="699" w:val="left" w:leader="none"/>
        </w:tabs>
        <w:spacing w:line="252" w:lineRule="exact" w:before="0" w:after="0"/>
        <w:ind w:left="699" w:right="0" w:hanging="386"/>
        <w:jc w:val="both"/>
        <w:rPr>
          <w:sz w:val="22"/>
        </w:rPr>
      </w:pPr>
      <w:r>
        <w:rPr>
          <w:sz w:val="22"/>
        </w:rPr>
        <w:t>Alvioli</w:t>
      </w:r>
      <w:r>
        <w:rPr>
          <w:spacing w:val="5"/>
          <w:sz w:val="22"/>
        </w:rPr>
        <w:t> </w:t>
      </w:r>
      <w:r>
        <w:rPr>
          <w:sz w:val="22"/>
        </w:rPr>
        <w:t>LV.</w:t>
      </w:r>
      <w:r>
        <w:rPr>
          <w:spacing w:val="5"/>
          <w:sz w:val="22"/>
        </w:rPr>
        <w:t> </w:t>
      </w:r>
      <w:r>
        <w:rPr>
          <w:sz w:val="22"/>
        </w:rPr>
        <w:t>Calcium</w:t>
      </w:r>
      <w:r>
        <w:rPr>
          <w:spacing w:val="6"/>
          <w:sz w:val="22"/>
        </w:rPr>
        <w:t> </w:t>
      </w:r>
      <w:r>
        <w:rPr>
          <w:sz w:val="22"/>
        </w:rPr>
        <w:t>and</w:t>
      </w:r>
      <w:r>
        <w:rPr>
          <w:spacing w:val="5"/>
          <w:sz w:val="22"/>
        </w:rPr>
        <w:t> </w:t>
      </w:r>
      <w:r>
        <w:rPr>
          <w:sz w:val="22"/>
        </w:rPr>
        <w:t>osteoporosis.</w:t>
      </w:r>
      <w:r>
        <w:rPr>
          <w:spacing w:val="6"/>
          <w:sz w:val="22"/>
        </w:rPr>
        <w:t> </w:t>
      </w:r>
      <w:r>
        <w:rPr>
          <w:i/>
          <w:sz w:val="22"/>
        </w:rPr>
        <w:t>Ann</w:t>
      </w:r>
      <w:r>
        <w:rPr>
          <w:i/>
          <w:spacing w:val="5"/>
          <w:sz w:val="22"/>
        </w:rPr>
        <w:t> </w:t>
      </w:r>
      <w:r>
        <w:rPr>
          <w:i/>
          <w:sz w:val="22"/>
        </w:rPr>
        <w:t>Rev</w:t>
      </w:r>
      <w:r>
        <w:rPr>
          <w:i/>
          <w:spacing w:val="6"/>
          <w:sz w:val="22"/>
        </w:rPr>
        <w:t> </w:t>
      </w:r>
      <w:r>
        <w:rPr>
          <w:i/>
          <w:sz w:val="22"/>
        </w:rPr>
        <w:t>Nutr</w:t>
      </w:r>
      <w:r>
        <w:rPr>
          <w:sz w:val="22"/>
        </w:rPr>
        <w:t>.</w:t>
      </w:r>
      <w:r>
        <w:rPr>
          <w:spacing w:val="5"/>
          <w:sz w:val="22"/>
        </w:rPr>
        <w:t> </w:t>
      </w:r>
      <w:r>
        <w:rPr>
          <w:spacing w:val="-2"/>
          <w:sz w:val="22"/>
        </w:rPr>
        <w:t>1984;4:471.</w:t>
      </w:r>
    </w:p>
    <w:p>
      <w:pPr>
        <w:pStyle w:val="ListParagraph"/>
        <w:numPr>
          <w:ilvl w:val="0"/>
          <w:numId w:val="8"/>
        </w:numPr>
        <w:tabs>
          <w:tab w:pos="699" w:val="left" w:leader="none"/>
          <w:tab w:pos="718" w:val="left" w:leader="none"/>
        </w:tabs>
        <w:spacing w:line="256" w:lineRule="auto" w:before="11" w:after="0"/>
        <w:ind w:left="718" w:right="102" w:hanging="405"/>
        <w:jc w:val="both"/>
        <w:rPr>
          <w:sz w:val="22"/>
        </w:rPr>
      </w:pPr>
      <w:r>
        <w:rPr>
          <w:sz w:val="22"/>
        </w:rPr>
        <w:t>Johnston CC Jr, Hui SL, Witt RM, Appledorn R, Baker RS, Longcope C. Early </w:t>
      </w:r>
      <w:r>
        <w:rPr>
          <w:sz w:val="22"/>
        </w:rPr>
        <w:t>menopausal changes in bone mass and sex steroids. </w:t>
      </w:r>
      <w:r>
        <w:rPr>
          <w:i/>
          <w:sz w:val="22"/>
        </w:rPr>
        <w:t>J Clin Endocrinol Metab</w:t>
      </w:r>
      <w:r>
        <w:rPr>
          <w:sz w:val="22"/>
        </w:rPr>
        <w:t>. 1985;61:905.</w:t>
      </w:r>
    </w:p>
    <w:p>
      <w:pPr>
        <w:pStyle w:val="ListParagraph"/>
        <w:numPr>
          <w:ilvl w:val="0"/>
          <w:numId w:val="8"/>
        </w:numPr>
        <w:tabs>
          <w:tab w:pos="699" w:val="left" w:leader="none"/>
          <w:tab w:pos="718" w:val="left" w:leader="none"/>
        </w:tabs>
        <w:spacing w:line="256" w:lineRule="auto" w:before="0" w:after="0"/>
        <w:ind w:left="718" w:right="107" w:hanging="405"/>
        <w:jc w:val="both"/>
        <w:rPr>
          <w:sz w:val="22"/>
        </w:rPr>
      </w:pPr>
      <w:r>
        <w:rPr>
          <w:sz w:val="22"/>
        </w:rPr>
        <w:t>Riggs BL, Wahner HW, Melton LJ III, Richelson LS, Judd HL, Offord KP. Rates of bone </w:t>
      </w:r>
      <w:r>
        <w:rPr>
          <w:sz w:val="22"/>
        </w:rPr>
        <w:t>loss</w:t>
      </w:r>
      <w:r>
        <w:rPr>
          <w:spacing w:val="80"/>
          <w:sz w:val="22"/>
        </w:rPr>
        <w:t> </w:t>
      </w:r>
      <w:r>
        <w:rPr>
          <w:sz w:val="22"/>
        </w:rPr>
        <w:t>in the appendicular and axial skeletons of women. </w:t>
      </w:r>
      <w:r>
        <w:rPr>
          <w:i/>
          <w:sz w:val="22"/>
        </w:rPr>
        <w:t>J Clin Invest</w:t>
      </w:r>
      <w:r>
        <w:rPr>
          <w:sz w:val="22"/>
        </w:rPr>
        <w:t>. 1986;77:1487.</w:t>
      </w:r>
    </w:p>
    <w:p>
      <w:pPr>
        <w:pStyle w:val="ListParagraph"/>
        <w:numPr>
          <w:ilvl w:val="0"/>
          <w:numId w:val="8"/>
        </w:numPr>
        <w:tabs>
          <w:tab w:pos="699" w:val="left" w:leader="none"/>
          <w:tab w:pos="718" w:val="left" w:leader="none"/>
        </w:tabs>
        <w:spacing w:line="256" w:lineRule="auto" w:before="0" w:after="0"/>
        <w:ind w:left="718" w:right="97" w:hanging="405"/>
        <w:jc w:val="both"/>
        <w:rPr>
          <w:sz w:val="22"/>
        </w:rPr>
      </w:pPr>
      <w:r>
        <w:rPr>
          <w:sz w:val="22"/>
        </w:rPr>
        <w:t>Riggs BL, Wahner HW, Dunn WL, Mazess RB, Offord KP, Melton LJ III. Differential changes in</w:t>
      </w:r>
      <w:r>
        <w:rPr>
          <w:spacing w:val="40"/>
          <w:sz w:val="22"/>
        </w:rPr>
        <w:t> </w:t>
      </w:r>
      <w:r>
        <w:rPr>
          <w:sz w:val="22"/>
        </w:rPr>
        <w:t>bone</w:t>
      </w:r>
      <w:r>
        <w:rPr>
          <w:spacing w:val="40"/>
          <w:sz w:val="22"/>
        </w:rPr>
        <w:t> </w:t>
      </w:r>
      <w:r>
        <w:rPr>
          <w:sz w:val="22"/>
        </w:rPr>
        <w:t>mineral</w:t>
      </w:r>
      <w:r>
        <w:rPr>
          <w:spacing w:val="40"/>
          <w:sz w:val="22"/>
        </w:rPr>
        <w:t> </w:t>
      </w:r>
      <w:r>
        <w:rPr>
          <w:sz w:val="22"/>
        </w:rPr>
        <w:t>density</w:t>
      </w:r>
      <w:r>
        <w:rPr>
          <w:spacing w:val="40"/>
          <w:sz w:val="22"/>
        </w:rPr>
        <w:t> </w:t>
      </w:r>
      <w:r>
        <w:rPr>
          <w:sz w:val="22"/>
        </w:rPr>
        <w:t>of</w:t>
      </w:r>
      <w:r>
        <w:rPr>
          <w:spacing w:val="40"/>
          <w:sz w:val="22"/>
        </w:rPr>
        <w:t> </w:t>
      </w:r>
      <w:r>
        <w:rPr>
          <w:sz w:val="22"/>
        </w:rPr>
        <w:t>the</w:t>
      </w:r>
      <w:r>
        <w:rPr>
          <w:spacing w:val="40"/>
          <w:sz w:val="22"/>
        </w:rPr>
        <w:t> </w:t>
      </w:r>
      <w:r>
        <w:rPr>
          <w:sz w:val="22"/>
        </w:rPr>
        <w:t>appendicular</w:t>
      </w:r>
      <w:r>
        <w:rPr>
          <w:spacing w:val="40"/>
          <w:sz w:val="22"/>
        </w:rPr>
        <w:t> </w:t>
      </w:r>
      <w:r>
        <w:rPr>
          <w:sz w:val="22"/>
        </w:rPr>
        <w:t>and</w:t>
      </w:r>
      <w:r>
        <w:rPr>
          <w:spacing w:val="40"/>
          <w:sz w:val="22"/>
        </w:rPr>
        <w:t> </w:t>
      </w:r>
      <w:r>
        <w:rPr>
          <w:sz w:val="22"/>
        </w:rPr>
        <w:t>axial</w:t>
      </w:r>
      <w:r>
        <w:rPr>
          <w:spacing w:val="40"/>
          <w:sz w:val="22"/>
        </w:rPr>
        <w:t> </w:t>
      </w:r>
      <w:r>
        <w:rPr>
          <w:sz w:val="22"/>
        </w:rPr>
        <w:t>skeleton</w:t>
      </w:r>
      <w:r>
        <w:rPr>
          <w:spacing w:val="40"/>
          <w:sz w:val="22"/>
        </w:rPr>
        <w:t> </w:t>
      </w:r>
      <w:r>
        <w:rPr>
          <w:sz w:val="22"/>
        </w:rPr>
        <w:t>with</w:t>
      </w:r>
      <w:r>
        <w:rPr>
          <w:spacing w:val="40"/>
          <w:sz w:val="22"/>
        </w:rPr>
        <w:t> </w:t>
      </w:r>
      <w:r>
        <w:rPr>
          <w:sz w:val="22"/>
        </w:rPr>
        <w:t>aging:</w:t>
      </w:r>
      <w:r>
        <w:rPr>
          <w:spacing w:val="40"/>
          <w:sz w:val="22"/>
        </w:rPr>
        <w:t> </w:t>
      </w:r>
      <w:r>
        <w:rPr>
          <w:sz w:val="22"/>
        </w:rPr>
        <w:t>relationship</w:t>
      </w:r>
      <w:r>
        <w:rPr>
          <w:spacing w:val="40"/>
          <w:sz w:val="22"/>
        </w:rPr>
        <w:t> </w:t>
      </w:r>
      <w:r>
        <w:rPr>
          <w:sz w:val="22"/>
        </w:rPr>
        <w:t>to spinal osteoporosis. </w:t>
      </w:r>
      <w:r>
        <w:rPr>
          <w:i/>
          <w:sz w:val="22"/>
        </w:rPr>
        <w:t>J Clin Invest</w:t>
      </w:r>
      <w:r>
        <w:rPr>
          <w:sz w:val="22"/>
        </w:rPr>
        <w:t>. 1981;67:328.</w:t>
      </w:r>
    </w:p>
    <w:p>
      <w:pPr>
        <w:pStyle w:val="ListParagraph"/>
        <w:numPr>
          <w:ilvl w:val="0"/>
          <w:numId w:val="8"/>
        </w:numPr>
        <w:tabs>
          <w:tab w:pos="699" w:val="left" w:leader="none"/>
          <w:tab w:pos="718" w:val="left" w:leader="none"/>
        </w:tabs>
        <w:spacing w:line="256" w:lineRule="auto" w:before="0" w:after="0"/>
        <w:ind w:left="718" w:right="101" w:hanging="405"/>
        <w:jc w:val="both"/>
        <w:rPr>
          <w:sz w:val="22"/>
        </w:rPr>
      </w:pPr>
      <w:r>
        <w:rPr>
          <w:sz w:val="22"/>
        </w:rPr>
        <w:t>Baran D, Sorensen A, Grimes J, et al. Dietary modification with dairy products for preventing vertebral</w:t>
      </w:r>
      <w:r>
        <w:rPr>
          <w:spacing w:val="40"/>
          <w:sz w:val="22"/>
        </w:rPr>
        <w:t> </w:t>
      </w:r>
      <w:r>
        <w:rPr>
          <w:sz w:val="22"/>
        </w:rPr>
        <w:t>bone</w:t>
      </w:r>
      <w:r>
        <w:rPr>
          <w:spacing w:val="40"/>
          <w:sz w:val="22"/>
        </w:rPr>
        <w:t> </w:t>
      </w:r>
      <w:r>
        <w:rPr>
          <w:sz w:val="22"/>
        </w:rPr>
        <w:t>loss</w:t>
      </w:r>
      <w:r>
        <w:rPr>
          <w:spacing w:val="40"/>
          <w:sz w:val="22"/>
        </w:rPr>
        <w:t> </w:t>
      </w:r>
      <w:r>
        <w:rPr>
          <w:sz w:val="22"/>
        </w:rPr>
        <w:t>in</w:t>
      </w:r>
      <w:r>
        <w:rPr>
          <w:spacing w:val="40"/>
          <w:sz w:val="22"/>
        </w:rPr>
        <w:t> </w:t>
      </w:r>
      <w:r>
        <w:rPr>
          <w:sz w:val="22"/>
        </w:rPr>
        <w:t>premenopausal</w:t>
      </w:r>
      <w:r>
        <w:rPr>
          <w:spacing w:val="40"/>
          <w:sz w:val="22"/>
        </w:rPr>
        <w:t> </w:t>
      </w:r>
      <w:r>
        <w:rPr>
          <w:sz w:val="22"/>
        </w:rPr>
        <w:t>women:</w:t>
      </w:r>
      <w:r>
        <w:rPr>
          <w:spacing w:val="40"/>
          <w:sz w:val="22"/>
        </w:rPr>
        <w:t> </w:t>
      </w:r>
      <w:r>
        <w:rPr>
          <w:sz w:val="22"/>
        </w:rPr>
        <w:t>a</w:t>
      </w:r>
      <w:r>
        <w:rPr>
          <w:spacing w:val="40"/>
          <w:sz w:val="22"/>
        </w:rPr>
        <w:t> </w:t>
      </w:r>
      <w:r>
        <w:rPr>
          <w:sz w:val="22"/>
        </w:rPr>
        <w:t>three-year</w:t>
      </w:r>
      <w:r>
        <w:rPr>
          <w:spacing w:val="40"/>
          <w:sz w:val="22"/>
        </w:rPr>
        <w:t> </w:t>
      </w:r>
      <w:r>
        <w:rPr>
          <w:sz w:val="22"/>
        </w:rPr>
        <w:t>prospective</w:t>
      </w:r>
      <w:r>
        <w:rPr>
          <w:spacing w:val="40"/>
          <w:sz w:val="22"/>
        </w:rPr>
        <w:t> </w:t>
      </w:r>
      <w:r>
        <w:rPr>
          <w:sz w:val="22"/>
        </w:rPr>
        <w:t>study.</w:t>
      </w:r>
      <w:r>
        <w:rPr>
          <w:spacing w:val="40"/>
          <w:sz w:val="22"/>
        </w:rPr>
        <w:t> </w:t>
      </w:r>
      <w:r>
        <w:rPr>
          <w:i/>
          <w:sz w:val="22"/>
        </w:rPr>
        <w:t>J</w:t>
      </w:r>
      <w:r>
        <w:rPr>
          <w:i/>
          <w:spacing w:val="40"/>
          <w:sz w:val="22"/>
        </w:rPr>
        <w:t> </w:t>
      </w:r>
      <w:r>
        <w:rPr>
          <w:i/>
          <w:sz w:val="22"/>
        </w:rPr>
        <w:t>Clin</w:t>
      </w:r>
      <w:r>
        <w:rPr>
          <w:i/>
          <w:sz w:val="22"/>
        </w:rPr>
        <w:t> Endocrinol Metab</w:t>
      </w:r>
      <w:r>
        <w:rPr>
          <w:sz w:val="22"/>
        </w:rPr>
        <w:t>. 1990;70:264.</w:t>
      </w:r>
    </w:p>
    <w:p>
      <w:pPr>
        <w:pStyle w:val="ListParagraph"/>
        <w:numPr>
          <w:ilvl w:val="0"/>
          <w:numId w:val="8"/>
        </w:numPr>
        <w:tabs>
          <w:tab w:pos="699" w:val="left" w:leader="none"/>
          <w:tab w:pos="718" w:val="left" w:leader="none"/>
        </w:tabs>
        <w:spacing w:line="256" w:lineRule="auto" w:before="0" w:after="0"/>
        <w:ind w:left="718" w:right="106" w:hanging="405"/>
        <w:jc w:val="both"/>
        <w:rPr>
          <w:sz w:val="22"/>
        </w:rPr>
      </w:pPr>
      <w:r>
        <w:rPr>
          <w:sz w:val="22"/>
        </w:rPr>
        <w:t>Elders PJM, Lips P, Netelenbos C, et al. Long-term effect of calcium supplementation on </w:t>
      </w:r>
      <w:r>
        <w:rPr>
          <w:sz w:val="22"/>
        </w:rPr>
        <w:t>bone loss in perimenopausal women. </w:t>
      </w:r>
      <w:r>
        <w:rPr>
          <w:i/>
          <w:sz w:val="22"/>
        </w:rPr>
        <w:t>J Bone Miner Res</w:t>
      </w:r>
      <w:r>
        <w:rPr>
          <w:sz w:val="22"/>
        </w:rPr>
        <w:t>. 1994;9:963.</w:t>
      </w:r>
    </w:p>
    <w:p>
      <w:pPr>
        <w:pStyle w:val="ListParagraph"/>
        <w:numPr>
          <w:ilvl w:val="0"/>
          <w:numId w:val="8"/>
        </w:numPr>
        <w:tabs>
          <w:tab w:pos="699" w:val="left" w:leader="none"/>
          <w:tab w:pos="718" w:val="left" w:leader="none"/>
        </w:tabs>
        <w:spacing w:line="256" w:lineRule="auto" w:before="0" w:after="0"/>
        <w:ind w:left="718" w:right="105" w:hanging="405"/>
        <w:jc w:val="both"/>
        <w:rPr>
          <w:sz w:val="22"/>
        </w:rPr>
      </w:pPr>
      <w:r>
        <w:rPr>
          <w:sz w:val="22"/>
        </w:rPr>
        <w:t>Gambacciani M, Spinetti A, Taponeco F, et al. Bone loss in perimenopausal women: </w:t>
      </w:r>
      <w:r>
        <w:rPr>
          <w:sz w:val="22"/>
        </w:rPr>
        <w:t>a longitudinal study. </w:t>
      </w:r>
      <w:r>
        <w:rPr>
          <w:i/>
          <w:sz w:val="22"/>
        </w:rPr>
        <w:t>Maturitas</w:t>
      </w:r>
      <w:r>
        <w:rPr>
          <w:sz w:val="22"/>
        </w:rPr>
        <w:t>. 1994;18:191.</w:t>
      </w:r>
    </w:p>
    <w:p>
      <w:pPr>
        <w:pStyle w:val="ListParagraph"/>
        <w:numPr>
          <w:ilvl w:val="0"/>
          <w:numId w:val="8"/>
        </w:numPr>
        <w:tabs>
          <w:tab w:pos="699" w:val="left" w:leader="none"/>
          <w:tab w:pos="718" w:val="left" w:leader="none"/>
        </w:tabs>
        <w:spacing w:line="256" w:lineRule="auto" w:before="0" w:after="0"/>
        <w:ind w:left="718" w:right="100" w:hanging="405"/>
        <w:jc w:val="both"/>
        <w:rPr>
          <w:sz w:val="22"/>
        </w:rPr>
      </w:pPr>
      <w:r>
        <w:rPr>
          <w:sz w:val="22"/>
        </w:rPr>
        <w:t>Garton M, Martin J, New S, et al. Bone mass and metabolism in women aged 45-55. </w:t>
      </w:r>
      <w:r>
        <w:rPr>
          <w:i/>
          <w:sz w:val="22"/>
        </w:rPr>
        <w:t>Clin</w:t>
      </w:r>
      <w:r>
        <w:rPr>
          <w:i/>
          <w:sz w:val="22"/>
        </w:rPr>
        <w:t> Endocrinol</w:t>
      </w:r>
      <w:r>
        <w:rPr>
          <w:sz w:val="22"/>
        </w:rPr>
        <w:t>. 1996;44:536.</w:t>
      </w:r>
    </w:p>
    <w:p>
      <w:pPr>
        <w:pStyle w:val="ListParagraph"/>
        <w:numPr>
          <w:ilvl w:val="0"/>
          <w:numId w:val="8"/>
        </w:numPr>
        <w:tabs>
          <w:tab w:pos="699" w:val="left" w:leader="none"/>
          <w:tab w:pos="718" w:val="left" w:leader="none"/>
        </w:tabs>
        <w:spacing w:line="256" w:lineRule="auto" w:before="0" w:after="0"/>
        <w:ind w:left="718" w:right="103" w:hanging="405"/>
        <w:jc w:val="both"/>
        <w:rPr>
          <w:sz w:val="22"/>
        </w:rPr>
      </w:pPr>
      <w:r>
        <w:rPr>
          <w:sz w:val="22"/>
        </w:rPr>
        <w:t>Guthrie JR, Ebeling PR, Hopper JL, et al. A prospective study of bone loss in </w:t>
      </w:r>
      <w:r>
        <w:rPr>
          <w:sz w:val="22"/>
        </w:rPr>
        <w:t>menopausal Australian-born women. </w:t>
      </w:r>
      <w:r>
        <w:rPr>
          <w:i/>
          <w:sz w:val="22"/>
        </w:rPr>
        <w:t>Osteoporos Int</w:t>
      </w:r>
      <w:r>
        <w:rPr>
          <w:sz w:val="22"/>
        </w:rPr>
        <w:t>. 1998;8:282.</w:t>
      </w:r>
    </w:p>
    <w:p>
      <w:pPr>
        <w:pStyle w:val="ListParagraph"/>
        <w:numPr>
          <w:ilvl w:val="0"/>
          <w:numId w:val="8"/>
        </w:numPr>
        <w:tabs>
          <w:tab w:pos="699" w:val="left" w:leader="none"/>
          <w:tab w:pos="718" w:val="left" w:leader="none"/>
        </w:tabs>
        <w:spacing w:line="256" w:lineRule="auto" w:before="0" w:after="0"/>
        <w:ind w:left="718" w:right="109" w:hanging="405"/>
        <w:jc w:val="both"/>
        <w:rPr>
          <w:sz w:val="22"/>
        </w:rPr>
      </w:pPr>
      <w:r>
        <w:rPr>
          <w:sz w:val="22"/>
        </w:rPr>
        <w:t>Sowers M, Crutchfield M, Bandekar R, et al. Bone mineral density and its change in pre- and perimenopausal white women: the Michigan Bone Health Study. </w:t>
      </w:r>
      <w:r>
        <w:rPr>
          <w:i/>
          <w:sz w:val="22"/>
        </w:rPr>
        <w:t>J Bone Miner </w:t>
      </w:r>
      <w:r>
        <w:rPr>
          <w:i/>
          <w:sz w:val="22"/>
        </w:rPr>
        <w:t>Res</w:t>
      </w:r>
      <w:r>
        <w:rPr>
          <w:sz w:val="22"/>
        </w:rPr>
        <w:t>. </w:t>
      </w:r>
      <w:r>
        <w:rPr>
          <w:spacing w:val="-2"/>
          <w:sz w:val="22"/>
        </w:rPr>
        <w:t>1998;13:1134.</w:t>
      </w:r>
    </w:p>
    <w:p>
      <w:pPr>
        <w:pStyle w:val="ListParagraph"/>
        <w:numPr>
          <w:ilvl w:val="0"/>
          <w:numId w:val="8"/>
        </w:numPr>
        <w:tabs>
          <w:tab w:pos="699" w:val="left" w:leader="none"/>
          <w:tab w:pos="718" w:val="left" w:leader="none"/>
        </w:tabs>
        <w:spacing w:line="256" w:lineRule="auto" w:before="0" w:after="0"/>
        <w:ind w:left="718" w:right="109" w:hanging="405"/>
        <w:jc w:val="both"/>
        <w:rPr>
          <w:sz w:val="22"/>
        </w:rPr>
      </w:pPr>
      <w:r>
        <w:rPr>
          <w:sz w:val="22"/>
        </w:rPr>
        <w:t>Waller</w:t>
      </w:r>
      <w:r>
        <w:rPr>
          <w:spacing w:val="23"/>
          <w:sz w:val="22"/>
        </w:rPr>
        <w:t> </w:t>
      </w:r>
      <w:r>
        <w:rPr>
          <w:sz w:val="22"/>
        </w:rPr>
        <w:t>K,</w:t>
      </w:r>
      <w:r>
        <w:rPr>
          <w:spacing w:val="23"/>
          <w:sz w:val="22"/>
        </w:rPr>
        <w:t> </w:t>
      </w:r>
      <w:r>
        <w:rPr>
          <w:sz w:val="22"/>
        </w:rPr>
        <w:t>Reim</w:t>
      </w:r>
      <w:r>
        <w:rPr>
          <w:spacing w:val="23"/>
          <w:sz w:val="22"/>
        </w:rPr>
        <w:t> </w:t>
      </w:r>
      <w:r>
        <w:rPr>
          <w:sz w:val="22"/>
        </w:rPr>
        <w:t>J,</w:t>
      </w:r>
      <w:r>
        <w:rPr>
          <w:spacing w:val="23"/>
          <w:sz w:val="22"/>
        </w:rPr>
        <w:t> </w:t>
      </w:r>
      <w:r>
        <w:rPr>
          <w:sz w:val="22"/>
        </w:rPr>
        <w:t>Fenster</w:t>
      </w:r>
      <w:r>
        <w:rPr>
          <w:spacing w:val="23"/>
          <w:sz w:val="22"/>
        </w:rPr>
        <w:t> </w:t>
      </w:r>
      <w:r>
        <w:rPr>
          <w:sz w:val="22"/>
        </w:rPr>
        <w:t>L,</w:t>
      </w:r>
      <w:r>
        <w:rPr>
          <w:spacing w:val="23"/>
          <w:sz w:val="22"/>
        </w:rPr>
        <w:t> </w:t>
      </w:r>
      <w:r>
        <w:rPr>
          <w:sz w:val="22"/>
        </w:rPr>
        <w:t>et</w:t>
      </w:r>
      <w:r>
        <w:rPr>
          <w:spacing w:val="23"/>
          <w:sz w:val="22"/>
        </w:rPr>
        <w:t> </w:t>
      </w:r>
      <w:r>
        <w:rPr>
          <w:sz w:val="22"/>
        </w:rPr>
        <w:t>al.</w:t>
      </w:r>
      <w:r>
        <w:rPr>
          <w:spacing w:val="23"/>
          <w:sz w:val="22"/>
        </w:rPr>
        <w:t> </w:t>
      </w:r>
      <w:r>
        <w:rPr>
          <w:sz w:val="22"/>
        </w:rPr>
        <w:t>Bone</w:t>
      </w:r>
      <w:r>
        <w:rPr>
          <w:spacing w:val="23"/>
          <w:sz w:val="22"/>
        </w:rPr>
        <w:t> </w:t>
      </w:r>
      <w:r>
        <w:rPr>
          <w:sz w:val="22"/>
        </w:rPr>
        <w:t>mass</w:t>
      </w:r>
      <w:r>
        <w:rPr>
          <w:spacing w:val="23"/>
          <w:sz w:val="22"/>
        </w:rPr>
        <w:t> </w:t>
      </w:r>
      <w:r>
        <w:rPr>
          <w:sz w:val="22"/>
        </w:rPr>
        <w:t>and</w:t>
      </w:r>
      <w:r>
        <w:rPr>
          <w:spacing w:val="23"/>
          <w:sz w:val="22"/>
        </w:rPr>
        <w:t> </w:t>
      </w:r>
      <w:r>
        <w:rPr>
          <w:sz w:val="22"/>
        </w:rPr>
        <w:t>subtle</w:t>
      </w:r>
      <w:r>
        <w:rPr>
          <w:spacing w:val="23"/>
          <w:sz w:val="22"/>
        </w:rPr>
        <w:t> </w:t>
      </w:r>
      <w:r>
        <w:rPr>
          <w:sz w:val="22"/>
        </w:rPr>
        <w:t>abnormalities</w:t>
      </w:r>
      <w:r>
        <w:rPr>
          <w:spacing w:val="23"/>
          <w:sz w:val="22"/>
        </w:rPr>
        <w:t> </w:t>
      </w:r>
      <w:r>
        <w:rPr>
          <w:sz w:val="22"/>
        </w:rPr>
        <w:t>in</w:t>
      </w:r>
      <w:r>
        <w:rPr>
          <w:spacing w:val="23"/>
          <w:sz w:val="22"/>
        </w:rPr>
        <w:t> </w:t>
      </w:r>
      <w:r>
        <w:rPr>
          <w:sz w:val="22"/>
        </w:rPr>
        <w:t>ovulatory</w:t>
      </w:r>
      <w:r>
        <w:rPr>
          <w:spacing w:val="23"/>
          <w:sz w:val="22"/>
        </w:rPr>
        <w:t> </w:t>
      </w:r>
      <w:r>
        <w:rPr>
          <w:sz w:val="22"/>
        </w:rPr>
        <w:t>function in healthy women. </w:t>
      </w:r>
      <w:r>
        <w:rPr>
          <w:i/>
          <w:sz w:val="22"/>
        </w:rPr>
        <w:t>J Clin Endocrinol Metab</w:t>
      </w:r>
      <w:r>
        <w:rPr>
          <w:sz w:val="22"/>
        </w:rPr>
        <w:t>. 1996;81:663.</w:t>
      </w:r>
    </w:p>
    <w:p>
      <w:pPr>
        <w:pStyle w:val="ListParagraph"/>
        <w:numPr>
          <w:ilvl w:val="0"/>
          <w:numId w:val="8"/>
        </w:numPr>
        <w:tabs>
          <w:tab w:pos="699" w:val="left" w:leader="none"/>
          <w:tab w:pos="718" w:val="left" w:leader="none"/>
        </w:tabs>
        <w:spacing w:line="256" w:lineRule="auto" w:before="0" w:after="0"/>
        <w:ind w:left="718" w:right="101" w:hanging="405"/>
        <w:jc w:val="both"/>
        <w:rPr>
          <w:sz w:val="22"/>
        </w:rPr>
      </w:pPr>
      <w:r>
        <w:rPr>
          <w:sz w:val="22"/>
        </w:rPr>
        <w:t>De Souza MJ, Miller BE, Sequenzia LC, et al. Bone health is not affected by luteal phase abnormalities and decreased ovarian progesterone production in female runners. </w:t>
      </w:r>
      <w:r>
        <w:rPr>
          <w:i/>
          <w:sz w:val="22"/>
        </w:rPr>
        <w:t>J Clin</w:t>
      </w:r>
      <w:r>
        <w:rPr>
          <w:i/>
          <w:sz w:val="22"/>
        </w:rPr>
        <w:t> Endocrinol Metab</w:t>
      </w:r>
      <w:r>
        <w:rPr>
          <w:sz w:val="22"/>
        </w:rPr>
        <w:t>. 1997;82:2867.</w:t>
      </w:r>
    </w:p>
    <w:p>
      <w:pPr>
        <w:pStyle w:val="ListParagraph"/>
        <w:numPr>
          <w:ilvl w:val="0"/>
          <w:numId w:val="8"/>
        </w:numPr>
        <w:tabs>
          <w:tab w:pos="699" w:val="left" w:leader="none"/>
          <w:tab w:pos="718" w:val="left" w:leader="none"/>
        </w:tabs>
        <w:spacing w:line="256" w:lineRule="auto" w:before="0" w:after="0"/>
        <w:ind w:left="718" w:right="105" w:hanging="405"/>
        <w:jc w:val="both"/>
        <w:rPr>
          <w:sz w:val="22"/>
        </w:rPr>
      </w:pPr>
      <w:r>
        <w:rPr>
          <w:sz w:val="22"/>
        </w:rPr>
        <w:t>NIH Consensus Development Panel on Osteoporosis Prevention. Diagnosis and </w:t>
      </w:r>
      <w:r>
        <w:rPr>
          <w:sz w:val="22"/>
        </w:rPr>
        <w:t>therapy, osteoporosis prevention, diagnosis and therapy. </w:t>
      </w:r>
      <w:r>
        <w:rPr>
          <w:i/>
          <w:sz w:val="22"/>
        </w:rPr>
        <w:t>JAMA</w:t>
      </w:r>
      <w:r>
        <w:rPr>
          <w:sz w:val="22"/>
        </w:rPr>
        <w:t>. 2001;285:785.</w:t>
      </w:r>
    </w:p>
    <w:p>
      <w:pPr>
        <w:pStyle w:val="ListParagraph"/>
        <w:numPr>
          <w:ilvl w:val="0"/>
          <w:numId w:val="8"/>
        </w:numPr>
        <w:tabs>
          <w:tab w:pos="699" w:val="left" w:leader="none"/>
          <w:tab w:pos="718" w:val="left" w:leader="none"/>
        </w:tabs>
        <w:spacing w:line="256" w:lineRule="auto" w:before="0" w:after="0"/>
        <w:ind w:left="718" w:right="111" w:hanging="405"/>
        <w:jc w:val="both"/>
        <w:rPr>
          <w:sz w:val="22"/>
        </w:rPr>
      </w:pPr>
      <w:r>
        <w:rPr>
          <w:sz w:val="22"/>
        </w:rPr>
        <w:t>Cummings SR, Melton LJ III. Epidemiology and outcomes of osteoporotic fractures. </w:t>
      </w:r>
      <w:r>
        <w:rPr>
          <w:i/>
          <w:sz w:val="22"/>
        </w:rPr>
        <w:t>Lancet</w:t>
      </w:r>
      <w:r>
        <w:rPr>
          <w:sz w:val="22"/>
        </w:rPr>
        <w:t>. </w:t>
      </w:r>
      <w:r>
        <w:rPr>
          <w:spacing w:val="-2"/>
          <w:sz w:val="22"/>
        </w:rPr>
        <w:t>2002;359:1761.</w:t>
      </w:r>
    </w:p>
    <w:p>
      <w:pPr>
        <w:pStyle w:val="ListParagraph"/>
        <w:numPr>
          <w:ilvl w:val="0"/>
          <w:numId w:val="8"/>
        </w:numPr>
        <w:tabs>
          <w:tab w:pos="699" w:val="left" w:leader="none"/>
          <w:tab w:pos="718" w:val="left" w:leader="none"/>
        </w:tabs>
        <w:spacing w:line="256" w:lineRule="auto" w:before="0" w:after="0"/>
        <w:ind w:left="718" w:right="105" w:hanging="405"/>
        <w:jc w:val="both"/>
        <w:rPr>
          <w:sz w:val="22"/>
        </w:rPr>
      </w:pPr>
      <w:r>
        <w:rPr>
          <w:sz w:val="22"/>
        </w:rPr>
        <w:t>Daniell HW. Postmenopausal tooth loss: contributions to edentulism by osteoporosis </w:t>
      </w:r>
      <w:r>
        <w:rPr>
          <w:sz w:val="22"/>
        </w:rPr>
        <w:t>and cigarette smoking. </w:t>
      </w:r>
      <w:r>
        <w:rPr>
          <w:i/>
          <w:sz w:val="22"/>
        </w:rPr>
        <w:t>Arch Intern Med</w:t>
      </w:r>
      <w:r>
        <w:rPr>
          <w:sz w:val="22"/>
        </w:rPr>
        <w:t>. 1983;143:1678.</w:t>
      </w:r>
    </w:p>
    <w:p>
      <w:pPr>
        <w:pStyle w:val="ListParagraph"/>
        <w:numPr>
          <w:ilvl w:val="0"/>
          <w:numId w:val="8"/>
        </w:numPr>
        <w:tabs>
          <w:tab w:pos="699" w:val="left" w:leader="none"/>
          <w:tab w:pos="718" w:val="left" w:leader="none"/>
        </w:tabs>
        <w:spacing w:line="256" w:lineRule="auto" w:before="0" w:after="0"/>
        <w:ind w:left="718" w:right="105" w:hanging="405"/>
        <w:jc w:val="both"/>
        <w:rPr>
          <w:sz w:val="22"/>
        </w:rPr>
      </w:pPr>
      <w:r>
        <w:rPr>
          <w:sz w:val="22"/>
        </w:rPr>
        <w:t>Jacobs RM, Himes JH, Pihlstrom BL. Associations of periodontal disease with femoral bone mineral</w:t>
      </w:r>
      <w:r>
        <w:rPr>
          <w:spacing w:val="40"/>
          <w:sz w:val="22"/>
        </w:rPr>
        <w:t> </w:t>
      </w:r>
      <w:r>
        <w:rPr>
          <w:sz w:val="22"/>
        </w:rPr>
        <w:t>density</w:t>
      </w:r>
      <w:r>
        <w:rPr>
          <w:spacing w:val="40"/>
          <w:sz w:val="22"/>
        </w:rPr>
        <w:t> </w:t>
      </w:r>
      <w:r>
        <w:rPr>
          <w:sz w:val="22"/>
        </w:rPr>
        <w:t>and</w:t>
      </w:r>
      <w:r>
        <w:rPr>
          <w:spacing w:val="40"/>
          <w:sz w:val="22"/>
        </w:rPr>
        <w:t> </w:t>
      </w:r>
      <w:r>
        <w:rPr>
          <w:sz w:val="22"/>
        </w:rPr>
        <w:t>estrogen</w:t>
      </w:r>
      <w:r>
        <w:rPr>
          <w:spacing w:val="40"/>
          <w:sz w:val="22"/>
        </w:rPr>
        <w:t> </w:t>
      </w:r>
      <w:r>
        <w:rPr>
          <w:sz w:val="22"/>
        </w:rPr>
        <w:t>replacement</w:t>
      </w:r>
      <w:r>
        <w:rPr>
          <w:spacing w:val="40"/>
          <w:sz w:val="22"/>
        </w:rPr>
        <w:t> </w:t>
      </w:r>
      <w:r>
        <w:rPr>
          <w:sz w:val="22"/>
        </w:rPr>
        <w:t>therapy:</w:t>
      </w:r>
      <w:r>
        <w:rPr>
          <w:spacing w:val="40"/>
          <w:sz w:val="22"/>
        </w:rPr>
        <w:t> </w:t>
      </w:r>
      <w:r>
        <w:rPr>
          <w:sz w:val="22"/>
        </w:rPr>
        <w:t>cross-sectional</w:t>
      </w:r>
      <w:r>
        <w:rPr>
          <w:spacing w:val="40"/>
          <w:sz w:val="22"/>
        </w:rPr>
        <w:t> </w:t>
      </w:r>
      <w:r>
        <w:rPr>
          <w:sz w:val="22"/>
        </w:rPr>
        <w:t>evaluation</w:t>
      </w:r>
      <w:r>
        <w:rPr>
          <w:spacing w:val="40"/>
          <w:sz w:val="22"/>
        </w:rPr>
        <w:t> </w:t>
      </w:r>
      <w:r>
        <w:rPr>
          <w:sz w:val="22"/>
        </w:rPr>
        <w:t>of</w:t>
      </w:r>
      <w:r>
        <w:rPr>
          <w:spacing w:val="40"/>
          <w:sz w:val="22"/>
        </w:rPr>
        <w:t> </w:t>
      </w:r>
      <w:r>
        <w:rPr>
          <w:sz w:val="22"/>
        </w:rPr>
        <w:t>US</w:t>
      </w:r>
      <w:r>
        <w:rPr>
          <w:spacing w:val="40"/>
          <w:sz w:val="22"/>
        </w:rPr>
        <w:t> </w:t>
      </w:r>
      <w:r>
        <w:rPr>
          <w:sz w:val="22"/>
        </w:rPr>
        <w:t>adults from NHANES III. </w:t>
      </w:r>
      <w:r>
        <w:rPr>
          <w:i/>
          <w:sz w:val="22"/>
        </w:rPr>
        <w:t>J Clin Periodontol</w:t>
      </w:r>
      <w:r>
        <w:rPr>
          <w:sz w:val="22"/>
        </w:rPr>
        <w:t>. 2000;27:778.</w:t>
      </w:r>
    </w:p>
    <w:p>
      <w:pPr>
        <w:pStyle w:val="ListParagraph"/>
        <w:spacing w:after="0" w:line="256" w:lineRule="auto"/>
        <w:jc w:val="both"/>
        <w:rPr>
          <w:sz w:val="22"/>
        </w:rPr>
        <w:sectPr>
          <w:pgSz w:w="12240" w:h="15840"/>
          <w:pgMar w:top="1360" w:bottom="280" w:left="1440" w:right="1440"/>
        </w:sectPr>
      </w:pPr>
    </w:p>
    <w:p>
      <w:pPr>
        <w:pStyle w:val="ListParagraph"/>
        <w:numPr>
          <w:ilvl w:val="0"/>
          <w:numId w:val="8"/>
        </w:numPr>
        <w:tabs>
          <w:tab w:pos="699" w:val="left" w:leader="none"/>
          <w:tab w:pos="718" w:val="left" w:leader="none"/>
        </w:tabs>
        <w:spacing w:line="256" w:lineRule="auto" w:before="84" w:after="0"/>
        <w:ind w:left="718" w:right="110" w:hanging="405"/>
        <w:jc w:val="both"/>
        <w:rPr>
          <w:sz w:val="22"/>
        </w:rPr>
      </w:pPr>
      <w:r>
        <w:rPr>
          <w:sz w:val="22"/>
        </w:rPr>
        <w:t>Krall EA, Dawson-Hughes B, Papas A, Garcia RI. Tooth loss and skeletal bone density </w:t>
      </w:r>
      <w:r>
        <w:rPr>
          <w:sz w:val="22"/>
        </w:rPr>
        <w:t>in healthy postmenopausal women. </w:t>
      </w:r>
      <w:r>
        <w:rPr>
          <w:i/>
          <w:sz w:val="22"/>
        </w:rPr>
        <w:t>Osteoporos Int</w:t>
      </w:r>
      <w:r>
        <w:rPr>
          <w:sz w:val="22"/>
        </w:rPr>
        <w:t>. 1994;4:104.</w:t>
      </w:r>
    </w:p>
    <w:p>
      <w:pPr>
        <w:pStyle w:val="ListParagraph"/>
        <w:numPr>
          <w:ilvl w:val="0"/>
          <w:numId w:val="8"/>
        </w:numPr>
        <w:tabs>
          <w:tab w:pos="699" w:val="left" w:leader="none"/>
          <w:tab w:pos="718" w:val="left" w:leader="none"/>
        </w:tabs>
        <w:spacing w:line="256" w:lineRule="auto" w:before="0" w:after="0"/>
        <w:ind w:left="718" w:right="111" w:hanging="405"/>
        <w:jc w:val="both"/>
        <w:rPr>
          <w:sz w:val="22"/>
        </w:rPr>
      </w:pPr>
      <w:r>
        <w:rPr>
          <w:sz w:val="22"/>
        </w:rPr>
        <w:t>Paganini-Hill A. Estrogen replacement therapy—something to smile about. </w:t>
      </w:r>
      <w:r>
        <w:rPr>
          <w:i/>
          <w:sz w:val="22"/>
        </w:rPr>
        <w:t>Compend </w:t>
      </w:r>
      <w:r>
        <w:rPr>
          <w:i/>
          <w:sz w:val="22"/>
        </w:rPr>
        <w:t>Contin</w:t>
      </w:r>
      <w:r>
        <w:rPr>
          <w:i/>
          <w:sz w:val="22"/>
        </w:rPr>
        <w:t> Educ Dent Suppl</w:t>
      </w:r>
      <w:r>
        <w:rPr>
          <w:sz w:val="22"/>
        </w:rPr>
        <w:t>. 1998;22:S4.</w:t>
      </w:r>
    </w:p>
    <w:p>
      <w:pPr>
        <w:pStyle w:val="ListParagraph"/>
        <w:numPr>
          <w:ilvl w:val="0"/>
          <w:numId w:val="8"/>
        </w:numPr>
        <w:tabs>
          <w:tab w:pos="699" w:val="left" w:leader="none"/>
          <w:tab w:pos="718" w:val="left" w:leader="none"/>
        </w:tabs>
        <w:spacing w:line="256" w:lineRule="auto" w:before="0" w:after="0"/>
        <w:ind w:left="718" w:right="103" w:hanging="405"/>
        <w:jc w:val="both"/>
        <w:rPr>
          <w:sz w:val="22"/>
        </w:rPr>
      </w:pPr>
      <w:r>
        <w:rPr>
          <w:sz w:val="22"/>
        </w:rPr>
        <w:t>Krall EA, Dawson-Hughes B, Hannan MT, Wilson PW, Kiel DP. Postmenopausal estrogen replacement and tooth retention. </w:t>
      </w:r>
      <w:r>
        <w:rPr>
          <w:i/>
          <w:sz w:val="22"/>
        </w:rPr>
        <w:t>Am J Med</w:t>
      </w:r>
      <w:r>
        <w:rPr>
          <w:sz w:val="22"/>
        </w:rPr>
        <w:t>. 1997;102:536.</w:t>
      </w:r>
    </w:p>
    <w:p>
      <w:pPr>
        <w:pStyle w:val="ListParagraph"/>
        <w:numPr>
          <w:ilvl w:val="0"/>
          <w:numId w:val="8"/>
        </w:numPr>
        <w:tabs>
          <w:tab w:pos="699" w:val="left" w:leader="none"/>
          <w:tab w:pos="718" w:val="left" w:leader="none"/>
        </w:tabs>
        <w:spacing w:line="256" w:lineRule="auto" w:before="0" w:after="0"/>
        <w:ind w:left="718" w:right="108" w:hanging="405"/>
        <w:jc w:val="both"/>
        <w:rPr>
          <w:sz w:val="22"/>
        </w:rPr>
      </w:pPr>
      <w:r>
        <w:rPr>
          <w:sz w:val="22"/>
        </w:rPr>
        <w:t>Grodstein</w:t>
      </w:r>
      <w:r>
        <w:rPr>
          <w:spacing w:val="40"/>
          <w:sz w:val="22"/>
        </w:rPr>
        <w:t> </w:t>
      </w:r>
      <w:r>
        <w:rPr>
          <w:sz w:val="22"/>
        </w:rPr>
        <w:t>F,</w:t>
      </w:r>
      <w:r>
        <w:rPr>
          <w:spacing w:val="40"/>
          <w:sz w:val="22"/>
        </w:rPr>
        <w:t> </w:t>
      </w:r>
      <w:r>
        <w:rPr>
          <w:sz w:val="22"/>
        </w:rPr>
        <w:t>Colditz</w:t>
      </w:r>
      <w:r>
        <w:rPr>
          <w:spacing w:val="40"/>
          <w:sz w:val="22"/>
        </w:rPr>
        <w:t> </w:t>
      </w:r>
      <w:r>
        <w:rPr>
          <w:sz w:val="22"/>
        </w:rPr>
        <w:t>GA,</w:t>
      </w:r>
      <w:r>
        <w:rPr>
          <w:spacing w:val="40"/>
          <w:sz w:val="22"/>
        </w:rPr>
        <w:t> </w:t>
      </w:r>
      <w:r>
        <w:rPr>
          <w:sz w:val="22"/>
        </w:rPr>
        <w:t>Stampfer</w:t>
      </w:r>
      <w:r>
        <w:rPr>
          <w:spacing w:val="40"/>
          <w:sz w:val="22"/>
        </w:rPr>
        <w:t> </w:t>
      </w:r>
      <w:r>
        <w:rPr>
          <w:sz w:val="22"/>
        </w:rPr>
        <w:t>MJ.</w:t>
      </w:r>
      <w:r>
        <w:rPr>
          <w:spacing w:val="40"/>
          <w:sz w:val="22"/>
        </w:rPr>
        <w:t> </w:t>
      </w:r>
      <w:r>
        <w:rPr>
          <w:sz w:val="22"/>
        </w:rPr>
        <w:t>Tooth</w:t>
      </w:r>
      <w:r>
        <w:rPr>
          <w:spacing w:val="40"/>
          <w:sz w:val="22"/>
        </w:rPr>
        <w:t> </w:t>
      </w:r>
      <w:r>
        <w:rPr>
          <w:sz w:val="22"/>
        </w:rPr>
        <w:t>loss</w:t>
      </w:r>
      <w:r>
        <w:rPr>
          <w:spacing w:val="40"/>
          <w:sz w:val="22"/>
        </w:rPr>
        <w:t> </w:t>
      </w:r>
      <w:r>
        <w:rPr>
          <w:sz w:val="22"/>
        </w:rPr>
        <w:t>and</w:t>
      </w:r>
      <w:r>
        <w:rPr>
          <w:spacing w:val="40"/>
          <w:sz w:val="22"/>
        </w:rPr>
        <w:t> </w:t>
      </w:r>
      <w:r>
        <w:rPr>
          <w:sz w:val="22"/>
        </w:rPr>
        <w:t>hormone</w:t>
      </w:r>
      <w:r>
        <w:rPr>
          <w:spacing w:val="40"/>
          <w:sz w:val="22"/>
        </w:rPr>
        <w:t> </w:t>
      </w:r>
      <w:r>
        <w:rPr>
          <w:sz w:val="22"/>
        </w:rPr>
        <w:t>use</w:t>
      </w:r>
      <w:r>
        <w:rPr>
          <w:spacing w:val="40"/>
          <w:sz w:val="22"/>
        </w:rPr>
        <w:t> </w:t>
      </w:r>
      <w:r>
        <w:rPr>
          <w:sz w:val="22"/>
        </w:rPr>
        <w:t>in</w:t>
      </w:r>
      <w:r>
        <w:rPr>
          <w:spacing w:val="40"/>
          <w:sz w:val="22"/>
        </w:rPr>
        <w:t> </w:t>
      </w:r>
      <w:r>
        <w:rPr>
          <w:sz w:val="22"/>
        </w:rPr>
        <w:t>postmenopausal women. </w:t>
      </w:r>
      <w:r>
        <w:rPr>
          <w:i/>
          <w:sz w:val="22"/>
        </w:rPr>
        <w:t>Compend Contin Educ Dent Suppl</w:t>
      </w:r>
      <w:r>
        <w:rPr>
          <w:sz w:val="22"/>
        </w:rPr>
        <w:t>. 1998;22:S9.</w:t>
      </w:r>
    </w:p>
    <w:p>
      <w:pPr>
        <w:pStyle w:val="ListParagraph"/>
        <w:numPr>
          <w:ilvl w:val="0"/>
          <w:numId w:val="8"/>
        </w:numPr>
        <w:tabs>
          <w:tab w:pos="699" w:val="left" w:leader="none"/>
          <w:tab w:pos="718" w:val="left" w:leader="none"/>
        </w:tabs>
        <w:spacing w:line="256" w:lineRule="auto" w:before="0" w:after="0"/>
        <w:ind w:left="718" w:right="102" w:hanging="405"/>
        <w:jc w:val="both"/>
        <w:rPr>
          <w:sz w:val="22"/>
        </w:rPr>
      </w:pPr>
      <w:r>
        <w:rPr>
          <w:sz w:val="22"/>
        </w:rPr>
        <w:t>Lindsay</w:t>
      </w:r>
      <w:r>
        <w:rPr>
          <w:spacing w:val="11"/>
          <w:sz w:val="22"/>
        </w:rPr>
        <w:t> </w:t>
      </w:r>
      <w:r>
        <w:rPr>
          <w:sz w:val="22"/>
        </w:rPr>
        <w:t>R,</w:t>
      </w:r>
      <w:r>
        <w:rPr>
          <w:spacing w:val="11"/>
          <w:sz w:val="22"/>
        </w:rPr>
        <w:t> </w:t>
      </w:r>
      <w:r>
        <w:rPr>
          <w:sz w:val="22"/>
        </w:rPr>
        <w:t>Silverman</w:t>
      </w:r>
      <w:r>
        <w:rPr>
          <w:spacing w:val="11"/>
          <w:sz w:val="22"/>
        </w:rPr>
        <w:t> </w:t>
      </w:r>
      <w:r>
        <w:rPr>
          <w:sz w:val="22"/>
        </w:rPr>
        <w:t>SL,</w:t>
      </w:r>
      <w:r>
        <w:rPr>
          <w:spacing w:val="11"/>
          <w:sz w:val="22"/>
        </w:rPr>
        <w:t> </w:t>
      </w:r>
      <w:r>
        <w:rPr>
          <w:sz w:val="22"/>
        </w:rPr>
        <w:t>Cooper</w:t>
      </w:r>
      <w:r>
        <w:rPr>
          <w:spacing w:val="11"/>
          <w:sz w:val="22"/>
        </w:rPr>
        <w:t> </w:t>
      </w:r>
      <w:r>
        <w:rPr>
          <w:sz w:val="22"/>
        </w:rPr>
        <w:t>C,</w:t>
      </w:r>
      <w:r>
        <w:rPr>
          <w:spacing w:val="11"/>
          <w:sz w:val="22"/>
        </w:rPr>
        <w:t> </w:t>
      </w:r>
      <w:r>
        <w:rPr>
          <w:sz w:val="22"/>
        </w:rPr>
        <w:t>et</w:t>
      </w:r>
      <w:r>
        <w:rPr>
          <w:spacing w:val="11"/>
          <w:sz w:val="22"/>
        </w:rPr>
        <w:t> </w:t>
      </w:r>
      <w:r>
        <w:rPr>
          <w:sz w:val="22"/>
        </w:rPr>
        <w:t>al.</w:t>
      </w:r>
      <w:r>
        <w:rPr>
          <w:spacing w:val="11"/>
          <w:sz w:val="22"/>
        </w:rPr>
        <w:t> </w:t>
      </w:r>
      <w:r>
        <w:rPr>
          <w:sz w:val="22"/>
        </w:rPr>
        <w:t>Risk</w:t>
      </w:r>
      <w:r>
        <w:rPr>
          <w:spacing w:val="13"/>
          <w:sz w:val="22"/>
        </w:rPr>
        <w:t> </w:t>
      </w:r>
      <w:r>
        <w:rPr>
          <w:sz w:val="22"/>
        </w:rPr>
        <w:t>of</w:t>
      </w:r>
      <w:r>
        <w:rPr>
          <w:spacing w:val="13"/>
          <w:sz w:val="22"/>
        </w:rPr>
        <w:t> </w:t>
      </w:r>
      <w:r>
        <w:rPr>
          <w:sz w:val="22"/>
        </w:rPr>
        <w:t>new</w:t>
      </w:r>
      <w:r>
        <w:rPr>
          <w:spacing w:val="13"/>
          <w:sz w:val="22"/>
        </w:rPr>
        <w:t> </w:t>
      </w:r>
      <w:r>
        <w:rPr>
          <w:sz w:val="22"/>
        </w:rPr>
        <w:t>vertebral</w:t>
      </w:r>
      <w:r>
        <w:rPr>
          <w:spacing w:val="13"/>
          <w:sz w:val="22"/>
        </w:rPr>
        <w:t> </w:t>
      </w:r>
      <w:r>
        <w:rPr>
          <w:sz w:val="22"/>
        </w:rPr>
        <w:t>fracture</w:t>
      </w:r>
      <w:r>
        <w:rPr>
          <w:spacing w:val="13"/>
          <w:sz w:val="22"/>
        </w:rPr>
        <w:t> </w:t>
      </w:r>
      <w:r>
        <w:rPr>
          <w:sz w:val="22"/>
        </w:rPr>
        <w:t>in</w:t>
      </w:r>
      <w:r>
        <w:rPr>
          <w:spacing w:val="13"/>
          <w:sz w:val="22"/>
        </w:rPr>
        <w:t> </w:t>
      </w:r>
      <w:r>
        <w:rPr>
          <w:sz w:val="22"/>
        </w:rPr>
        <w:t>the</w:t>
      </w:r>
      <w:r>
        <w:rPr>
          <w:spacing w:val="13"/>
          <w:sz w:val="22"/>
        </w:rPr>
        <w:t> </w:t>
      </w:r>
      <w:r>
        <w:rPr>
          <w:sz w:val="22"/>
        </w:rPr>
        <w:t>year</w:t>
      </w:r>
      <w:r>
        <w:rPr>
          <w:spacing w:val="13"/>
          <w:sz w:val="22"/>
        </w:rPr>
        <w:t> </w:t>
      </w:r>
      <w:r>
        <w:rPr>
          <w:sz w:val="22"/>
        </w:rPr>
        <w:t>following a fracture. </w:t>
      </w:r>
      <w:r>
        <w:rPr>
          <w:i/>
          <w:sz w:val="22"/>
        </w:rPr>
        <w:t>JAMA</w:t>
      </w:r>
      <w:r>
        <w:rPr>
          <w:sz w:val="22"/>
        </w:rPr>
        <w:t>. 2001;285:320.</w:t>
      </w:r>
    </w:p>
    <w:p>
      <w:pPr>
        <w:pStyle w:val="ListParagraph"/>
        <w:numPr>
          <w:ilvl w:val="0"/>
          <w:numId w:val="8"/>
        </w:numPr>
        <w:tabs>
          <w:tab w:pos="699" w:val="left" w:leader="none"/>
          <w:tab w:pos="718" w:val="left" w:leader="none"/>
        </w:tabs>
        <w:spacing w:line="256" w:lineRule="auto" w:before="0" w:after="0"/>
        <w:ind w:left="718" w:right="108" w:hanging="405"/>
        <w:jc w:val="both"/>
        <w:rPr>
          <w:sz w:val="22"/>
        </w:rPr>
      </w:pPr>
      <w:r>
        <w:rPr>
          <w:sz w:val="22"/>
        </w:rPr>
        <w:t>Black DM, Arden NK, Palermo L, Pearson J, Cummings SR. Prevalent vertebral deformities predict hip fractures and new vertebral deformities but not wrist fractures. Study of</w:t>
      </w:r>
      <w:r>
        <w:rPr>
          <w:spacing w:val="80"/>
          <w:sz w:val="22"/>
        </w:rPr>
        <w:t> </w:t>
      </w:r>
      <w:r>
        <w:rPr>
          <w:sz w:val="22"/>
        </w:rPr>
        <w:t>Osteoporotic Fractures Research Group. </w:t>
      </w:r>
      <w:r>
        <w:rPr>
          <w:i/>
          <w:sz w:val="22"/>
        </w:rPr>
        <w:t>J Bone Miner Res</w:t>
      </w:r>
      <w:r>
        <w:rPr>
          <w:sz w:val="22"/>
        </w:rPr>
        <w:t>. 1999;14:821.</w:t>
      </w:r>
    </w:p>
    <w:p>
      <w:pPr>
        <w:pStyle w:val="ListParagraph"/>
        <w:numPr>
          <w:ilvl w:val="0"/>
          <w:numId w:val="8"/>
        </w:numPr>
        <w:tabs>
          <w:tab w:pos="699" w:val="left" w:leader="none"/>
          <w:tab w:pos="718" w:val="left" w:leader="none"/>
        </w:tabs>
        <w:spacing w:line="256" w:lineRule="auto" w:before="0" w:after="0"/>
        <w:ind w:left="718" w:right="109" w:hanging="405"/>
        <w:jc w:val="both"/>
        <w:rPr>
          <w:sz w:val="22"/>
        </w:rPr>
      </w:pPr>
      <w:r>
        <w:rPr>
          <w:sz w:val="22"/>
        </w:rPr>
        <w:t>Melton LJ III, Atkinson EJ, Cooper C, O’Fallon WM, Riggs BL. Vertebral fractures </w:t>
      </w:r>
      <w:r>
        <w:rPr>
          <w:sz w:val="22"/>
        </w:rPr>
        <w:t>predict subsequent fractures. </w:t>
      </w:r>
      <w:r>
        <w:rPr>
          <w:i/>
          <w:sz w:val="22"/>
        </w:rPr>
        <w:t>Osteoporos Int</w:t>
      </w:r>
      <w:r>
        <w:rPr>
          <w:sz w:val="22"/>
        </w:rPr>
        <w:t>. 1999;10:214.</w:t>
      </w:r>
    </w:p>
    <w:p>
      <w:pPr>
        <w:pStyle w:val="ListParagraph"/>
        <w:numPr>
          <w:ilvl w:val="0"/>
          <w:numId w:val="8"/>
        </w:numPr>
        <w:tabs>
          <w:tab w:pos="699" w:val="left" w:leader="none"/>
          <w:tab w:pos="718" w:val="left" w:leader="none"/>
        </w:tabs>
        <w:spacing w:line="256" w:lineRule="auto" w:before="0" w:after="0"/>
        <w:ind w:left="718" w:right="103" w:hanging="405"/>
        <w:jc w:val="both"/>
        <w:rPr>
          <w:sz w:val="22"/>
        </w:rPr>
      </w:pPr>
      <w:r>
        <w:rPr>
          <w:sz w:val="22"/>
        </w:rPr>
        <w:t>Bliue D, Nguyen ND, Milch VE, Nguyen TV, Eisman JA, Center JR. Mortality risk </w:t>
      </w:r>
      <w:r>
        <w:rPr>
          <w:sz w:val="22"/>
        </w:rPr>
        <w:t>associated with low-trauma osteoporotic fracture and subsequent fracture in men and women. </w:t>
      </w:r>
      <w:r>
        <w:rPr>
          <w:i/>
          <w:sz w:val="22"/>
        </w:rPr>
        <w:t>JAMA</w:t>
      </w:r>
      <w:r>
        <w:rPr>
          <w:sz w:val="22"/>
        </w:rPr>
        <w:t>. </w:t>
      </w:r>
      <w:r>
        <w:rPr>
          <w:spacing w:val="-2"/>
          <w:sz w:val="22"/>
        </w:rPr>
        <w:t>2009;301:513.</w:t>
      </w:r>
    </w:p>
    <w:p>
      <w:pPr>
        <w:pStyle w:val="ListParagraph"/>
        <w:numPr>
          <w:ilvl w:val="0"/>
          <w:numId w:val="8"/>
        </w:numPr>
        <w:tabs>
          <w:tab w:pos="699" w:val="left" w:leader="none"/>
          <w:tab w:pos="718" w:val="left" w:leader="none"/>
        </w:tabs>
        <w:spacing w:line="256" w:lineRule="auto" w:before="0" w:after="0"/>
        <w:ind w:left="718" w:right="98" w:hanging="405"/>
        <w:jc w:val="both"/>
        <w:rPr>
          <w:sz w:val="22"/>
        </w:rPr>
      </w:pPr>
      <w:r>
        <w:rPr>
          <w:sz w:val="22"/>
        </w:rPr>
        <w:t>Silverman</w:t>
      </w:r>
      <w:r>
        <w:rPr>
          <w:spacing w:val="22"/>
          <w:sz w:val="22"/>
        </w:rPr>
        <w:t> </w:t>
      </w:r>
      <w:r>
        <w:rPr>
          <w:sz w:val="22"/>
        </w:rPr>
        <w:t>SL,</w:t>
      </w:r>
      <w:r>
        <w:rPr>
          <w:spacing w:val="22"/>
          <w:sz w:val="22"/>
        </w:rPr>
        <w:t> </w:t>
      </w:r>
      <w:r>
        <w:rPr>
          <w:sz w:val="22"/>
        </w:rPr>
        <w:t>Shen</w:t>
      </w:r>
      <w:r>
        <w:rPr>
          <w:spacing w:val="22"/>
          <w:sz w:val="22"/>
        </w:rPr>
        <w:t> </w:t>
      </w:r>
      <w:r>
        <w:rPr>
          <w:sz w:val="22"/>
        </w:rPr>
        <w:t>W,</w:t>
      </w:r>
      <w:r>
        <w:rPr>
          <w:spacing w:val="22"/>
          <w:sz w:val="22"/>
        </w:rPr>
        <w:t> </w:t>
      </w:r>
      <w:r>
        <w:rPr>
          <w:sz w:val="22"/>
        </w:rPr>
        <w:t>Minshall</w:t>
      </w:r>
      <w:r>
        <w:rPr>
          <w:spacing w:val="22"/>
          <w:sz w:val="22"/>
        </w:rPr>
        <w:t> </w:t>
      </w:r>
      <w:r>
        <w:rPr>
          <w:sz w:val="22"/>
        </w:rPr>
        <w:t>ME,</w:t>
      </w:r>
      <w:r>
        <w:rPr>
          <w:spacing w:val="22"/>
          <w:sz w:val="22"/>
        </w:rPr>
        <w:t> </w:t>
      </w:r>
      <w:r>
        <w:rPr>
          <w:sz w:val="22"/>
        </w:rPr>
        <w:t>Xie</w:t>
      </w:r>
      <w:r>
        <w:rPr>
          <w:spacing w:val="22"/>
          <w:sz w:val="22"/>
        </w:rPr>
        <w:t> </w:t>
      </w:r>
      <w:r>
        <w:rPr>
          <w:sz w:val="22"/>
        </w:rPr>
        <w:t>S,</w:t>
      </w:r>
      <w:r>
        <w:rPr>
          <w:spacing w:val="22"/>
          <w:sz w:val="22"/>
        </w:rPr>
        <w:t> </w:t>
      </w:r>
      <w:r>
        <w:rPr>
          <w:sz w:val="22"/>
        </w:rPr>
        <w:t>Moses</w:t>
      </w:r>
      <w:r>
        <w:rPr>
          <w:spacing w:val="22"/>
          <w:sz w:val="22"/>
        </w:rPr>
        <w:t> </w:t>
      </w:r>
      <w:r>
        <w:rPr>
          <w:sz w:val="22"/>
        </w:rPr>
        <w:t>KH.</w:t>
      </w:r>
      <w:r>
        <w:rPr>
          <w:spacing w:val="22"/>
          <w:sz w:val="22"/>
        </w:rPr>
        <w:t> </w:t>
      </w:r>
      <w:r>
        <w:rPr>
          <w:sz w:val="22"/>
        </w:rPr>
        <w:t>Prevalence</w:t>
      </w:r>
      <w:r>
        <w:rPr>
          <w:spacing w:val="25"/>
          <w:sz w:val="22"/>
        </w:rPr>
        <w:t> </w:t>
      </w:r>
      <w:r>
        <w:rPr>
          <w:sz w:val="22"/>
        </w:rPr>
        <w:t>of</w:t>
      </w:r>
      <w:r>
        <w:rPr>
          <w:spacing w:val="25"/>
          <w:sz w:val="22"/>
        </w:rPr>
        <w:t> </w:t>
      </w:r>
      <w:r>
        <w:rPr>
          <w:sz w:val="22"/>
        </w:rPr>
        <w:t>depressive</w:t>
      </w:r>
      <w:r>
        <w:rPr>
          <w:spacing w:val="25"/>
          <w:sz w:val="22"/>
        </w:rPr>
        <w:t> </w:t>
      </w:r>
      <w:r>
        <w:rPr>
          <w:sz w:val="22"/>
        </w:rPr>
        <w:t>symptoms in postmenopausal women with low bone mineral density and/or prevalent vertebral fracture: results from the Multiple Outcomes of Raloxifene Evaluation (MORE) study. </w:t>
      </w:r>
      <w:r>
        <w:rPr>
          <w:i/>
          <w:sz w:val="22"/>
        </w:rPr>
        <w:t>J Rheumatol</w:t>
      </w:r>
      <w:r>
        <w:rPr>
          <w:sz w:val="22"/>
        </w:rPr>
        <w:t>. </w:t>
      </w:r>
      <w:r>
        <w:rPr>
          <w:spacing w:val="-2"/>
          <w:sz w:val="22"/>
        </w:rPr>
        <w:t>2007;34:140.</w:t>
      </w:r>
    </w:p>
    <w:p>
      <w:pPr>
        <w:pStyle w:val="ListParagraph"/>
        <w:numPr>
          <w:ilvl w:val="0"/>
          <w:numId w:val="8"/>
        </w:numPr>
        <w:tabs>
          <w:tab w:pos="699" w:val="left" w:leader="none"/>
          <w:tab w:pos="718" w:val="left" w:leader="none"/>
        </w:tabs>
        <w:spacing w:line="256" w:lineRule="auto" w:before="0" w:after="0"/>
        <w:ind w:left="718" w:right="105" w:hanging="405"/>
        <w:jc w:val="both"/>
        <w:rPr>
          <w:sz w:val="22"/>
        </w:rPr>
      </w:pPr>
      <w:r>
        <w:rPr>
          <w:sz w:val="22"/>
        </w:rPr>
        <w:t>Whooley</w:t>
      </w:r>
      <w:r>
        <w:rPr>
          <w:spacing w:val="33"/>
          <w:sz w:val="22"/>
        </w:rPr>
        <w:t> </w:t>
      </w:r>
      <w:r>
        <w:rPr>
          <w:sz w:val="22"/>
        </w:rPr>
        <w:t>MA,</w:t>
      </w:r>
      <w:r>
        <w:rPr>
          <w:spacing w:val="33"/>
          <w:sz w:val="22"/>
        </w:rPr>
        <w:t> </w:t>
      </w:r>
      <w:r>
        <w:rPr>
          <w:sz w:val="22"/>
        </w:rPr>
        <w:t>Kip</w:t>
      </w:r>
      <w:r>
        <w:rPr>
          <w:spacing w:val="33"/>
          <w:sz w:val="22"/>
        </w:rPr>
        <w:t> </w:t>
      </w:r>
      <w:r>
        <w:rPr>
          <w:sz w:val="22"/>
        </w:rPr>
        <w:t>KE,</w:t>
      </w:r>
      <w:r>
        <w:rPr>
          <w:spacing w:val="33"/>
          <w:sz w:val="22"/>
        </w:rPr>
        <w:t> </w:t>
      </w:r>
      <w:r>
        <w:rPr>
          <w:sz w:val="22"/>
        </w:rPr>
        <w:t>Cauley</w:t>
      </w:r>
      <w:r>
        <w:rPr>
          <w:spacing w:val="33"/>
          <w:sz w:val="22"/>
        </w:rPr>
        <w:t> </w:t>
      </w:r>
      <w:r>
        <w:rPr>
          <w:sz w:val="22"/>
        </w:rPr>
        <w:t>JA,</w:t>
      </w:r>
      <w:r>
        <w:rPr>
          <w:spacing w:val="33"/>
          <w:sz w:val="22"/>
        </w:rPr>
        <w:t> </w:t>
      </w:r>
      <w:r>
        <w:rPr>
          <w:sz w:val="22"/>
        </w:rPr>
        <w:t>Ensrud</w:t>
      </w:r>
      <w:r>
        <w:rPr>
          <w:spacing w:val="33"/>
          <w:sz w:val="22"/>
        </w:rPr>
        <w:t> </w:t>
      </w:r>
      <w:r>
        <w:rPr>
          <w:sz w:val="22"/>
        </w:rPr>
        <w:t>KE,</w:t>
      </w:r>
      <w:r>
        <w:rPr>
          <w:spacing w:val="33"/>
          <w:sz w:val="22"/>
        </w:rPr>
        <w:t> </w:t>
      </w:r>
      <w:r>
        <w:rPr>
          <w:sz w:val="22"/>
        </w:rPr>
        <w:t>Nevitt</w:t>
      </w:r>
      <w:r>
        <w:rPr>
          <w:spacing w:val="33"/>
          <w:sz w:val="22"/>
        </w:rPr>
        <w:t> </w:t>
      </w:r>
      <w:r>
        <w:rPr>
          <w:sz w:val="22"/>
        </w:rPr>
        <w:t>MC,</w:t>
      </w:r>
      <w:r>
        <w:rPr>
          <w:spacing w:val="33"/>
          <w:sz w:val="22"/>
        </w:rPr>
        <w:t> </w:t>
      </w:r>
      <w:r>
        <w:rPr>
          <w:sz w:val="22"/>
        </w:rPr>
        <w:t>Browner</w:t>
      </w:r>
      <w:r>
        <w:rPr>
          <w:spacing w:val="33"/>
          <w:sz w:val="22"/>
        </w:rPr>
        <w:t> </w:t>
      </w:r>
      <w:r>
        <w:rPr>
          <w:sz w:val="22"/>
        </w:rPr>
        <w:t>WS.</w:t>
      </w:r>
      <w:r>
        <w:rPr>
          <w:spacing w:val="33"/>
          <w:sz w:val="22"/>
        </w:rPr>
        <w:t> </w:t>
      </w:r>
      <w:r>
        <w:rPr>
          <w:sz w:val="22"/>
        </w:rPr>
        <w:t>Depression, falls, and risk of fracture in older women. Study of Osteoporotic Fractures Research Group. </w:t>
      </w:r>
      <w:r>
        <w:rPr>
          <w:i/>
          <w:sz w:val="22"/>
        </w:rPr>
        <w:t>Arch</w:t>
      </w:r>
      <w:r>
        <w:rPr>
          <w:i/>
          <w:sz w:val="22"/>
        </w:rPr>
        <w:t> Intern Med</w:t>
      </w:r>
      <w:r>
        <w:rPr>
          <w:sz w:val="22"/>
        </w:rPr>
        <w:t>. 1999;159:484.</w:t>
      </w:r>
    </w:p>
    <w:p>
      <w:pPr>
        <w:pStyle w:val="ListParagraph"/>
        <w:numPr>
          <w:ilvl w:val="0"/>
          <w:numId w:val="8"/>
        </w:numPr>
        <w:tabs>
          <w:tab w:pos="699" w:val="left" w:leader="none"/>
          <w:tab w:pos="718" w:val="left" w:leader="none"/>
        </w:tabs>
        <w:spacing w:line="256" w:lineRule="auto" w:before="0" w:after="0"/>
        <w:ind w:left="718" w:right="111" w:hanging="405"/>
        <w:jc w:val="both"/>
        <w:rPr>
          <w:sz w:val="22"/>
        </w:rPr>
      </w:pPr>
      <w:r>
        <w:rPr>
          <w:sz w:val="22"/>
        </w:rPr>
        <w:t>Robbins J, Hirsch C, Whitmer R, Cauley J, Harris T. The association of bone mineral density</w:t>
      </w:r>
      <w:r>
        <w:rPr>
          <w:spacing w:val="40"/>
          <w:sz w:val="22"/>
        </w:rPr>
        <w:t> </w:t>
      </w:r>
      <w:r>
        <w:rPr>
          <w:sz w:val="22"/>
        </w:rPr>
        <w:t>and depression in an older population. </w:t>
      </w:r>
      <w:r>
        <w:rPr>
          <w:i/>
          <w:sz w:val="22"/>
        </w:rPr>
        <w:t>J Am Geriatr Soc</w:t>
      </w:r>
      <w:r>
        <w:rPr>
          <w:sz w:val="22"/>
        </w:rPr>
        <w:t>. 2001;49:732.</w:t>
      </w:r>
    </w:p>
    <w:p>
      <w:pPr>
        <w:pStyle w:val="ListParagraph"/>
        <w:numPr>
          <w:ilvl w:val="0"/>
          <w:numId w:val="8"/>
        </w:numPr>
        <w:tabs>
          <w:tab w:pos="699" w:val="left" w:leader="none"/>
          <w:tab w:pos="718" w:val="left" w:leader="none"/>
        </w:tabs>
        <w:spacing w:line="256" w:lineRule="auto" w:before="0" w:after="0"/>
        <w:ind w:left="718" w:right="98" w:hanging="405"/>
        <w:jc w:val="both"/>
        <w:rPr>
          <w:sz w:val="22"/>
        </w:rPr>
      </w:pPr>
      <w:r>
        <w:rPr>
          <w:sz w:val="22"/>
        </w:rPr>
        <w:t>Milliken LA, Wilhelmy J, Martin CJ, et al. Depressive symptoms and changes in body weight exert independent and site-specific effects on bone in postmenopausal women exercising for </w:t>
      </w:r>
      <w:r>
        <w:rPr>
          <w:sz w:val="22"/>
        </w:rPr>
        <w:t>1 year. </w:t>
      </w:r>
      <w:r>
        <w:rPr>
          <w:i/>
          <w:sz w:val="22"/>
        </w:rPr>
        <w:t>J Gerontol A Biol Sci Med Sci</w:t>
      </w:r>
      <w:r>
        <w:rPr>
          <w:sz w:val="22"/>
        </w:rPr>
        <w:t>. 2006;61:488.</w:t>
      </w:r>
    </w:p>
    <w:p>
      <w:pPr>
        <w:pStyle w:val="ListParagraph"/>
        <w:numPr>
          <w:ilvl w:val="0"/>
          <w:numId w:val="8"/>
        </w:numPr>
        <w:tabs>
          <w:tab w:pos="699" w:val="left" w:leader="none"/>
          <w:tab w:pos="718" w:val="left" w:leader="none"/>
        </w:tabs>
        <w:spacing w:line="256" w:lineRule="auto" w:before="0" w:after="0"/>
        <w:ind w:left="718" w:right="100" w:hanging="405"/>
        <w:jc w:val="both"/>
        <w:rPr>
          <w:sz w:val="22"/>
        </w:rPr>
      </w:pPr>
      <w:r>
        <w:rPr>
          <w:sz w:val="22"/>
        </w:rPr>
        <w:t>Kahl KG, Greggersen W, Rudolf S, et al. Bone mineral density, bone turnover, and osteoprotegerin in depressed women with and without borderline personality disorder. </w:t>
      </w:r>
      <w:r>
        <w:rPr>
          <w:i/>
          <w:sz w:val="22"/>
        </w:rPr>
        <w:t>Psychosom Med</w:t>
      </w:r>
      <w:r>
        <w:rPr>
          <w:sz w:val="22"/>
        </w:rPr>
        <w:t>. 2006;68:669.</w:t>
      </w:r>
    </w:p>
    <w:p>
      <w:pPr>
        <w:pStyle w:val="ListParagraph"/>
        <w:numPr>
          <w:ilvl w:val="0"/>
          <w:numId w:val="8"/>
        </w:numPr>
        <w:tabs>
          <w:tab w:pos="699" w:val="left" w:leader="none"/>
          <w:tab w:pos="718" w:val="left" w:leader="none"/>
        </w:tabs>
        <w:spacing w:line="256" w:lineRule="auto" w:before="0" w:after="0"/>
        <w:ind w:left="718" w:right="108" w:hanging="405"/>
        <w:jc w:val="both"/>
        <w:rPr>
          <w:sz w:val="22"/>
        </w:rPr>
      </w:pPr>
      <w:r>
        <w:rPr>
          <w:sz w:val="22"/>
        </w:rPr>
        <w:t>Yirmiya R, Goshen I, Bajayo A, et al. Depression induces bone loss through stimulation of </w:t>
      </w:r>
      <w:r>
        <w:rPr>
          <w:sz w:val="22"/>
        </w:rPr>
        <w:t>the sympathetic nervous system. </w:t>
      </w:r>
      <w:r>
        <w:rPr>
          <w:i/>
          <w:sz w:val="22"/>
        </w:rPr>
        <w:t>Proc Natl Acad Sci U S A</w:t>
      </w:r>
      <w:r>
        <w:rPr>
          <w:sz w:val="22"/>
        </w:rPr>
        <w:t>. 2006;103:16876.</w:t>
      </w:r>
    </w:p>
    <w:p>
      <w:pPr>
        <w:pStyle w:val="ListParagraph"/>
        <w:numPr>
          <w:ilvl w:val="0"/>
          <w:numId w:val="8"/>
        </w:numPr>
        <w:tabs>
          <w:tab w:pos="699" w:val="left" w:leader="none"/>
          <w:tab w:pos="718" w:val="left" w:leader="none"/>
        </w:tabs>
        <w:spacing w:line="256" w:lineRule="auto" w:before="0" w:after="0"/>
        <w:ind w:left="718" w:right="105" w:hanging="405"/>
        <w:jc w:val="both"/>
        <w:rPr>
          <w:sz w:val="22"/>
        </w:rPr>
      </w:pPr>
      <w:r>
        <w:rPr>
          <w:sz w:val="22"/>
        </w:rPr>
        <w:t>Richards JB, Papaioannou A, Adachi JD, et al. Effect of selective serotonin reuptake </w:t>
      </w:r>
      <w:r>
        <w:rPr>
          <w:sz w:val="22"/>
        </w:rPr>
        <w:t>inhibitors on the risk of fracture. </w:t>
      </w:r>
      <w:r>
        <w:rPr>
          <w:i/>
          <w:sz w:val="22"/>
        </w:rPr>
        <w:t>Arch Intern Med</w:t>
      </w:r>
      <w:r>
        <w:rPr>
          <w:sz w:val="22"/>
        </w:rPr>
        <w:t>. 2007;167:188.</w:t>
      </w:r>
    </w:p>
    <w:p>
      <w:pPr>
        <w:pStyle w:val="ListParagraph"/>
        <w:numPr>
          <w:ilvl w:val="0"/>
          <w:numId w:val="8"/>
        </w:numPr>
        <w:tabs>
          <w:tab w:pos="699" w:val="left" w:leader="none"/>
          <w:tab w:pos="718" w:val="left" w:leader="none"/>
        </w:tabs>
        <w:spacing w:line="256" w:lineRule="auto" w:before="0" w:after="0"/>
        <w:ind w:left="718" w:right="100" w:hanging="405"/>
        <w:jc w:val="both"/>
        <w:rPr>
          <w:sz w:val="22"/>
        </w:rPr>
      </w:pPr>
      <w:r>
        <w:rPr>
          <w:sz w:val="22"/>
        </w:rPr>
        <w:t>Warden</w:t>
      </w:r>
      <w:r>
        <w:rPr>
          <w:spacing w:val="27"/>
          <w:sz w:val="22"/>
        </w:rPr>
        <w:t> </w:t>
      </w:r>
      <w:r>
        <w:rPr>
          <w:sz w:val="22"/>
        </w:rPr>
        <w:t>SJ,</w:t>
      </w:r>
      <w:r>
        <w:rPr>
          <w:spacing w:val="27"/>
          <w:sz w:val="22"/>
        </w:rPr>
        <w:t> </w:t>
      </w:r>
      <w:r>
        <w:rPr>
          <w:sz w:val="22"/>
        </w:rPr>
        <w:t>Robling</w:t>
      </w:r>
      <w:r>
        <w:rPr>
          <w:spacing w:val="27"/>
          <w:sz w:val="22"/>
        </w:rPr>
        <w:t> </w:t>
      </w:r>
      <w:r>
        <w:rPr>
          <w:sz w:val="22"/>
        </w:rPr>
        <w:t>AG,</w:t>
      </w:r>
      <w:r>
        <w:rPr>
          <w:spacing w:val="27"/>
          <w:sz w:val="22"/>
        </w:rPr>
        <w:t> </w:t>
      </w:r>
      <w:r>
        <w:rPr>
          <w:sz w:val="22"/>
        </w:rPr>
        <w:t>Sanders</w:t>
      </w:r>
      <w:r>
        <w:rPr>
          <w:spacing w:val="27"/>
          <w:sz w:val="22"/>
        </w:rPr>
        <w:t> </w:t>
      </w:r>
      <w:r>
        <w:rPr>
          <w:sz w:val="22"/>
        </w:rPr>
        <w:t>MS,</w:t>
      </w:r>
      <w:r>
        <w:rPr>
          <w:spacing w:val="27"/>
          <w:sz w:val="22"/>
        </w:rPr>
        <w:t> </w:t>
      </w:r>
      <w:r>
        <w:rPr>
          <w:sz w:val="22"/>
        </w:rPr>
        <w:t>Bliziotes</w:t>
      </w:r>
      <w:r>
        <w:rPr>
          <w:spacing w:val="27"/>
          <w:sz w:val="22"/>
        </w:rPr>
        <w:t> </w:t>
      </w:r>
      <w:r>
        <w:rPr>
          <w:sz w:val="22"/>
        </w:rPr>
        <w:t>MM,</w:t>
      </w:r>
      <w:r>
        <w:rPr>
          <w:spacing w:val="27"/>
          <w:sz w:val="22"/>
        </w:rPr>
        <w:t> </w:t>
      </w:r>
      <w:r>
        <w:rPr>
          <w:sz w:val="22"/>
        </w:rPr>
        <w:t>Turner</w:t>
      </w:r>
      <w:r>
        <w:rPr>
          <w:spacing w:val="27"/>
          <w:sz w:val="22"/>
        </w:rPr>
        <w:t> </w:t>
      </w:r>
      <w:r>
        <w:rPr>
          <w:sz w:val="22"/>
        </w:rPr>
        <w:t>CH.</w:t>
      </w:r>
      <w:r>
        <w:rPr>
          <w:spacing w:val="27"/>
          <w:sz w:val="22"/>
        </w:rPr>
        <w:t> </w:t>
      </w:r>
      <w:r>
        <w:rPr>
          <w:sz w:val="22"/>
        </w:rPr>
        <w:t>Inhibition</w:t>
      </w:r>
      <w:r>
        <w:rPr>
          <w:spacing w:val="30"/>
          <w:sz w:val="22"/>
        </w:rPr>
        <w:t> </w:t>
      </w:r>
      <w:r>
        <w:rPr>
          <w:sz w:val="22"/>
        </w:rPr>
        <w:t>of</w:t>
      </w:r>
      <w:r>
        <w:rPr>
          <w:spacing w:val="30"/>
          <w:sz w:val="22"/>
        </w:rPr>
        <w:t> </w:t>
      </w:r>
      <w:r>
        <w:rPr>
          <w:sz w:val="22"/>
        </w:rPr>
        <w:t>the</w:t>
      </w:r>
      <w:r>
        <w:rPr>
          <w:spacing w:val="30"/>
          <w:sz w:val="22"/>
        </w:rPr>
        <w:t> </w:t>
      </w:r>
      <w:r>
        <w:rPr>
          <w:sz w:val="22"/>
        </w:rPr>
        <w:t>serotonin (5-hydroxytryptamine) transporter reduces bone accrual during growth. </w:t>
      </w:r>
      <w:r>
        <w:rPr>
          <w:i/>
          <w:sz w:val="22"/>
        </w:rPr>
        <w:t>Endocrinology</w:t>
      </w:r>
      <w:r>
        <w:rPr>
          <w:sz w:val="22"/>
        </w:rPr>
        <w:t>. </w:t>
      </w:r>
      <w:r>
        <w:rPr>
          <w:spacing w:val="-2"/>
          <w:sz w:val="22"/>
        </w:rPr>
        <w:t>2005;146:685.</w:t>
      </w:r>
    </w:p>
    <w:p>
      <w:pPr>
        <w:pStyle w:val="ListParagraph"/>
        <w:numPr>
          <w:ilvl w:val="0"/>
          <w:numId w:val="8"/>
        </w:numPr>
        <w:tabs>
          <w:tab w:pos="699" w:val="left" w:leader="none"/>
          <w:tab w:pos="718" w:val="left" w:leader="none"/>
        </w:tabs>
        <w:spacing w:line="256" w:lineRule="auto" w:before="0" w:after="0"/>
        <w:ind w:left="718" w:right="111" w:hanging="405"/>
        <w:jc w:val="both"/>
        <w:rPr>
          <w:sz w:val="22"/>
        </w:rPr>
      </w:pPr>
      <w:r>
        <w:rPr>
          <w:sz w:val="22"/>
        </w:rPr>
        <w:t>Haney EM, Chan BK, Diem SJ, et al. Association of low bone mineral density with </w:t>
      </w:r>
      <w:r>
        <w:rPr>
          <w:sz w:val="22"/>
        </w:rPr>
        <w:t>selective serotonin reuptake inhibitor use by older men. </w:t>
      </w:r>
      <w:r>
        <w:rPr>
          <w:i/>
          <w:sz w:val="22"/>
        </w:rPr>
        <w:t>Arch Intern Med</w:t>
      </w:r>
      <w:r>
        <w:rPr>
          <w:sz w:val="22"/>
        </w:rPr>
        <w:t>. 2007;167:1246.</w:t>
      </w:r>
    </w:p>
    <w:p>
      <w:pPr>
        <w:pStyle w:val="ListParagraph"/>
        <w:numPr>
          <w:ilvl w:val="0"/>
          <w:numId w:val="8"/>
        </w:numPr>
        <w:tabs>
          <w:tab w:pos="699" w:val="left" w:leader="none"/>
          <w:tab w:pos="718" w:val="left" w:leader="none"/>
        </w:tabs>
        <w:spacing w:line="256" w:lineRule="auto" w:before="0" w:after="0"/>
        <w:ind w:left="718" w:right="101" w:hanging="405"/>
        <w:jc w:val="both"/>
        <w:rPr>
          <w:sz w:val="22"/>
        </w:rPr>
      </w:pPr>
      <w:r>
        <w:rPr>
          <w:sz w:val="22"/>
        </w:rPr>
        <w:t>Diem SJ, Blackwell TL, Stone KL, et al. Use of antidepressants and rates of hip bone loss </w:t>
      </w:r>
      <w:r>
        <w:rPr>
          <w:sz w:val="22"/>
        </w:rPr>
        <w:t>in older women: the Study of Osteoporotic Fractures. </w:t>
      </w:r>
      <w:r>
        <w:rPr>
          <w:i/>
          <w:sz w:val="22"/>
        </w:rPr>
        <w:t>Arch Intern Med</w:t>
      </w:r>
      <w:r>
        <w:rPr>
          <w:sz w:val="22"/>
        </w:rPr>
        <w:t>. 2007;167:1240.</w:t>
      </w:r>
    </w:p>
    <w:p>
      <w:pPr>
        <w:pStyle w:val="ListParagraph"/>
        <w:numPr>
          <w:ilvl w:val="0"/>
          <w:numId w:val="8"/>
        </w:numPr>
        <w:tabs>
          <w:tab w:pos="699" w:val="left" w:leader="none"/>
          <w:tab w:pos="718" w:val="left" w:leader="none"/>
        </w:tabs>
        <w:spacing w:line="256" w:lineRule="auto" w:before="0" w:after="0"/>
        <w:ind w:left="718" w:right="100" w:hanging="405"/>
        <w:jc w:val="both"/>
        <w:rPr>
          <w:sz w:val="22"/>
        </w:rPr>
      </w:pPr>
      <w:r>
        <w:rPr>
          <w:sz w:val="22"/>
        </w:rPr>
        <w:t>Johnston</w:t>
      </w:r>
      <w:r>
        <w:rPr>
          <w:spacing w:val="34"/>
          <w:sz w:val="22"/>
        </w:rPr>
        <w:t> </w:t>
      </w:r>
      <w:r>
        <w:rPr>
          <w:sz w:val="22"/>
        </w:rPr>
        <w:t>CC</w:t>
      </w:r>
      <w:r>
        <w:rPr>
          <w:spacing w:val="34"/>
          <w:sz w:val="22"/>
        </w:rPr>
        <w:t> </w:t>
      </w:r>
      <w:r>
        <w:rPr>
          <w:sz w:val="22"/>
        </w:rPr>
        <w:t>Jr,</w:t>
      </w:r>
      <w:r>
        <w:rPr>
          <w:spacing w:val="34"/>
          <w:sz w:val="22"/>
        </w:rPr>
        <w:t> </w:t>
      </w:r>
      <w:r>
        <w:rPr>
          <w:sz w:val="22"/>
        </w:rPr>
        <w:t>Slemenda</w:t>
      </w:r>
      <w:r>
        <w:rPr>
          <w:spacing w:val="34"/>
          <w:sz w:val="22"/>
        </w:rPr>
        <w:t> </w:t>
      </w:r>
      <w:r>
        <w:rPr>
          <w:sz w:val="22"/>
        </w:rPr>
        <w:t>CW,</w:t>
      </w:r>
      <w:r>
        <w:rPr>
          <w:spacing w:val="34"/>
          <w:sz w:val="22"/>
        </w:rPr>
        <w:t> </w:t>
      </w:r>
      <w:r>
        <w:rPr>
          <w:sz w:val="22"/>
        </w:rPr>
        <w:t>Melton</w:t>
      </w:r>
      <w:r>
        <w:rPr>
          <w:spacing w:val="34"/>
          <w:sz w:val="22"/>
        </w:rPr>
        <w:t> </w:t>
      </w:r>
      <w:r>
        <w:rPr>
          <w:sz w:val="22"/>
        </w:rPr>
        <w:t>LJ</w:t>
      </w:r>
      <w:r>
        <w:rPr>
          <w:spacing w:val="34"/>
          <w:sz w:val="22"/>
        </w:rPr>
        <w:t> </w:t>
      </w:r>
      <w:r>
        <w:rPr>
          <w:sz w:val="22"/>
        </w:rPr>
        <w:t>III.</w:t>
      </w:r>
      <w:r>
        <w:rPr>
          <w:spacing w:val="34"/>
          <w:sz w:val="22"/>
        </w:rPr>
        <w:t> </w:t>
      </w:r>
      <w:r>
        <w:rPr>
          <w:sz w:val="22"/>
        </w:rPr>
        <w:t>Clinical</w:t>
      </w:r>
      <w:r>
        <w:rPr>
          <w:spacing w:val="36"/>
          <w:sz w:val="22"/>
        </w:rPr>
        <w:t> </w:t>
      </w:r>
      <w:r>
        <w:rPr>
          <w:sz w:val="22"/>
        </w:rPr>
        <w:t>use</w:t>
      </w:r>
      <w:r>
        <w:rPr>
          <w:spacing w:val="36"/>
          <w:sz w:val="22"/>
        </w:rPr>
        <w:t> </w:t>
      </w:r>
      <w:r>
        <w:rPr>
          <w:sz w:val="22"/>
        </w:rPr>
        <w:t>of</w:t>
      </w:r>
      <w:r>
        <w:rPr>
          <w:spacing w:val="36"/>
          <w:sz w:val="22"/>
        </w:rPr>
        <w:t> </w:t>
      </w:r>
      <w:r>
        <w:rPr>
          <w:sz w:val="22"/>
        </w:rPr>
        <w:t>bone</w:t>
      </w:r>
      <w:r>
        <w:rPr>
          <w:spacing w:val="36"/>
          <w:sz w:val="22"/>
        </w:rPr>
        <w:t> </w:t>
      </w:r>
      <w:r>
        <w:rPr>
          <w:sz w:val="22"/>
        </w:rPr>
        <w:t>densitometry.</w:t>
      </w:r>
      <w:r>
        <w:rPr>
          <w:spacing w:val="36"/>
          <w:sz w:val="22"/>
        </w:rPr>
        <w:t> </w:t>
      </w:r>
      <w:r>
        <w:rPr>
          <w:i/>
          <w:sz w:val="22"/>
        </w:rPr>
        <w:t>N</w:t>
      </w:r>
      <w:r>
        <w:rPr>
          <w:i/>
          <w:spacing w:val="36"/>
          <w:sz w:val="22"/>
        </w:rPr>
        <w:t> </w:t>
      </w:r>
      <w:r>
        <w:rPr>
          <w:i/>
          <w:sz w:val="22"/>
        </w:rPr>
        <w:t>Engl</w:t>
      </w:r>
      <w:r>
        <w:rPr>
          <w:i/>
          <w:spacing w:val="36"/>
          <w:sz w:val="22"/>
        </w:rPr>
        <w:t> </w:t>
      </w:r>
      <w:r>
        <w:rPr>
          <w:i/>
          <w:sz w:val="22"/>
        </w:rPr>
        <w:t>J</w:t>
      </w:r>
      <w:r>
        <w:rPr>
          <w:i/>
          <w:sz w:val="22"/>
        </w:rPr>
        <w:t> Med</w:t>
      </w:r>
      <w:r>
        <w:rPr>
          <w:sz w:val="22"/>
        </w:rPr>
        <w:t>. 1991;324:1105.</w:t>
      </w:r>
    </w:p>
    <w:p>
      <w:pPr>
        <w:pStyle w:val="ListParagraph"/>
        <w:numPr>
          <w:ilvl w:val="0"/>
          <w:numId w:val="8"/>
        </w:numPr>
        <w:tabs>
          <w:tab w:pos="699" w:val="left" w:leader="none"/>
          <w:tab w:pos="718" w:val="left" w:leader="none"/>
        </w:tabs>
        <w:spacing w:line="256" w:lineRule="auto" w:before="0" w:after="0"/>
        <w:ind w:left="718" w:right="101" w:hanging="405"/>
        <w:jc w:val="both"/>
        <w:rPr>
          <w:sz w:val="22"/>
        </w:rPr>
      </w:pPr>
      <w:r>
        <w:rPr>
          <w:sz w:val="22"/>
        </w:rPr>
        <w:t>Cummings SR, Black DM, Nevitt MC, et al. Bone density at various sites for prediction of </w:t>
      </w:r>
      <w:r>
        <w:rPr>
          <w:sz w:val="22"/>
        </w:rPr>
        <w:t>hip fractures. </w:t>
      </w:r>
      <w:r>
        <w:rPr>
          <w:i/>
          <w:sz w:val="22"/>
        </w:rPr>
        <w:t>Lancet</w:t>
      </w:r>
      <w:r>
        <w:rPr>
          <w:sz w:val="22"/>
        </w:rPr>
        <w:t>. 1993;341:72.</w:t>
      </w:r>
    </w:p>
    <w:p>
      <w:pPr>
        <w:pStyle w:val="ListParagraph"/>
        <w:spacing w:after="0" w:line="256" w:lineRule="auto"/>
        <w:jc w:val="both"/>
        <w:rPr>
          <w:sz w:val="22"/>
        </w:rPr>
        <w:sectPr>
          <w:pgSz w:w="12240" w:h="15840"/>
          <w:pgMar w:top="1360" w:bottom="280" w:left="1440" w:right="1440"/>
        </w:sectPr>
      </w:pPr>
    </w:p>
    <w:p>
      <w:pPr>
        <w:pStyle w:val="ListParagraph"/>
        <w:numPr>
          <w:ilvl w:val="0"/>
          <w:numId w:val="8"/>
        </w:numPr>
        <w:tabs>
          <w:tab w:pos="699" w:val="left" w:leader="none"/>
          <w:tab w:pos="718" w:val="left" w:leader="none"/>
        </w:tabs>
        <w:spacing w:line="256" w:lineRule="auto" w:before="84" w:after="0"/>
        <w:ind w:left="718" w:right="103" w:hanging="405"/>
        <w:jc w:val="both"/>
        <w:rPr>
          <w:sz w:val="22"/>
        </w:rPr>
      </w:pPr>
      <w:r>
        <w:rPr>
          <w:sz w:val="22"/>
        </w:rPr>
        <w:t>Johnston CC Jr, Slemenda CW. Identification of patients with low bone mass by single </w:t>
      </w:r>
      <w:r>
        <w:rPr>
          <w:sz w:val="22"/>
        </w:rPr>
        <w:t>photon absorptiometry and single-energy x-ray absorptiometry. </w:t>
      </w:r>
      <w:r>
        <w:rPr>
          <w:i/>
          <w:sz w:val="22"/>
        </w:rPr>
        <w:t>Am J Med</w:t>
      </w:r>
      <w:r>
        <w:rPr>
          <w:sz w:val="22"/>
        </w:rPr>
        <w:t>. 1995;98(suppl 2A):37S.</w:t>
      </w:r>
    </w:p>
    <w:p>
      <w:pPr>
        <w:pStyle w:val="ListParagraph"/>
        <w:numPr>
          <w:ilvl w:val="0"/>
          <w:numId w:val="8"/>
        </w:numPr>
        <w:tabs>
          <w:tab w:pos="699" w:val="left" w:leader="none"/>
          <w:tab w:pos="718" w:val="left" w:leader="none"/>
        </w:tabs>
        <w:spacing w:line="256" w:lineRule="auto" w:before="0" w:after="0"/>
        <w:ind w:left="718" w:right="99" w:hanging="405"/>
        <w:jc w:val="both"/>
        <w:rPr>
          <w:sz w:val="22"/>
        </w:rPr>
      </w:pPr>
      <w:r>
        <w:rPr>
          <w:sz w:val="22"/>
        </w:rPr>
        <w:t>Rubin</w:t>
      </w:r>
      <w:r>
        <w:rPr>
          <w:spacing w:val="40"/>
          <w:sz w:val="22"/>
        </w:rPr>
        <w:t> </w:t>
      </w:r>
      <w:r>
        <w:rPr>
          <w:sz w:val="22"/>
        </w:rPr>
        <w:t>SM,</w:t>
      </w:r>
      <w:r>
        <w:rPr>
          <w:spacing w:val="40"/>
          <w:sz w:val="22"/>
        </w:rPr>
        <w:t> </w:t>
      </w:r>
      <w:r>
        <w:rPr>
          <w:sz w:val="22"/>
        </w:rPr>
        <w:t>Cummings</w:t>
      </w:r>
      <w:r>
        <w:rPr>
          <w:spacing w:val="40"/>
          <w:sz w:val="22"/>
        </w:rPr>
        <w:t> </w:t>
      </w:r>
      <w:r>
        <w:rPr>
          <w:sz w:val="22"/>
        </w:rPr>
        <w:t>SR.</w:t>
      </w:r>
      <w:r>
        <w:rPr>
          <w:spacing w:val="40"/>
          <w:sz w:val="22"/>
        </w:rPr>
        <w:t> </w:t>
      </w:r>
      <w:r>
        <w:rPr>
          <w:sz w:val="22"/>
        </w:rPr>
        <w:t>Results</w:t>
      </w:r>
      <w:r>
        <w:rPr>
          <w:spacing w:val="40"/>
          <w:sz w:val="22"/>
        </w:rPr>
        <w:t> </w:t>
      </w:r>
      <w:r>
        <w:rPr>
          <w:sz w:val="22"/>
        </w:rPr>
        <w:t>of</w:t>
      </w:r>
      <w:r>
        <w:rPr>
          <w:spacing w:val="40"/>
          <w:sz w:val="22"/>
        </w:rPr>
        <w:t> </w:t>
      </w:r>
      <w:r>
        <w:rPr>
          <w:sz w:val="22"/>
        </w:rPr>
        <w:t>bone</w:t>
      </w:r>
      <w:r>
        <w:rPr>
          <w:spacing w:val="40"/>
          <w:sz w:val="22"/>
        </w:rPr>
        <w:t> </w:t>
      </w:r>
      <w:r>
        <w:rPr>
          <w:sz w:val="22"/>
        </w:rPr>
        <w:t>densitometry</w:t>
      </w:r>
      <w:r>
        <w:rPr>
          <w:spacing w:val="40"/>
          <w:sz w:val="22"/>
        </w:rPr>
        <w:t> </w:t>
      </w:r>
      <w:r>
        <w:rPr>
          <w:sz w:val="22"/>
        </w:rPr>
        <w:t>affect</w:t>
      </w:r>
      <w:r>
        <w:rPr>
          <w:spacing w:val="40"/>
          <w:sz w:val="22"/>
        </w:rPr>
        <w:t> </w:t>
      </w:r>
      <w:r>
        <w:rPr>
          <w:sz w:val="22"/>
        </w:rPr>
        <w:t>women’s</w:t>
      </w:r>
      <w:r>
        <w:rPr>
          <w:spacing w:val="40"/>
          <w:sz w:val="22"/>
        </w:rPr>
        <w:t> </w:t>
      </w:r>
      <w:r>
        <w:rPr>
          <w:sz w:val="22"/>
        </w:rPr>
        <w:t>decisions</w:t>
      </w:r>
      <w:r>
        <w:rPr>
          <w:spacing w:val="40"/>
          <w:sz w:val="22"/>
        </w:rPr>
        <w:t> </w:t>
      </w:r>
      <w:r>
        <w:rPr>
          <w:sz w:val="22"/>
        </w:rPr>
        <w:t>about taking measures to prevent fractures. </w:t>
      </w:r>
      <w:r>
        <w:rPr>
          <w:i/>
          <w:sz w:val="22"/>
        </w:rPr>
        <w:t>Ann Intern Med</w:t>
      </w:r>
      <w:r>
        <w:rPr>
          <w:sz w:val="22"/>
        </w:rPr>
        <w:t>. 1992;116:990.</w:t>
      </w:r>
    </w:p>
    <w:p>
      <w:pPr>
        <w:pStyle w:val="ListParagraph"/>
        <w:numPr>
          <w:ilvl w:val="0"/>
          <w:numId w:val="8"/>
        </w:numPr>
        <w:tabs>
          <w:tab w:pos="699" w:val="left" w:leader="none"/>
          <w:tab w:pos="718" w:val="left" w:leader="none"/>
        </w:tabs>
        <w:spacing w:line="256" w:lineRule="auto" w:before="0" w:after="0"/>
        <w:ind w:left="718" w:right="106" w:hanging="405"/>
        <w:jc w:val="both"/>
        <w:rPr>
          <w:sz w:val="22"/>
        </w:rPr>
      </w:pPr>
      <w:r>
        <w:rPr>
          <w:sz w:val="22"/>
        </w:rPr>
        <w:t>Silverman</w:t>
      </w:r>
      <w:r>
        <w:rPr>
          <w:spacing w:val="34"/>
          <w:sz w:val="22"/>
        </w:rPr>
        <w:t> </w:t>
      </w:r>
      <w:r>
        <w:rPr>
          <w:sz w:val="22"/>
        </w:rPr>
        <w:t>SL,</w:t>
      </w:r>
      <w:r>
        <w:rPr>
          <w:spacing w:val="34"/>
          <w:sz w:val="22"/>
        </w:rPr>
        <w:t> </w:t>
      </w:r>
      <w:r>
        <w:rPr>
          <w:sz w:val="22"/>
        </w:rPr>
        <w:t>Greenwald</w:t>
      </w:r>
      <w:r>
        <w:rPr>
          <w:spacing w:val="34"/>
          <w:sz w:val="22"/>
        </w:rPr>
        <w:t> </w:t>
      </w:r>
      <w:r>
        <w:rPr>
          <w:sz w:val="22"/>
        </w:rPr>
        <w:t>M,</w:t>
      </w:r>
      <w:r>
        <w:rPr>
          <w:spacing w:val="34"/>
          <w:sz w:val="22"/>
        </w:rPr>
        <w:t> </w:t>
      </w:r>
      <w:r>
        <w:rPr>
          <w:sz w:val="22"/>
        </w:rPr>
        <w:t>Klein</w:t>
      </w:r>
      <w:r>
        <w:rPr>
          <w:spacing w:val="34"/>
          <w:sz w:val="22"/>
        </w:rPr>
        <w:t> </w:t>
      </w:r>
      <w:r>
        <w:rPr>
          <w:sz w:val="22"/>
        </w:rPr>
        <w:t>RA,</w:t>
      </w:r>
      <w:r>
        <w:rPr>
          <w:spacing w:val="34"/>
          <w:sz w:val="22"/>
        </w:rPr>
        <w:t> </w:t>
      </w:r>
      <w:r>
        <w:rPr>
          <w:sz w:val="22"/>
        </w:rPr>
        <w:t>Drinkwater</w:t>
      </w:r>
      <w:r>
        <w:rPr>
          <w:spacing w:val="34"/>
          <w:sz w:val="22"/>
        </w:rPr>
        <w:t> </w:t>
      </w:r>
      <w:r>
        <w:rPr>
          <w:sz w:val="22"/>
        </w:rPr>
        <w:t>BL.</w:t>
      </w:r>
      <w:r>
        <w:rPr>
          <w:spacing w:val="34"/>
          <w:sz w:val="22"/>
        </w:rPr>
        <w:t> </w:t>
      </w:r>
      <w:r>
        <w:rPr>
          <w:sz w:val="22"/>
        </w:rPr>
        <w:t>Effect</w:t>
      </w:r>
      <w:r>
        <w:rPr>
          <w:spacing w:val="34"/>
          <w:sz w:val="22"/>
        </w:rPr>
        <w:t> </w:t>
      </w:r>
      <w:r>
        <w:rPr>
          <w:sz w:val="22"/>
        </w:rPr>
        <w:t>of</w:t>
      </w:r>
      <w:r>
        <w:rPr>
          <w:spacing w:val="34"/>
          <w:sz w:val="22"/>
        </w:rPr>
        <w:t> </w:t>
      </w:r>
      <w:r>
        <w:rPr>
          <w:sz w:val="22"/>
        </w:rPr>
        <w:t>bone</w:t>
      </w:r>
      <w:r>
        <w:rPr>
          <w:spacing w:val="34"/>
          <w:sz w:val="22"/>
        </w:rPr>
        <w:t> </w:t>
      </w:r>
      <w:r>
        <w:rPr>
          <w:sz w:val="22"/>
        </w:rPr>
        <w:t>density</w:t>
      </w:r>
      <w:r>
        <w:rPr>
          <w:spacing w:val="34"/>
          <w:sz w:val="22"/>
        </w:rPr>
        <w:t> </w:t>
      </w:r>
      <w:r>
        <w:rPr>
          <w:sz w:val="22"/>
        </w:rPr>
        <w:t>information on decisions about hormone replacement therapy: a randomized trial. </w:t>
      </w:r>
      <w:r>
        <w:rPr>
          <w:i/>
          <w:sz w:val="22"/>
        </w:rPr>
        <w:t>Obstet </w:t>
      </w:r>
      <w:r>
        <w:rPr>
          <w:i/>
          <w:sz w:val="22"/>
        </w:rPr>
        <w:t>Gynecol</w:t>
      </w:r>
      <w:r>
        <w:rPr>
          <w:sz w:val="22"/>
        </w:rPr>
        <w:t>. </w:t>
      </w:r>
      <w:r>
        <w:rPr>
          <w:spacing w:val="-2"/>
          <w:sz w:val="22"/>
        </w:rPr>
        <w:t>1997;89:321.</w:t>
      </w:r>
    </w:p>
    <w:p>
      <w:pPr>
        <w:pStyle w:val="ListParagraph"/>
        <w:numPr>
          <w:ilvl w:val="0"/>
          <w:numId w:val="8"/>
        </w:numPr>
        <w:tabs>
          <w:tab w:pos="699" w:val="left" w:leader="none"/>
          <w:tab w:pos="718" w:val="left" w:leader="none"/>
        </w:tabs>
        <w:spacing w:line="256" w:lineRule="auto" w:before="0" w:after="0"/>
        <w:ind w:left="718" w:right="103" w:hanging="405"/>
        <w:jc w:val="both"/>
        <w:rPr>
          <w:sz w:val="22"/>
        </w:rPr>
      </w:pPr>
      <w:r>
        <w:rPr>
          <w:sz w:val="22"/>
        </w:rPr>
        <w:t>Alekel</w:t>
      </w:r>
      <w:r>
        <w:rPr>
          <w:spacing w:val="40"/>
          <w:sz w:val="22"/>
        </w:rPr>
        <w:t> </w:t>
      </w:r>
      <w:r>
        <w:rPr>
          <w:sz w:val="22"/>
        </w:rPr>
        <w:t>DL,</w:t>
      </w:r>
      <w:r>
        <w:rPr>
          <w:spacing w:val="40"/>
          <w:sz w:val="22"/>
        </w:rPr>
        <w:t> </w:t>
      </w:r>
      <w:r>
        <w:rPr>
          <w:sz w:val="22"/>
        </w:rPr>
        <w:t>Peterson</w:t>
      </w:r>
      <w:r>
        <w:rPr>
          <w:spacing w:val="40"/>
          <w:sz w:val="22"/>
        </w:rPr>
        <w:t> </w:t>
      </w:r>
      <w:r>
        <w:rPr>
          <w:sz w:val="22"/>
        </w:rPr>
        <w:t>C,</w:t>
      </w:r>
      <w:r>
        <w:rPr>
          <w:spacing w:val="40"/>
          <w:sz w:val="22"/>
        </w:rPr>
        <w:t> </w:t>
      </w:r>
      <w:r>
        <w:rPr>
          <w:sz w:val="22"/>
        </w:rPr>
        <w:t>St.</w:t>
      </w:r>
      <w:r>
        <w:rPr>
          <w:spacing w:val="40"/>
          <w:sz w:val="22"/>
        </w:rPr>
        <w:t> </w:t>
      </w:r>
      <w:r>
        <w:rPr>
          <w:sz w:val="22"/>
        </w:rPr>
        <w:t>Germain</w:t>
      </w:r>
      <w:r>
        <w:rPr>
          <w:spacing w:val="40"/>
          <w:sz w:val="22"/>
        </w:rPr>
        <w:t> </w:t>
      </w:r>
      <w:r>
        <w:rPr>
          <w:sz w:val="22"/>
        </w:rPr>
        <w:t>A,</w:t>
      </w:r>
      <w:r>
        <w:rPr>
          <w:spacing w:val="40"/>
          <w:sz w:val="22"/>
        </w:rPr>
        <w:t> </w:t>
      </w:r>
      <w:r>
        <w:rPr>
          <w:sz w:val="22"/>
        </w:rPr>
        <w:t>Hanson</w:t>
      </w:r>
      <w:r>
        <w:rPr>
          <w:spacing w:val="40"/>
          <w:sz w:val="22"/>
        </w:rPr>
        <w:t> </w:t>
      </w:r>
      <w:r>
        <w:rPr>
          <w:sz w:val="22"/>
        </w:rPr>
        <w:t>K.</w:t>
      </w:r>
      <w:r>
        <w:rPr>
          <w:spacing w:val="40"/>
          <w:sz w:val="22"/>
        </w:rPr>
        <w:t> </w:t>
      </w:r>
      <w:r>
        <w:rPr>
          <w:sz w:val="22"/>
        </w:rPr>
        <w:t>Isoflavone-rich</w:t>
      </w:r>
      <w:r>
        <w:rPr>
          <w:spacing w:val="40"/>
          <w:sz w:val="22"/>
        </w:rPr>
        <w:t> </w:t>
      </w:r>
      <w:r>
        <w:rPr>
          <w:sz w:val="22"/>
        </w:rPr>
        <w:t>soy</w:t>
      </w:r>
      <w:r>
        <w:rPr>
          <w:spacing w:val="40"/>
          <w:sz w:val="22"/>
        </w:rPr>
        <w:t> </w:t>
      </w:r>
      <w:r>
        <w:rPr>
          <w:sz w:val="22"/>
        </w:rPr>
        <w:t>isolate</w:t>
      </w:r>
      <w:r>
        <w:rPr>
          <w:spacing w:val="40"/>
          <w:sz w:val="22"/>
        </w:rPr>
        <w:t> </w:t>
      </w:r>
      <w:r>
        <w:rPr>
          <w:sz w:val="22"/>
        </w:rPr>
        <w:t>exerts significant</w:t>
      </w:r>
      <w:r>
        <w:rPr>
          <w:spacing w:val="37"/>
          <w:sz w:val="22"/>
        </w:rPr>
        <w:t> </w:t>
      </w:r>
      <w:r>
        <w:rPr>
          <w:sz w:val="22"/>
        </w:rPr>
        <w:t>bone-sparing</w:t>
      </w:r>
      <w:r>
        <w:rPr>
          <w:spacing w:val="37"/>
          <w:sz w:val="22"/>
        </w:rPr>
        <w:t> </w:t>
      </w:r>
      <w:r>
        <w:rPr>
          <w:sz w:val="22"/>
        </w:rPr>
        <w:t>in</w:t>
      </w:r>
      <w:r>
        <w:rPr>
          <w:spacing w:val="37"/>
          <w:sz w:val="22"/>
        </w:rPr>
        <w:t> </w:t>
      </w:r>
      <w:r>
        <w:rPr>
          <w:sz w:val="22"/>
        </w:rPr>
        <w:t>the</w:t>
      </w:r>
      <w:r>
        <w:rPr>
          <w:spacing w:val="37"/>
          <w:sz w:val="22"/>
        </w:rPr>
        <w:t> </w:t>
      </w:r>
      <w:r>
        <w:rPr>
          <w:sz w:val="22"/>
        </w:rPr>
        <w:t>lumbar</w:t>
      </w:r>
      <w:r>
        <w:rPr>
          <w:spacing w:val="37"/>
          <w:sz w:val="22"/>
        </w:rPr>
        <w:t> </w:t>
      </w:r>
      <w:r>
        <w:rPr>
          <w:sz w:val="22"/>
        </w:rPr>
        <w:t>spine</w:t>
      </w:r>
      <w:r>
        <w:rPr>
          <w:spacing w:val="37"/>
          <w:sz w:val="22"/>
        </w:rPr>
        <w:t> </w:t>
      </w:r>
      <w:r>
        <w:rPr>
          <w:sz w:val="22"/>
        </w:rPr>
        <w:t>of</w:t>
      </w:r>
      <w:r>
        <w:rPr>
          <w:spacing w:val="37"/>
          <w:sz w:val="22"/>
        </w:rPr>
        <w:t> </w:t>
      </w:r>
      <w:r>
        <w:rPr>
          <w:sz w:val="22"/>
        </w:rPr>
        <w:t>perimenopausal</w:t>
      </w:r>
      <w:r>
        <w:rPr>
          <w:spacing w:val="37"/>
          <w:sz w:val="22"/>
        </w:rPr>
        <w:t> </w:t>
      </w:r>
      <w:r>
        <w:rPr>
          <w:sz w:val="22"/>
        </w:rPr>
        <w:t>women</w:t>
      </w:r>
      <w:r>
        <w:rPr>
          <w:spacing w:val="37"/>
          <w:sz w:val="22"/>
        </w:rPr>
        <w:t> </w:t>
      </w:r>
      <w:r>
        <w:rPr>
          <w:sz w:val="22"/>
        </w:rPr>
        <w:t>(abstract).</w:t>
      </w:r>
      <w:r>
        <w:rPr>
          <w:spacing w:val="37"/>
          <w:sz w:val="22"/>
        </w:rPr>
        <w:t> </w:t>
      </w:r>
      <w:r>
        <w:rPr>
          <w:sz w:val="22"/>
        </w:rPr>
        <w:t>Presented at: American Society for Bone and Mineral Research Annual Meeting; 1999; St Louis, MO.</w:t>
      </w:r>
    </w:p>
    <w:p>
      <w:pPr>
        <w:pStyle w:val="ListParagraph"/>
        <w:numPr>
          <w:ilvl w:val="0"/>
          <w:numId w:val="8"/>
        </w:numPr>
        <w:tabs>
          <w:tab w:pos="699" w:val="left" w:leader="none"/>
          <w:tab w:pos="718" w:val="left" w:leader="none"/>
        </w:tabs>
        <w:spacing w:line="256" w:lineRule="auto" w:before="0" w:after="0"/>
        <w:ind w:left="718" w:right="98" w:hanging="405"/>
        <w:jc w:val="both"/>
        <w:rPr>
          <w:sz w:val="22"/>
        </w:rPr>
      </w:pPr>
      <w:r>
        <w:rPr>
          <w:sz w:val="22"/>
        </w:rPr>
        <w:t>Miller</w:t>
      </w:r>
      <w:r>
        <w:rPr>
          <w:spacing w:val="25"/>
          <w:sz w:val="22"/>
        </w:rPr>
        <w:t> </w:t>
      </w:r>
      <w:r>
        <w:rPr>
          <w:sz w:val="22"/>
        </w:rPr>
        <w:t>PD,</w:t>
      </w:r>
      <w:r>
        <w:rPr>
          <w:spacing w:val="25"/>
          <w:sz w:val="22"/>
        </w:rPr>
        <w:t> </w:t>
      </w:r>
      <w:r>
        <w:rPr>
          <w:sz w:val="22"/>
        </w:rPr>
        <w:t>Bonnick</w:t>
      </w:r>
      <w:r>
        <w:rPr>
          <w:spacing w:val="25"/>
          <w:sz w:val="22"/>
        </w:rPr>
        <w:t> </w:t>
      </w:r>
      <w:r>
        <w:rPr>
          <w:sz w:val="22"/>
        </w:rPr>
        <w:t>SL,</w:t>
      </w:r>
      <w:r>
        <w:rPr>
          <w:spacing w:val="25"/>
          <w:sz w:val="22"/>
        </w:rPr>
        <w:t> </w:t>
      </w:r>
      <w:r>
        <w:rPr>
          <w:sz w:val="22"/>
        </w:rPr>
        <w:t>Rosen</w:t>
      </w:r>
      <w:r>
        <w:rPr>
          <w:spacing w:val="25"/>
          <w:sz w:val="22"/>
        </w:rPr>
        <w:t> </w:t>
      </w:r>
      <w:r>
        <w:rPr>
          <w:sz w:val="22"/>
        </w:rPr>
        <w:t>CJ.</w:t>
      </w:r>
      <w:r>
        <w:rPr>
          <w:spacing w:val="25"/>
          <w:sz w:val="22"/>
        </w:rPr>
        <w:t> </w:t>
      </w:r>
      <w:r>
        <w:rPr>
          <w:sz w:val="22"/>
        </w:rPr>
        <w:t>Consensus</w:t>
      </w:r>
      <w:r>
        <w:rPr>
          <w:spacing w:val="29"/>
          <w:sz w:val="22"/>
        </w:rPr>
        <w:t> </w:t>
      </w:r>
      <w:r>
        <w:rPr>
          <w:sz w:val="22"/>
        </w:rPr>
        <w:t>of</w:t>
      </w:r>
      <w:r>
        <w:rPr>
          <w:spacing w:val="29"/>
          <w:sz w:val="22"/>
        </w:rPr>
        <w:t> </w:t>
      </w:r>
      <w:r>
        <w:rPr>
          <w:sz w:val="22"/>
        </w:rPr>
        <w:t>an</w:t>
      </w:r>
      <w:r>
        <w:rPr>
          <w:spacing w:val="29"/>
          <w:sz w:val="22"/>
        </w:rPr>
        <w:t> </w:t>
      </w:r>
      <w:r>
        <w:rPr>
          <w:sz w:val="22"/>
        </w:rPr>
        <w:t>international</w:t>
      </w:r>
      <w:r>
        <w:rPr>
          <w:spacing w:val="29"/>
          <w:sz w:val="22"/>
        </w:rPr>
        <w:t> </w:t>
      </w:r>
      <w:r>
        <w:rPr>
          <w:sz w:val="22"/>
        </w:rPr>
        <w:t>panel</w:t>
      </w:r>
      <w:r>
        <w:rPr>
          <w:spacing w:val="29"/>
          <w:sz w:val="22"/>
        </w:rPr>
        <w:t> </w:t>
      </w:r>
      <w:r>
        <w:rPr>
          <w:sz w:val="22"/>
        </w:rPr>
        <w:t>on</w:t>
      </w:r>
      <w:r>
        <w:rPr>
          <w:spacing w:val="29"/>
          <w:sz w:val="22"/>
        </w:rPr>
        <w:t> </w:t>
      </w:r>
      <w:r>
        <w:rPr>
          <w:sz w:val="22"/>
        </w:rPr>
        <w:t>the</w:t>
      </w:r>
      <w:r>
        <w:rPr>
          <w:spacing w:val="29"/>
          <w:sz w:val="22"/>
        </w:rPr>
        <w:t> </w:t>
      </w:r>
      <w:r>
        <w:rPr>
          <w:sz w:val="22"/>
        </w:rPr>
        <w:t>clinical</w:t>
      </w:r>
      <w:r>
        <w:rPr>
          <w:spacing w:val="29"/>
          <w:sz w:val="22"/>
        </w:rPr>
        <w:t> </w:t>
      </w:r>
      <w:r>
        <w:rPr>
          <w:sz w:val="22"/>
        </w:rPr>
        <w:t>utility of bone mass measurements in the detection of low bone mass in the adult population. </w:t>
      </w:r>
      <w:r>
        <w:rPr>
          <w:i/>
          <w:sz w:val="22"/>
        </w:rPr>
        <w:t>Calcif</w:t>
      </w:r>
      <w:r>
        <w:rPr>
          <w:i/>
          <w:sz w:val="22"/>
        </w:rPr>
        <w:t> Tissue Int</w:t>
      </w:r>
      <w:r>
        <w:rPr>
          <w:sz w:val="22"/>
        </w:rPr>
        <w:t>. 1996;58:207.</w:t>
      </w:r>
    </w:p>
    <w:p>
      <w:pPr>
        <w:pStyle w:val="ListParagraph"/>
        <w:numPr>
          <w:ilvl w:val="0"/>
          <w:numId w:val="8"/>
        </w:numPr>
        <w:tabs>
          <w:tab w:pos="699" w:val="left" w:leader="none"/>
          <w:tab w:pos="718" w:val="left" w:leader="none"/>
        </w:tabs>
        <w:spacing w:line="256" w:lineRule="auto" w:before="0" w:after="0"/>
        <w:ind w:left="718" w:right="98" w:hanging="405"/>
        <w:jc w:val="both"/>
        <w:rPr>
          <w:sz w:val="22"/>
        </w:rPr>
      </w:pPr>
      <w:r>
        <w:rPr>
          <w:sz w:val="22"/>
        </w:rPr>
        <w:t>Gregg EW, Kriska AM, Salamone LM, et al. The epidemiology of quantitative ultrasound: a review of the relationships with bone mass, osteoporosis and fracture risk. </w:t>
      </w:r>
      <w:r>
        <w:rPr>
          <w:i/>
          <w:sz w:val="22"/>
        </w:rPr>
        <w:t>Osteoporos </w:t>
      </w:r>
      <w:r>
        <w:rPr>
          <w:i/>
          <w:sz w:val="22"/>
        </w:rPr>
        <w:t>Int</w:t>
      </w:r>
      <w:r>
        <w:rPr>
          <w:sz w:val="22"/>
        </w:rPr>
        <w:t>. </w:t>
      </w:r>
      <w:r>
        <w:rPr>
          <w:spacing w:val="-2"/>
          <w:sz w:val="22"/>
        </w:rPr>
        <w:t>1997;7:89.</w:t>
      </w:r>
    </w:p>
    <w:p>
      <w:pPr>
        <w:pStyle w:val="ListParagraph"/>
        <w:numPr>
          <w:ilvl w:val="0"/>
          <w:numId w:val="8"/>
        </w:numPr>
        <w:tabs>
          <w:tab w:pos="699" w:val="left" w:leader="none"/>
          <w:tab w:pos="718" w:val="left" w:leader="none"/>
        </w:tabs>
        <w:spacing w:line="256" w:lineRule="auto" w:before="0" w:after="0"/>
        <w:ind w:left="718" w:right="106" w:hanging="405"/>
        <w:jc w:val="both"/>
        <w:rPr>
          <w:sz w:val="22"/>
        </w:rPr>
      </w:pPr>
      <w:r>
        <w:rPr>
          <w:sz w:val="22"/>
        </w:rPr>
        <w:t>Hans D, Dargent-Molina P, Schott AM, et al. Ultrasonographic heel measurements to </w:t>
      </w:r>
      <w:r>
        <w:rPr>
          <w:sz w:val="22"/>
        </w:rPr>
        <w:t>predict</w:t>
      </w:r>
      <w:r>
        <w:rPr>
          <w:spacing w:val="80"/>
          <w:sz w:val="22"/>
        </w:rPr>
        <w:t> </w:t>
      </w:r>
      <w:r>
        <w:rPr>
          <w:sz w:val="22"/>
        </w:rPr>
        <w:t>hip fracture in elderly women: the EPIDOS prospective study. </w:t>
      </w:r>
      <w:r>
        <w:rPr>
          <w:i/>
          <w:sz w:val="22"/>
        </w:rPr>
        <w:t>Lancet</w:t>
      </w:r>
      <w:r>
        <w:rPr>
          <w:sz w:val="22"/>
        </w:rPr>
        <w:t>. 1996;348:511.</w:t>
      </w:r>
    </w:p>
    <w:p>
      <w:pPr>
        <w:pStyle w:val="ListParagraph"/>
        <w:numPr>
          <w:ilvl w:val="0"/>
          <w:numId w:val="8"/>
        </w:numPr>
        <w:tabs>
          <w:tab w:pos="699" w:val="left" w:leader="none"/>
          <w:tab w:pos="718" w:val="left" w:leader="none"/>
        </w:tabs>
        <w:spacing w:line="256" w:lineRule="auto" w:before="0" w:after="0"/>
        <w:ind w:left="718" w:right="113" w:hanging="405"/>
        <w:jc w:val="both"/>
        <w:rPr>
          <w:sz w:val="22"/>
        </w:rPr>
      </w:pPr>
      <w:r>
        <w:rPr>
          <w:sz w:val="22"/>
        </w:rPr>
        <w:t>Njeh CF, Boivin CM, Langton CM. The role of ultrasound in the assessment of osteoporosis: a review. </w:t>
      </w:r>
      <w:r>
        <w:rPr>
          <w:i/>
          <w:sz w:val="22"/>
        </w:rPr>
        <w:t>Osteoporos Int</w:t>
      </w:r>
      <w:r>
        <w:rPr>
          <w:sz w:val="22"/>
        </w:rPr>
        <w:t>. 1997;7:7.</w:t>
      </w:r>
    </w:p>
    <w:p>
      <w:pPr>
        <w:pStyle w:val="ListParagraph"/>
        <w:numPr>
          <w:ilvl w:val="0"/>
          <w:numId w:val="8"/>
        </w:numPr>
        <w:tabs>
          <w:tab w:pos="699" w:val="left" w:leader="none"/>
          <w:tab w:pos="718" w:val="left" w:leader="none"/>
        </w:tabs>
        <w:spacing w:line="256" w:lineRule="auto" w:before="0" w:after="0"/>
        <w:ind w:left="718" w:right="110" w:hanging="405"/>
        <w:jc w:val="both"/>
        <w:rPr>
          <w:sz w:val="22"/>
        </w:rPr>
      </w:pPr>
      <w:r>
        <w:rPr>
          <w:sz w:val="22"/>
        </w:rPr>
        <w:t>Weiss LK, Burkman RT, Cushing-Haugen KL, et al. Hormone replacement therapy </w:t>
      </w:r>
      <w:r>
        <w:rPr>
          <w:sz w:val="22"/>
        </w:rPr>
        <w:t>regimens and breast cancer risk. </w:t>
      </w:r>
      <w:r>
        <w:rPr>
          <w:i/>
          <w:sz w:val="22"/>
        </w:rPr>
        <w:t>Obstet Gynecol</w:t>
      </w:r>
      <w:r>
        <w:rPr>
          <w:sz w:val="22"/>
        </w:rPr>
        <w:t>. 2002;100:1148.</w:t>
      </w:r>
    </w:p>
    <w:p>
      <w:pPr>
        <w:pStyle w:val="ListParagraph"/>
        <w:numPr>
          <w:ilvl w:val="0"/>
          <w:numId w:val="8"/>
        </w:numPr>
        <w:tabs>
          <w:tab w:pos="699" w:val="left" w:leader="none"/>
          <w:tab w:pos="718" w:val="left" w:leader="none"/>
        </w:tabs>
        <w:spacing w:line="256" w:lineRule="auto" w:before="0" w:after="0"/>
        <w:ind w:left="718" w:right="107" w:hanging="405"/>
        <w:jc w:val="both"/>
        <w:rPr>
          <w:sz w:val="22"/>
        </w:rPr>
      </w:pPr>
      <w:r>
        <w:rPr>
          <w:sz w:val="22"/>
        </w:rPr>
        <w:t>Faber J, Gallow AM. Changes in bone mass during prolonged subclinical hyperthyroidism </w:t>
      </w:r>
      <w:r>
        <w:rPr>
          <w:sz w:val="22"/>
        </w:rPr>
        <w:t>due</w:t>
      </w:r>
      <w:r>
        <w:rPr>
          <w:spacing w:val="40"/>
          <w:sz w:val="22"/>
        </w:rPr>
        <w:t> </w:t>
      </w:r>
      <w:r>
        <w:rPr>
          <w:sz w:val="22"/>
        </w:rPr>
        <w:t>to </w:t>
      </w:r>
      <w:r>
        <w:rPr>
          <w:sz w:val="16"/>
        </w:rPr>
        <w:t>L</w:t>
      </w:r>
      <w:r>
        <w:rPr>
          <w:sz w:val="22"/>
        </w:rPr>
        <w:t>-thyroxine treatment: a meta-analysis. </w:t>
      </w:r>
      <w:r>
        <w:rPr>
          <w:i/>
          <w:sz w:val="22"/>
        </w:rPr>
        <w:t>Eur J Endocrinol</w:t>
      </w:r>
      <w:r>
        <w:rPr>
          <w:sz w:val="22"/>
        </w:rPr>
        <w:t>. 1994;130:350.</w:t>
      </w:r>
    </w:p>
    <w:p>
      <w:pPr>
        <w:pStyle w:val="ListParagraph"/>
        <w:numPr>
          <w:ilvl w:val="0"/>
          <w:numId w:val="8"/>
        </w:numPr>
        <w:tabs>
          <w:tab w:pos="699" w:val="left" w:leader="none"/>
          <w:tab w:pos="718" w:val="left" w:leader="none"/>
        </w:tabs>
        <w:spacing w:line="256" w:lineRule="auto" w:before="0" w:after="0"/>
        <w:ind w:left="718" w:right="103" w:hanging="405"/>
        <w:jc w:val="both"/>
        <w:rPr>
          <w:sz w:val="22"/>
        </w:rPr>
      </w:pPr>
      <w:r>
        <w:rPr>
          <w:sz w:val="22"/>
        </w:rPr>
        <w:t>Cummings SR, Nevitt MC, Browner WS, et al. Risk factors for hip fracture in white </w:t>
      </w:r>
      <w:r>
        <w:rPr>
          <w:sz w:val="22"/>
        </w:rPr>
        <w:t>women. Study of Osteoporotic Fractures Research Group. </w:t>
      </w:r>
      <w:r>
        <w:rPr>
          <w:i/>
          <w:sz w:val="22"/>
        </w:rPr>
        <w:t>N Engl J Med</w:t>
      </w:r>
      <w:r>
        <w:rPr>
          <w:sz w:val="22"/>
        </w:rPr>
        <w:t>. 1995;332:767.</w:t>
      </w:r>
    </w:p>
    <w:p>
      <w:pPr>
        <w:pStyle w:val="ListParagraph"/>
        <w:numPr>
          <w:ilvl w:val="0"/>
          <w:numId w:val="8"/>
        </w:numPr>
        <w:tabs>
          <w:tab w:pos="699" w:val="left" w:leader="none"/>
          <w:tab w:pos="718" w:val="left" w:leader="none"/>
        </w:tabs>
        <w:spacing w:line="256" w:lineRule="auto" w:before="0" w:after="0"/>
        <w:ind w:left="718" w:right="107" w:hanging="405"/>
        <w:jc w:val="both"/>
        <w:rPr>
          <w:sz w:val="22"/>
        </w:rPr>
      </w:pPr>
      <w:r>
        <w:rPr>
          <w:sz w:val="22"/>
        </w:rPr>
        <w:t>Bauer</w:t>
      </w:r>
      <w:r>
        <w:rPr>
          <w:spacing w:val="38"/>
          <w:sz w:val="22"/>
        </w:rPr>
        <w:t> </w:t>
      </w:r>
      <w:r>
        <w:rPr>
          <w:sz w:val="22"/>
        </w:rPr>
        <w:t>DC,</w:t>
      </w:r>
      <w:r>
        <w:rPr>
          <w:spacing w:val="38"/>
          <w:sz w:val="22"/>
        </w:rPr>
        <w:t> </w:t>
      </w:r>
      <w:r>
        <w:rPr>
          <w:sz w:val="22"/>
        </w:rPr>
        <w:t>Nevitt</w:t>
      </w:r>
      <w:r>
        <w:rPr>
          <w:spacing w:val="38"/>
          <w:sz w:val="22"/>
        </w:rPr>
        <w:t> </w:t>
      </w:r>
      <w:r>
        <w:rPr>
          <w:sz w:val="22"/>
        </w:rPr>
        <w:t>MC,</w:t>
      </w:r>
      <w:r>
        <w:rPr>
          <w:spacing w:val="38"/>
          <w:sz w:val="22"/>
        </w:rPr>
        <w:t> </w:t>
      </w:r>
      <w:r>
        <w:rPr>
          <w:sz w:val="22"/>
        </w:rPr>
        <w:t>Ettinger</w:t>
      </w:r>
      <w:r>
        <w:rPr>
          <w:spacing w:val="38"/>
          <w:sz w:val="22"/>
        </w:rPr>
        <w:t> </w:t>
      </w:r>
      <w:r>
        <w:rPr>
          <w:sz w:val="22"/>
        </w:rPr>
        <w:t>B,</w:t>
      </w:r>
      <w:r>
        <w:rPr>
          <w:spacing w:val="38"/>
          <w:sz w:val="22"/>
        </w:rPr>
        <w:t> </w:t>
      </w:r>
      <w:r>
        <w:rPr>
          <w:sz w:val="22"/>
        </w:rPr>
        <w:t>Stone</w:t>
      </w:r>
      <w:r>
        <w:rPr>
          <w:spacing w:val="38"/>
          <w:sz w:val="22"/>
        </w:rPr>
        <w:t> </w:t>
      </w:r>
      <w:r>
        <w:rPr>
          <w:sz w:val="22"/>
        </w:rPr>
        <w:t>K.</w:t>
      </w:r>
      <w:r>
        <w:rPr>
          <w:spacing w:val="38"/>
          <w:sz w:val="22"/>
        </w:rPr>
        <w:t> </w:t>
      </w:r>
      <w:r>
        <w:rPr>
          <w:sz w:val="22"/>
        </w:rPr>
        <w:t>Low</w:t>
      </w:r>
      <w:r>
        <w:rPr>
          <w:spacing w:val="37"/>
          <w:sz w:val="22"/>
        </w:rPr>
        <w:t> </w:t>
      </w:r>
      <w:r>
        <w:rPr>
          <w:sz w:val="22"/>
        </w:rPr>
        <w:t>thyrotropin</w:t>
      </w:r>
      <w:r>
        <w:rPr>
          <w:spacing w:val="37"/>
          <w:sz w:val="22"/>
        </w:rPr>
        <w:t> </w:t>
      </w:r>
      <w:r>
        <w:rPr>
          <w:sz w:val="22"/>
        </w:rPr>
        <w:t>levels</w:t>
      </w:r>
      <w:r>
        <w:rPr>
          <w:spacing w:val="37"/>
          <w:sz w:val="22"/>
        </w:rPr>
        <w:t> </w:t>
      </w:r>
      <w:r>
        <w:rPr>
          <w:sz w:val="22"/>
        </w:rPr>
        <w:t>are</w:t>
      </w:r>
      <w:r>
        <w:rPr>
          <w:spacing w:val="37"/>
          <w:sz w:val="22"/>
        </w:rPr>
        <w:t> </w:t>
      </w:r>
      <w:r>
        <w:rPr>
          <w:sz w:val="22"/>
        </w:rPr>
        <w:t>not</w:t>
      </w:r>
      <w:r>
        <w:rPr>
          <w:spacing w:val="37"/>
          <w:sz w:val="22"/>
        </w:rPr>
        <w:t> </w:t>
      </w:r>
      <w:r>
        <w:rPr>
          <w:sz w:val="22"/>
        </w:rPr>
        <w:t>associated</w:t>
      </w:r>
      <w:r>
        <w:rPr>
          <w:spacing w:val="37"/>
          <w:sz w:val="22"/>
        </w:rPr>
        <w:t> </w:t>
      </w:r>
      <w:r>
        <w:rPr>
          <w:sz w:val="22"/>
        </w:rPr>
        <w:t>with bone loss in older women: a prospective study. </w:t>
      </w:r>
      <w:r>
        <w:rPr>
          <w:i/>
          <w:sz w:val="22"/>
        </w:rPr>
        <w:t>J Clin Endocrinol Metab</w:t>
      </w:r>
      <w:r>
        <w:rPr>
          <w:sz w:val="22"/>
        </w:rPr>
        <w:t>. 1997;82:2931.</w:t>
      </w:r>
    </w:p>
    <w:p>
      <w:pPr>
        <w:pStyle w:val="ListParagraph"/>
        <w:numPr>
          <w:ilvl w:val="0"/>
          <w:numId w:val="8"/>
        </w:numPr>
        <w:tabs>
          <w:tab w:pos="699" w:val="left" w:leader="none"/>
          <w:tab w:pos="718" w:val="left" w:leader="none"/>
        </w:tabs>
        <w:spacing w:line="256" w:lineRule="auto" w:before="0" w:after="0"/>
        <w:ind w:left="718" w:right="98" w:hanging="405"/>
        <w:jc w:val="both"/>
        <w:rPr>
          <w:sz w:val="22"/>
        </w:rPr>
      </w:pPr>
      <w:r>
        <w:rPr>
          <w:sz w:val="22"/>
        </w:rPr>
        <w:t>Yang R, Yao L, Fang Y, et al. The relationship between subclinical thyroid dysfunction and </w:t>
      </w:r>
      <w:r>
        <w:rPr>
          <w:sz w:val="22"/>
        </w:rPr>
        <w:t>the risk of fracture or low bone mineral density: a systematic review and meta-analysis of cohort studies. </w:t>
      </w:r>
      <w:r>
        <w:rPr>
          <w:i/>
          <w:sz w:val="22"/>
        </w:rPr>
        <w:t>J Bone Miner Metab</w:t>
      </w:r>
      <w:r>
        <w:rPr>
          <w:sz w:val="22"/>
        </w:rPr>
        <w:t>. 2018;36(2):209.</w:t>
      </w:r>
    </w:p>
    <w:p>
      <w:pPr>
        <w:pStyle w:val="ListParagraph"/>
        <w:numPr>
          <w:ilvl w:val="0"/>
          <w:numId w:val="8"/>
        </w:numPr>
        <w:tabs>
          <w:tab w:pos="699" w:val="left" w:leader="none"/>
          <w:tab w:pos="718" w:val="left" w:leader="none"/>
        </w:tabs>
        <w:spacing w:line="256" w:lineRule="auto" w:before="0" w:after="0"/>
        <w:ind w:left="718" w:right="105" w:hanging="405"/>
        <w:jc w:val="both"/>
        <w:rPr>
          <w:sz w:val="22"/>
        </w:rPr>
      </w:pPr>
      <w:r>
        <w:rPr>
          <w:sz w:val="22"/>
        </w:rPr>
        <w:t>Siris ES, Miller PD, Barrett-Connor E, et al. Identification and fracture outcomes of</w:t>
      </w:r>
      <w:r>
        <w:rPr>
          <w:spacing w:val="80"/>
          <w:sz w:val="22"/>
        </w:rPr>
        <w:t> </w:t>
      </w:r>
      <w:r>
        <w:rPr>
          <w:sz w:val="22"/>
        </w:rPr>
        <w:t>undiagnosed low bone mineral density in postmenopausal women: results from the </w:t>
      </w:r>
      <w:r>
        <w:rPr>
          <w:sz w:val="22"/>
        </w:rPr>
        <w:t>National Osteoporosis Risk Assessment. </w:t>
      </w:r>
      <w:r>
        <w:rPr>
          <w:i/>
          <w:sz w:val="22"/>
        </w:rPr>
        <w:t>JAMA</w:t>
      </w:r>
      <w:r>
        <w:rPr>
          <w:sz w:val="22"/>
        </w:rPr>
        <w:t>. 2001;286:2815.</w:t>
      </w:r>
    </w:p>
    <w:p>
      <w:pPr>
        <w:pStyle w:val="ListParagraph"/>
        <w:numPr>
          <w:ilvl w:val="0"/>
          <w:numId w:val="8"/>
        </w:numPr>
        <w:tabs>
          <w:tab w:pos="699" w:val="left" w:leader="none"/>
          <w:tab w:pos="718" w:val="left" w:leader="none"/>
        </w:tabs>
        <w:spacing w:line="256" w:lineRule="auto" w:before="0" w:after="0"/>
        <w:ind w:left="718" w:right="111" w:hanging="405"/>
        <w:jc w:val="both"/>
        <w:rPr>
          <w:sz w:val="22"/>
        </w:rPr>
      </w:pPr>
      <w:r>
        <w:rPr>
          <w:sz w:val="22"/>
        </w:rPr>
        <w:t>Black DM, Geiger EJ, Eastell R, et al. Atypical femur fracture risk versus fragility fracture prevention with bisphosphonates. </w:t>
      </w:r>
      <w:r>
        <w:rPr>
          <w:i/>
          <w:sz w:val="22"/>
        </w:rPr>
        <w:t>N Engl J Med</w:t>
      </w:r>
      <w:r>
        <w:rPr>
          <w:sz w:val="22"/>
        </w:rPr>
        <w:t>. 2020;383(8):743-753.</w:t>
      </w:r>
    </w:p>
    <w:p>
      <w:pPr>
        <w:pStyle w:val="ListParagraph"/>
        <w:numPr>
          <w:ilvl w:val="0"/>
          <w:numId w:val="8"/>
        </w:numPr>
        <w:tabs>
          <w:tab w:pos="699" w:val="left" w:leader="none"/>
        </w:tabs>
        <w:spacing w:line="252" w:lineRule="exact" w:before="0" w:after="0"/>
        <w:ind w:left="699" w:right="0" w:hanging="386"/>
        <w:jc w:val="both"/>
        <w:rPr>
          <w:sz w:val="22"/>
        </w:rPr>
      </w:pPr>
      <w:r>
        <w:rPr>
          <w:sz w:val="22"/>
        </w:rPr>
        <w:t>Bone</w:t>
      </w:r>
      <w:r>
        <w:rPr>
          <w:spacing w:val="23"/>
          <w:sz w:val="22"/>
        </w:rPr>
        <w:t> </w:t>
      </w:r>
      <w:r>
        <w:rPr>
          <w:sz w:val="22"/>
        </w:rPr>
        <w:t>Health</w:t>
      </w:r>
      <w:r>
        <w:rPr>
          <w:spacing w:val="23"/>
          <w:sz w:val="22"/>
        </w:rPr>
        <w:t> </w:t>
      </w:r>
      <w:r>
        <w:rPr>
          <w:sz w:val="22"/>
        </w:rPr>
        <w:t>and</w:t>
      </w:r>
      <w:r>
        <w:rPr>
          <w:spacing w:val="23"/>
          <w:sz w:val="22"/>
        </w:rPr>
        <w:t> </w:t>
      </w:r>
      <w:r>
        <w:rPr>
          <w:sz w:val="22"/>
        </w:rPr>
        <w:t>Osteoporosis</w:t>
      </w:r>
      <w:r>
        <w:rPr>
          <w:spacing w:val="23"/>
          <w:sz w:val="22"/>
        </w:rPr>
        <w:t> </w:t>
      </w:r>
      <w:r>
        <w:rPr>
          <w:sz w:val="22"/>
        </w:rPr>
        <w:t>Foundation.</w:t>
      </w:r>
      <w:r>
        <w:rPr>
          <w:spacing w:val="24"/>
          <w:sz w:val="22"/>
        </w:rPr>
        <w:t> </w:t>
      </w:r>
      <w:hyperlink r:id="rId17">
        <w:r>
          <w:rPr>
            <w:sz w:val="22"/>
          </w:rPr>
          <w:t>https://www.bonesource.org/frax-</w:t>
        </w:r>
        <w:r>
          <w:rPr>
            <w:spacing w:val="-4"/>
            <w:sz w:val="22"/>
          </w:rPr>
          <w:t>tool</w:t>
        </w:r>
      </w:hyperlink>
    </w:p>
    <w:p>
      <w:pPr>
        <w:pStyle w:val="ListParagraph"/>
        <w:numPr>
          <w:ilvl w:val="0"/>
          <w:numId w:val="8"/>
        </w:numPr>
        <w:tabs>
          <w:tab w:pos="709" w:val="left" w:leader="none"/>
          <w:tab w:pos="718" w:val="left" w:leader="none"/>
        </w:tabs>
        <w:spacing w:line="256" w:lineRule="auto" w:before="0" w:after="0"/>
        <w:ind w:left="718" w:right="112" w:hanging="507"/>
        <w:jc w:val="both"/>
        <w:rPr>
          <w:sz w:val="22"/>
        </w:rPr>
      </w:pPr>
      <w:r>
        <w:rPr>
          <w:sz w:val="22"/>
        </w:rPr>
        <w:t>World Health Organization Collaborating Centre for Metabolic Bone Diseases. FRAX®</w:t>
      </w:r>
      <w:r>
        <w:rPr>
          <w:spacing w:val="80"/>
          <w:sz w:val="22"/>
        </w:rPr>
        <w:t> </w:t>
      </w:r>
      <w:r>
        <w:rPr>
          <w:sz w:val="22"/>
        </w:rPr>
        <w:t>fracture risk assessment tool. 2009. University of Sheffield. </w:t>
      </w:r>
      <w:hyperlink r:id="rId18">
        <w:r>
          <w:rPr>
            <w:sz w:val="22"/>
          </w:rPr>
          <w:t>http://www.shef.ac.uk/FRAX/</w:t>
        </w:r>
      </w:hyperlink>
    </w:p>
    <w:p>
      <w:pPr>
        <w:pStyle w:val="ListParagraph"/>
        <w:numPr>
          <w:ilvl w:val="0"/>
          <w:numId w:val="8"/>
        </w:numPr>
        <w:tabs>
          <w:tab w:pos="709" w:val="left" w:leader="none"/>
          <w:tab w:pos="718" w:val="left" w:leader="none"/>
        </w:tabs>
        <w:spacing w:line="256" w:lineRule="auto" w:before="0" w:after="0"/>
        <w:ind w:left="718" w:right="101" w:hanging="507"/>
        <w:jc w:val="both"/>
        <w:rPr>
          <w:sz w:val="22"/>
        </w:rPr>
      </w:pPr>
      <w:r>
        <w:rPr>
          <w:sz w:val="22"/>
        </w:rPr>
        <w:t>Tosteson</w:t>
      </w:r>
      <w:r>
        <w:rPr>
          <w:spacing w:val="40"/>
          <w:sz w:val="22"/>
        </w:rPr>
        <w:t> </w:t>
      </w:r>
      <w:r>
        <w:rPr>
          <w:sz w:val="22"/>
        </w:rPr>
        <w:t>AN,</w:t>
      </w:r>
      <w:r>
        <w:rPr>
          <w:spacing w:val="40"/>
          <w:sz w:val="22"/>
        </w:rPr>
        <w:t> </w:t>
      </w:r>
      <w:r>
        <w:rPr>
          <w:sz w:val="22"/>
        </w:rPr>
        <w:t>Melton</w:t>
      </w:r>
      <w:r>
        <w:rPr>
          <w:spacing w:val="40"/>
          <w:sz w:val="22"/>
        </w:rPr>
        <w:t> </w:t>
      </w:r>
      <w:r>
        <w:rPr>
          <w:sz w:val="22"/>
        </w:rPr>
        <w:t>LJ</w:t>
      </w:r>
      <w:r>
        <w:rPr>
          <w:spacing w:val="40"/>
          <w:sz w:val="22"/>
        </w:rPr>
        <w:t> </w:t>
      </w:r>
      <w:r>
        <w:rPr>
          <w:sz w:val="22"/>
        </w:rPr>
        <w:t>III,</w:t>
      </w:r>
      <w:r>
        <w:rPr>
          <w:spacing w:val="40"/>
          <w:sz w:val="22"/>
        </w:rPr>
        <w:t> </w:t>
      </w:r>
      <w:r>
        <w:rPr>
          <w:sz w:val="22"/>
        </w:rPr>
        <w:t>Dawson-Hughes</w:t>
      </w:r>
      <w:r>
        <w:rPr>
          <w:spacing w:val="40"/>
          <w:sz w:val="22"/>
        </w:rPr>
        <w:t> </w:t>
      </w:r>
      <w:r>
        <w:rPr>
          <w:sz w:val="22"/>
        </w:rPr>
        <w:t>B,</w:t>
      </w:r>
      <w:r>
        <w:rPr>
          <w:spacing w:val="40"/>
          <w:sz w:val="22"/>
        </w:rPr>
        <w:t> </w:t>
      </w:r>
      <w:r>
        <w:rPr>
          <w:sz w:val="22"/>
        </w:rPr>
        <w:t>et</w:t>
      </w:r>
      <w:r>
        <w:rPr>
          <w:spacing w:val="40"/>
          <w:sz w:val="22"/>
        </w:rPr>
        <w:t> </w:t>
      </w:r>
      <w:r>
        <w:rPr>
          <w:sz w:val="22"/>
        </w:rPr>
        <w:t>al;</w:t>
      </w:r>
      <w:r>
        <w:rPr>
          <w:spacing w:val="40"/>
          <w:sz w:val="22"/>
        </w:rPr>
        <w:t> </w:t>
      </w:r>
      <w:r>
        <w:rPr>
          <w:sz w:val="22"/>
        </w:rPr>
        <w:t>National</w:t>
      </w:r>
      <w:r>
        <w:rPr>
          <w:spacing w:val="40"/>
          <w:sz w:val="22"/>
        </w:rPr>
        <w:t> </w:t>
      </w:r>
      <w:r>
        <w:rPr>
          <w:sz w:val="22"/>
        </w:rPr>
        <w:t>Osteoporosis</w:t>
      </w:r>
      <w:r>
        <w:rPr>
          <w:spacing w:val="40"/>
          <w:sz w:val="22"/>
        </w:rPr>
        <w:t> </w:t>
      </w:r>
      <w:r>
        <w:rPr>
          <w:sz w:val="22"/>
        </w:rPr>
        <w:t>Foundation Guide Committee. Cost-effective osteoporosis treatment thresholds: the United </w:t>
      </w:r>
      <w:r>
        <w:rPr>
          <w:sz w:val="22"/>
        </w:rPr>
        <w:t>States perspective. </w:t>
      </w:r>
      <w:r>
        <w:rPr>
          <w:i/>
          <w:sz w:val="22"/>
        </w:rPr>
        <w:t>Osteoporos Int</w:t>
      </w:r>
      <w:r>
        <w:rPr>
          <w:sz w:val="22"/>
        </w:rPr>
        <w:t>. 2008;19:437.</w:t>
      </w:r>
    </w:p>
    <w:p>
      <w:pPr>
        <w:pStyle w:val="ListParagraph"/>
        <w:numPr>
          <w:ilvl w:val="0"/>
          <w:numId w:val="8"/>
        </w:numPr>
        <w:tabs>
          <w:tab w:pos="709" w:val="left" w:leader="none"/>
          <w:tab w:pos="718" w:val="left" w:leader="none"/>
        </w:tabs>
        <w:spacing w:line="256" w:lineRule="auto" w:before="0" w:after="0"/>
        <w:ind w:left="718" w:right="110" w:hanging="507"/>
        <w:jc w:val="both"/>
        <w:rPr>
          <w:sz w:val="22"/>
        </w:rPr>
      </w:pPr>
      <w:r>
        <w:rPr>
          <w:sz w:val="22"/>
        </w:rPr>
        <w:t>Dawson-Hughes B, Tosteson AN, Melton LJ III, et al. Implications of absolute fracture risk assessment for osteoporosis practice guidelines in the USA. </w:t>
      </w:r>
      <w:r>
        <w:rPr>
          <w:i/>
          <w:sz w:val="22"/>
        </w:rPr>
        <w:t>Osteoporos Int</w:t>
      </w:r>
      <w:r>
        <w:rPr>
          <w:sz w:val="22"/>
        </w:rPr>
        <w:t>. 2008;19:449.</w:t>
      </w:r>
    </w:p>
    <w:p>
      <w:pPr>
        <w:pStyle w:val="ListParagraph"/>
        <w:numPr>
          <w:ilvl w:val="0"/>
          <w:numId w:val="8"/>
        </w:numPr>
        <w:tabs>
          <w:tab w:pos="709" w:val="left" w:leader="none"/>
          <w:tab w:pos="718" w:val="left" w:leader="none"/>
        </w:tabs>
        <w:spacing w:line="256" w:lineRule="auto" w:before="0" w:after="0"/>
        <w:ind w:left="718" w:right="105" w:hanging="507"/>
        <w:jc w:val="both"/>
        <w:rPr>
          <w:sz w:val="22"/>
        </w:rPr>
      </w:pPr>
      <w:r>
        <w:rPr>
          <w:sz w:val="22"/>
        </w:rPr>
        <w:t>Garnero</w:t>
      </w:r>
      <w:r>
        <w:rPr>
          <w:spacing w:val="40"/>
          <w:sz w:val="22"/>
        </w:rPr>
        <w:t> </w:t>
      </w:r>
      <w:r>
        <w:rPr>
          <w:sz w:val="22"/>
        </w:rPr>
        <w:t>P,</w:t>
      </w:r>
      <w:r>
        <w:rPr>
          <w:spacing w:val="40"/>
          <w:sz w:val="22"/>
        </w:rPr>
        <w:t> </w:t>
      </w:r>
      <w:r>
        <w:rPr>
          <w:sz w:val="22"/>
        </w:rPr>
        <w:t>Gineyts</w:t>
      </w:r>
      <w:r>
        <w:rPr>
          <w:spacing w:val="40"/>
          <w:sz w:val="22"/>
        </w:rPr>
        <w:t> </w:t>
      </w:r>
      <w:r>
        <w:rPr>
          <w:sz w:val="22"/>
        </w:rPr>
        <w:t>E,</w:t>
      </w:r>
      <w:r>
        <w:rPr>
          <w:spacing w:val="40"/>
          <w:sz w:val="22"/>
        </w:rPr>
        <w:t> </w:t>
      </w:r>
      <w:r>
        <w:rPr>
          <w:sz w:val="22"/>
        </w:rPr>
        <w:t>Rious</w:t>
      </w:r>
      <w:r>
        <w:rPr>
          <w:spacing w:val="40"/>
          <w:sz w:val="22"/>
        </w:rPr>
        <w:t> </w:t>
      </w:r>
      <w:r>
        <w:rPr>
          <w:sz w:val="22"/>
        </w:rPr>
        <w:t>JP,</w:t>
      </w:r>
      <w:r>
        <w:rPr>
          <w:spacing w:val="40"/>
          <w:sz w:val="22"/>
        </w:rPr>
        <w:t> </w:t>
      </w:r>
      <w:r>
        <w:rPr>
          <w:sz w:val="22"/>
        </w:rPr>
        <w:t>Delmas</w:t>
      </w:r>
      <w:r>
        <w:rPr>
          <w:spacing w:val="40"/>
          <w:sz w:val="22"/>
        </w:rPr>
        <w:t> </w:t>
      </w:r>
      <w:r>
        <w:rPr>
          <w:sz w:val="22"/>
        </w:rPr>
        <w:t>PD.</w:t>
      </w:r>
      <w:r>
        <w:rPr>
          <w:spacing w:val="40"/>
          <w:sz w:val="22"/>
        </w:rPr>
        <w:t> </w:t>
      </w:r>
      <w:r>
        <w:rPr>
          <w:sz w:val="22"/>
        </w:rPr>
        <w:t>Assessment</w:t>
      </w:r>
      <w:r>
        <w:rPr>
          <w:spacing w:val="40"/>
          <w:sz w:val="22"/>
        </w:rPr>
        <w:t> </w:t>
      </w:r>
      <w:r>
        <w:rPr>
          <w:sz w:val="22"/>
        </w:rPr>
        <w:t>of</w:t>
      </w:r>
      <w:r>
        <w:rPr>
          <w:spacing w:val="40"/>
          <w:sz w:val="22"/>
        </w:rPr>
        <w:t> </w:t>
      </w:r>
      <w:r>
        <w:rPr>
          <w:sz w:val="22"/>
        </w:rPr>
        <w:t>bone</w:t>
      </w:r>
      <w:r>
        <w:rPr>
          <w:spacing w:val="40"/>
          <w:sz w:val="22"/>
        </w:rPr>
        <w:t> </w:t>
      </w:r>
      <w:r>
        <w:rPr>
          <w:sz w:val="22"/>
        </w:rPr>
        <w:t>resorption</w:t>
      </w:r>
      <w:r>
        <w:rPr>
          <w:spacing w:val="40"/>
          <w:sz w:val="22"/>
        </w:rPr>
        <w:t> </w:t>
      </w:r>
      <w:r>
        <w:rPr>
          <w:sz w:val="22"/>
        </w:rPr>
        <w:t>with</w:t>
      </w:r>
      <w:r>
        <w:rPr>
          <w:spacing w:val="40"/>
          <w:sz w:val="22"/>
        </w:rPr>
        <w:t> </w:t>
      </w:r>
      <w:r>
        <w:rPr>
          <w:sz w:val="22"/>
        </w:rPr>
        <w:t>a</w:t>
      </w:r>
      <w:r>
        <w:rPr>
          <w:spacing w:val="40"/>
          <w:sz w:val="22"/>
        </w:rPr>
        <w:t> </w:t>
      </w:r>
      <w:r>
        <w:rPr>
          <w:sz w:val="22"/>
        </w:rPr>
        <w:t>new marker of collagen degradation in patients with metabolic bone disease. </w:t>
      </w:r>
      <w:r>
        <w:rPr>
          <w:i/>
          <w:sz w:val="22"/>
        </w:rPr>
        <w:t>J Clin Endocrinol</w:t>
      </w:r>
      <w:r>
        <w:rPr>
          <w:i/>
          <w:sz w:val="22"/>
        </w:rPr>
        <w:t> Metab</w:t>
      </w:r>
      <w:r>
        <w:rPr>
          <w:sz w:val="22"/>
        </w:rPr>
        <w:t>. 1994;79:780.</w:t>
      </w:r>
    </w:p>
    <w:p>
      <w:pPr>
        <w:pStyle w:val="ListParagraph"/>
        <w:spacing w:after="0" w:line="256" w:lineRule="auto"/>
        <w:jc w:val="both"/>
        <w:rPr>
          <w:sz w:val="22"/>
        </w:rPr>
        <w:sectPr>
          <w:pgSz w:w="12240" w:h="15840"/>
          <w:pgMar w:top="1360" w:bottom="280" w:left="1440" w:right="1440"/>
        </w:sectPr>
      </w:pPr>
    </w:p>
    <w:p>
      <w:pPr>
        <w:pStyle w:val="ListParagraph"/>
        <w:numPr>
          <w:ilvl w:val="0"/>
          <w:numId w:val="8"/>
        </w:numPr>
        <w:tabs>
          <w:tab w:pos="709" w:val="left" w:leader="none"/>
          <w:tab w:pos="718" w:val="left" w:leader="none"/>
        </w:tabs>
        <w:spacing w:line="256" w:lineRule="auto" w:before="84" w:after="0"/>
        <w:ind w:left="718" w:right="107" w:hanging="507"/>
        <w:jc w:val="both"/>
        <w:rPr>
          <w:sz w:val="22"/>
        </w:rPr>
      </w:pPr>
      <w:r>
        <w:rPr>
          <w:sz w:val="22"/>
        </w:rPr>
        <w:t>Prestwood KM, Pilbeam CC, Burleson JA, et al. The short term effects of conjugated estrogen on bone turnover in older women. </w:t>
      </w:r>
      <w:r>
        <w:rPr>
          <w:i/>
          <w:sz w:val="22"/>
        </w:rPr>
        <w:t>J Clin Endocrinol Metab</w:t>
      </w:r>
      <w:r>
        <w:rPr>
          <w:sz w:val="22"/>
        </w:rPr>
        <w:t>. 1994;79:366.</w:t>
      </w:r>
    </w:p>
    <w:p>
      <w:pPr>
        <w:pStyle w:val="ListParagraph"/>
        <w:numPr>
          <w:ilvl w:val="0"/>
          <w:numId w:val="8"/>
        </w:numPr>
        <w:tabs>
          <w:tab w:pos="709" w:val="left" w:leader="none"/>
          <w:tab w:pos="718" w:val="left" w:leader="none"/>
        </w:tabs>
        <w:spacing w:line="256" w:lineRule="auto" w:before="0" w:after="0"/>
        <w:ind w:left="718" w:right="97" w:hanging="507"/>
        <w:jc w:val="both"/>
        <w:rPr>
          <w:sz w:val="22"/>
        </w:rPr>
      </w:pPr>
      <w:r>
        <w:rPr>
          <w:sz w:val="22"/>
        </w:rPr>
        <w:t>Chesnut CH III, Bell NH, Clark GS, et al. Hormone replacement therapy in postmenopausal women: urinary N-telopeptide of type I collagen monitors therapeutic effect and predicts response of bone mineral density. </w:t>
      </w:r>
      <w:r>
        <w:rPr>
          <w:i/>
          <w:sz w:val="22"/>
        </w:rPr>
        <w:t>Am J Med</w:t>
      </w:r>
      <w:r>
        <w:rPr>
          <w:sz w:val="22"/>
        </w:rPr>
        <w:t>. 1997;102:29.</w:t>
      </w:r>
    </w:p>
    <w:p>
      <w:pPr>
        <w:pStyle w:val="ListParagraph"/>
        <w:numPr>
          <w:ilvl w:val="0"/>
          <w:numId w:val="8"/>
        </w:numPr>
        <w:tabs>
          <w:tab w:pos="709" w:val="left" w:leader="none"/>
          <w:tab w:pos="718" w:val="left" w:leader="none"/>
        </w:tabs>
        <w:spacing w:line="256" w:lineRule="auto" w:before="0" w:after="0"/>
        <w:ind w:left="718" w:right="101" w:hanging="507"/>
        <w:jc w:val="both"/>
        <w:rPr>
          <w:sz w:val="22"/>
        </w:rPr>
      </w:pPr>
      <w:r>
        <w:rPr>
          <w:sz w:val="22"/>
        </w:rPr>
        <w:t>Komulainen MH, Kröger H, Tuppurainen MT, et al. HRT and Vit D in prevention of </w:t>
      </w:r>
      <w:r>
        <w:rPr>
          <w:sz w:val="22"/>
        </w:rPr>
        <w:t>non-vertebral</w:t>
      </w:r>
      <w:r>
        <w:rPr>
          <w:spacing w:val="40"/>
          <w:sz w:val="22"/>
        </w:rPr>
        <w:t> </w:t>
      </w:r>
      <w:r>
        <w:rPr>
          <w:sz w:val="22"/>
        </w:rPr>
        <w:t>fractures</w:t>
      </w:r>
      <w:r>
        <w:rPr>
          <w:spacing w:val="40"/>
          <w:sz w:val="22"/>
        </w:rPr>
        <w:t> </w:t>
      </w:r>
      <w:r>
        <w:rPr>
          <w:sz w:val="22"/>
        </w:rPr>
        <w:t>in</w:t>
      </w:r>
      <w:r>
        <w:rPr>
          <w:spacing w:val="40"/>
          <w:sz w:val="22"/>
        </w:rPr>
        <w:t> </w:t>
      </w:r>
      <w:r>
        <w:rPr>
          <w:sz w:val="22"/>
        </w:rPr>
        <w:t>postmenopausal</w:t>
      </w:r>
      <w:r>
        <w:rPr>
          <w:spacing w:val="40"/>
          <w:sz w:val="22"/>
        </w:rPr>
        <w:t> </w:t>
      </w:r>
      <w:r>
        <w:rPr>
          <w:sz w:val="22"/>
        </w:rPr>
        <w:t>women;</w:t>
      </w:r>
      <w:r>
        <w:rPr>
          <w:spacing w:val="40"/>
          <w:sz w:val="22"/>
        </w:rPr>
        <w:t> </w:t>
      </w:r>
      <w:r>
        <w:rPr>
          <w:sz w:val="22"/>
        </w:rPr>
        <w:t>a</w:t>
      </w:r>
      <w:r>
        <w:rPr>
          <w:spacing w:val="40"/>
          <w:sz w:val="22"/>
        </w:rPr>
        <w:t> </w:t>
      </w:r>
      <w:r>
        <w:rPr>
          <w:sz w:val="22"/>
        </w:rPr>
        <w:t>5</w:t>
      </w:r>
      <w:r>
        <w:rPr>
          <w:spacing w:val="40"/>
          <w:sz w:val="22"/>
        </w:rPr>
        <w:t> </w:t>
      </w:r>
      <w:r>
        <w:rPr>
          <w:sz w:val="22"/>
        </w:rPr>
        <w:t>year</w:t>
      </w:r>
      <w:r>
        <w:rPr>
          <w:spacing w:val="40"/>
          <w:sz w:val="22"/>
        </w:rPr>
        <w:t> </w:t>
      </w:r>
      <w:r>
        <w:rPr>
          <w:sz w:val="22"/>
        </w:rPr>
        <w:t>randomized</w:t>
      </w:r>
      <w:r>
        <w:rPr>
          <w:spacing w:val="40"/>
          <w:sz w:val="22"/>
        </w:rPr>
        <w:t> </w:t>
      </w:r>
      <w:r>
        <w:rPr>
          <w:sz w:val="22"/>
        </w:rPr>
        <w:t>trial.</w:t>
      </w:r>
      <w:r>
        <w:rPr>
          <w:spacing w:val="40"/>
          <w:sz w:val="22"/>
        </w:rPr>
        <w:t> </w:t>
      </w:r>
      <w:r>
        <w:rPr>
          <w:i/>
          <w:sz w:val="22"/>
        </w:rPr>
        <w:t>Maturitas</w:t>
      </w:r>
      <w:r>
        <w:rPr>
          <w:sz w:val="22"/>
        </w:rPr>
        <w:t>. </w:t>
      </w:r>
      <w:r>
        <w:rPr>
          <w:spacing w:val="-2"/>
          <w:sz w:val="22"/>
        </w:rPr>
        <w:t>1998;31:45.</w:t>
      </w:r>
    </w:p>
    <w:p>
      <w:pPr>
        <w:pStyle w:val="ListParagraph"/>
        <w:numPr>
          <w:ilvl w:val="0"/>
          <w:numId w:val="8"/>
        </w:numPr>
        <w:tabs>
          <w:tab w:pos="709" w:val="left" w:leader="none"/>
          <w:tab w:pos="718" w:val="left" w:leader="none"/>
        </w:tabs>
        <w:spacing w:line="256" w:lineRule="auto" w:before="0" w:after="0"/>
        <w:ind w:left="718" w:right="105" w:hanging="507"/>
        <w:jc w:val="both"/>
        <w:rPr>
          <w:sz w:val="22"/>
        </w:rPr>
      </w:pPr>
      <w:r>
        <w:rPr>
          <w:sz w:val="22"/>
        </w:rPr>
        <w:t>Mosekilde L, Beck-Nielsen H, Sørensen OH, et al. Hormonal replacement therapy </w:t>
      </w:r>
      <w:r>
        <w:rPr>
          <w:sz w:val="22"/>
        </w:rPr>
        <w:t>reduces forearm fracture incidence in recent postmenopausal women—results of the Danish</w:t>
      </w:r>
      <w:r>
        <w:rPr>
          <w:spacing w:val="40"/>
          <w:sz w:val="22"/>
        </w:rPr>
        <w:t> </w:t>
      </w:r>
      <w:r>
        <w:rPr>
          <w:sz w:val="22"/>
        </w:rPr>
        <w:t>Osteoporosis Prevention Study. </w:t>
      </w:r>
      <w:r>
        <w:rPr>
          <w:i/>
          <w:sz w:val="22"/>
        </w:rPr>
        <w:t>Maturitas</w:t>
      </w:r>
      <w:r>
        <w:rPr>
          <w:sz w:val="22"/>
        </w:rPr>
        <w:t>. 2000;36:181.</w:t>
      </w:r>
    </w:p>
    <w:p>
      <w:pPr>
        <w:pStyle w:val="ListParagraph"/>
        <w:numPr>
          <w:ilvl w:val="0"/>
          <w:numId w:val="8"/>
        </w:numPr>
        <w:tabs>
          <w:tab w:pos="709" w:val="left" w:leader="none"/>
          <w:tab w:pos="718" w:val="left" w:leader="none"/>
        </w:tabs>
        <w:spacing w:line="256" w:lineRule="auto" w:before="0" w:after="0"/>
        <w:ind w:left="718" w:right="99" w:hanging="507"/>
        <w:jc w:val="both"/>
        <w:rPr>
          <w:sz w:val="22"/>
        </w:rPr>
      </w:pPr>
      <w:r>
        <w:rPr>
          <w:sz w:val="22"/>
        </w:rPr>
        <w:t>Cauley</w:t>
      </w:r>
      <w:r>
        <w:rPr>
          <w:spacing w:val="40"/>
          <w:sz w:val="22"/>
        </w:rPr>
        <w:t> </w:t>
      </w:r>
      <w:r>
        <w:rPr>
          <w:sz w:val="22"/>
        </w:rPr>
        <w:t>J,</w:t>
      </w:r>
      <w:r>
        <w:rPr>
          <w:spacing w:val="40"/>
          <w:sz w:val="22"/>
        </w:rPr>
        <w:t> </w:t>
      </w:r>
      <w:r>
        <w:rPr>
          <w:sz w:val="22"/>
        </w:rPr>
        <w:t>Robbins</w:t>
      </w:r>
      <w:r>
        <w:rPr>
          <w:spacing w:val="40"/>
          <w:sz w:val="22"/>
        </w:rPr>
        <w:t> </w:t>
      </w:r>
      <w:r>
        <w:rPr>
          <w:sz w:val="22"/>
        </w:rPr>
        <w:t>J,</w:t>
      </w:r>
      <w:r>
        <w:rPr>
          <w:spacing w:val="40"/>
          <w:sz w:val="22"/>
        </w:rPr>
        <w:t> </w:t>
      </w:r>
      <w:r>
        <w:rPr>
          <w:sz w:val="22"/>
        </w:rPr>
        <w:t>Chen</w:t>
      </w:r>
      <w:r>
        <w:rPr>
          <w:spacing w:val="40"/>
          <w:sz w:val="22"/>
        </w:rPr>
        <w:t> </w:t>
      </w:r>
      <w:r>
        <w:rPr>
          <w:sz w:val="22"/>
        </w:rPr>
        <w:t>Z,</w:t>
      </w:r>
      <w:r>
        <w:rPr>
          <w:spacing w:val="40"/>
          <w:sz w:val="22"/>
        </w:rPr>
        <w:t> </w:t>
      </w:r>
      <w:r>
        <w:rPr>
          <w:sz w:val="22"/>
        </w:rPr>
        <w:t>et</w:t>
      </w:r>
      <w:r>
        <w:rPr>
          <w:spacing w:val="40"/>
          <w:sz w:val="22"/>
        </w:rPr>
        <w:t> </w:t>
      </w:r>
      <w:r>
        <w:rPr>
          <w:sz w:val="22"/>
        </w:rPr>
        <w:t>al;</w:t>
      </w:r>
      <w:r>
        <w:rPr>
          <w:spacing w:val="40"/>
          <w:sz w:val="22"/>
        </w:rPr>
        <w:t> </w:t>
      </w:r>
      <w:r>
        <w:rPr>
          <w:sz w:val="22"/>
        </w:rPr>
        <w:t>Women’s</w:t>
      </w:r>
      <w:r>
        <w:rPr>
          <w:spacing w:val="40"/>
          <w:sz w:val="22"/>
        </w:rPr>
        <w:t> </w:t>
      </w:r>
      <w:r>
        <w:rPr>
          <w:sz w:val="22"/>
        </w:rPr>
        <w:t>Health</w:t>
      </w:r>
      <w:r>
        <w:rPr>
          <w:spacing w:val="40"/>
          <w:sz w:val="22"/>
        </w:rPr>
        <w:t> </w:t>
      </w:r>
      <w:r>
        <w:rPr>
          <w:sz w:val="22"/>
        </w:rPr>
        <w:t>Initiative</w:t>
      </w:r>
      <w:r>
        <w:rPr>
          <w:spacing w:val="40"/>
          <w:sz w:val="22"/>
        </w:rPr>
        <w:t> </w:t>
      </w:r>
      <w:r>
        <w:rPr>
          <w:sz w:val="22"/>
        </w:rPr>
        <w:t>Investigators.</w:t>
      </w:r>
      <w:r>
        <w:rPr>
          <w:spacing w:val="40"/>
          <w:sz w:val="22"/>
        </w:rPr>
        <w:t> </w:t>
      </w:r>
      <w:r>
        <w:rPr>
          <w:sz w:val="22"/>
        </w:rPr>
        <w:t>Effects</w:t>
      </w:r>
      <w:r>
        <w:rPr>
          <w:spacing w:val="40"/>
          <w:sz w:val="22"/>
        </w:rPr>
        <w:t> </w:t>
      </w:r>
      <w:r>
        <w:rPr>
          <w:sz w:val="22"/>
        </w:rPr>
        <w:t>of estrogen plus progestin on risk of fracture and bone mineral density. The Women’s Health Initiative randomized trial. </w:t>
      </w:r>
      <w:r>
        <w:rPr>
          <w:i/>
          <w:sz w:val="22"/>
        </w:rPr>
        <w:t>JAMA</w:t>
      </w:r>
      <w:r>
        <w:rPr>
          <w:sz w:val="22"/>
        </w:rPr>
        <w:t>. 2003;290:1729.</w:t>
      </w:r>
    </w:p>
    <w:p>
      <w:pPr>
        <w:pStyle w:val="ListParagraph"/>
        <w:numPr>
          <w:ilvl w:val="0"/>
          <w:numId w:val="8"/>
        </w:numPr>
        <w:tabs>
          <w:tab w:pos="709" w:val="left" w:leader="none"/>
          <w:tab w:pos="718" w:val="left" w:leader="none"/>
        </w:tabs>
        <w:spacing w:line="256" w:lineRule="auto" w:before="0" w:after="0"/>
        <w:ind w:left="718" w:right="106" w:hanging="507"/>
        <w:jc w:val="both"/>
        <w:rPr>
          <w:sz w:val="22"/>
        </w:rPr>
      </w:pPr>
      <w:r>
        <w:rPr>
          <w:sz w:val="22"/>
        </w:rPr>
        <w:t>The Women’s Health Initiative Steering Committee. Effects of conjugated equine estrogen </w:t>
      </w:r>
      <w:r>
        <w:rPr>
          <w:sz w:val="22"/>
        </w:rPr>
        <w:t>in postmenopausal women with hysterectomy. The Women’s Health Initiative Randomized Controlled Trial. </w:t>
      </w:r>
      <w:r>
        <w:rPr>
          <w:i/>
          <w:sz w:val="22"/>
        </w:rPr>
        <w:t>JAMA</w:t>
      </w:r>
      <w:r>
        <w:rPr>
          <w:sz w:val="22"/>
        </w:rPr>
        <w:t>. 2004;291:1707.</w:t>
      </w:r>
    </w:p>
    <w:p>
      <w:pPr>
        <w:pStyle w:val="ListParagraph"/>
        <w:numPr>
          <w:ilvl w:val="0"/>
          <w:numId w:val="8"/>
        </w:numPr>
        <w:tabs>
          <w:tab w:pos="699" w:val="left" w:leader="none"/>
          <w:tab w:pos="718" w:val="left" w:leader="none"/>
        </w:tabs>
        <w:spacing w:line="256" w:lineRule="auto" w:before="0" w:after="0"/>
        <w:ind w:left="718" w:right="102" w:hanging="507"/>
        <w:jc w:val="both"/>
        <w:rPr>
          <w:sz w:val="22"/>
        </w:rPr>
      </w:pPr>
      <w:r>
        <w:rPr>
          <w:sz w:val="22"/>
        </w:rPr>
        <w:t>Islam S, Liu Q, Chines AA, Helzner E. Trend in incidence of osteoporosis-related fractures among 40- to 69-year-old women: analysis of a large insurance claims database, 2000-2005. </w:t>
      </w:r>
      <w:r>
        <w:rPr>
          <w:i/>
          <w:sz w:val="22"/>
        </w:rPr>
        <w:t>Menopause</w:t>
      </w:r>
      <w:r>
        <w:rPr>
          <w:sz w:val="22"/>
        </w:rPr>
        <w:t>. 2009;16:77.</w:t>
      </w:r>
    </w:p>
    <w:p>
      <w:pPr>
        <w:pStyle w:val="ListParagraph"/>
        <w:numPr>
          <w:ilvl w:val="0"/>
          <w:numId w:val="8"/>
        </w:numPr>
        <w:tabs>
          <w:tab w:pos="690" w:val="left" w:leader="none"/>
          <w:tab w:pos="718" w:val="left" w:leader="none"/>
        </w:tabs>
        <w:spacing w:line="256" w:lineRule="auto" w:before="0" w:after="0"/>
        <w:ind w:left="718" w:right="97" w:hanging="507"/>
        <w:jc w:val="both"/>
        <w:rPr>
          <w:sz w:val="22"/>
        </w:rPr>
      </w:pPr>
      <w:r>
        <w:rPr>
          <w:sz w:val="22"/>
        </w:rPr>
        <w:t>Michaëlsson K, Baron JA, Farahmand BY, et al; On behalf of the Swedish Hip Fracture Study Group. Hormone replacement therapy and risk of hip fracture: population based case-</w:t>
      </w:r>
      <w:r>
        <w:rPr>
          <w:sz w:val="22"/>
        </w:rPr>
        <w:t>control study. </w:t>
      </w:r>
      <w:r>
        <w:rPr>
          <w:i/>
          <w:sz w:val="22"/>
        </w:rPr>
        <w:t>Br Med J</w:t>
      </w:r>
      <w:r>
        <w:rPr>
          <w:sz w:val="22"/>
        </w:rPr>
        <w:t>. 1998;316:1858.</w:t>
      </w:r>
    </w:p>
    <w:p>
      <w:pPr>
        <w:pStyle w:val="ListParagraph"/>
        <w:numPr>
          <w:ilvl w:val="0"/>
          <w:numId w:val="8"/>
        </w:numPr>
        <w:tabs>
          <w:tab w:pos="699" w:val="left" w:leader="none"/>
          <w:tab w:pos="718" w:val="left" w:leader="none"/>
        </w:tabs>
        <w:spacing w:line="256" w:lineRule="auto" w:before="0" w:after="0"/>
        <w:ind w:left="718" w:right="107" w:hanging="507"/>
        <w:jc w:val="both"/>
        <w:rPr>
          <w:sz w:val="22"/>
        </w:rPr>
      </w:pPr>
      <w:r>
        <w:rPr>
          <w:sz w:val="22"/>
        </w:rPr>
        <w:t>Kiel DP, Felson DT, Anderson JJ, Wilson PWF, Moskowitz MA. Hip fracture and the use of estrogen in postmenopausal women: the Framingham study. </w:t>
      </w:r>
      <w:r>
        <w:rPr>
          <w:i/>
          <w:sz w:val="22"/>
        </w:rPr>
        <w:t>N Engl J Med</w:t>
      </w:r>
      <w:r>
        <w:rPr>
          <w:sz w:val="22"/>
        </w:rPr>
        <w:t>. 1987;317:1169.</w:t>
      </w:r>
    </w:p>
    <w:p>
      <w:pPr>
        <w:pStyle w:val="ListParagraph"/>
        <w:numPr>
          <w:ilvl w:val="0"/>
          <w:numId w:val="8"/>
        </w:numPr>
        <w:tabs>
          <w:tab w:pos="699" w:val="left" w:leader="none"/>
          <w:tab w:pos="718" w:val="left" w:leader="none"/>
        </w:tabs>
        <w:spacing w:line="256" w:lineRule="auto" w:before="0" w:after="0"/>
        <w:ind w:left="718" w:right="100" w:hanging="507"/>
        <w:jc w:val="both"/>
        <w:rPr>
          <w:sz w:val="22"/>
        </w:rPr>
      </w:pPr>
      <w:r>
        <w:rPr>
          <w:sz w:val="22"/>
        </w:rPr>
        <w:t>Weiss NC, Ure CL, Ballard JH, Williams AR, Daling JR. Decreased risk of fractures of the hip and lower forearm with postmenopausal use of estrogen. </w:t>
      </w:r>
      <w:r>
        <w:rPr>
          <w:i/>
          <w:sz w:val="22"/>
        </w:rPr>
        <w:t>N Engl J Med</w:t>
      </w:r>
      <w:r>
        <w:rPr>
          <w:sz w:val="22"/>
        </w:rPr>
        <w:t>. 1980;303:1195.</w:t>
      </w:r>
    </w:p>
    <w:p>
      <w:pPr>
        <w:pStyle w:val="ListParagraph"/>
        <w:numPr>
          <w:ilvl w:val="0"/>
          <w:numId w:val="8"/>
        </w:numPr>
        <w:tabs>
          <w:tab w:pos="699" w:val="left" w:leader="none"/>
          <w:tab w:pos="718" w:val="left" w:leader="none"/>
        </w:tabs>
        <w:spacing w:line="256" w:lineRule="auto" w:before="0" w:after="0"/>
        <w:ind w:left="718" w:right="106" w:hanging="507"/>
        <w:jc w:val="both"/>
        <w:rPr>
          <w:sz w:val="22"/>
        </w:rPr>
      </w:pPr>
      <w:r>
        <w:rPr>
          <w:sz w:val="22"/>
        </w:rPr>
        <w:t>Ettinger B, Genant HK, Cann CE. Long-term estrogen replacement therapy prevents bone loss and fractures. </w:t>
      </w:r>
      <w:r>
        <w:rPr>
          <w:i/>
          <w:sz w:val="22"/>
        </w:rPr>
        <w:t>Ann Intern Med</w:t>
      </w:r>
      <w:r>
        <w:rPr>
          <w:sz w:val="22"/>
        </w:rPr>
        <w:t>. 1985;102:319.</w:t>
      </w:r>
    </w:p>
    <w:p>
      <w:pPr>
        <w:pStyle w:val="ListParagraph"/>
        <w:numPr>
          <w:ilvl w:val="0"/>
          <w:numId w:val="8"/>
        </w:numPr>
        <w:tabs>
          <w:tab w:pos="699" w:val="left" w:leader="none"/>
          <w:tab w:pos="718" w:val="left" w:leader="none"/>
        </w:tabs>
        <w:spacing w:line="256" w:lineRule="auto" w:before="0" w:after="0"/>
        <w:ind w:left="718" w:right="111" w:hanging="507"/>
        <w:jc w:val="both"/>
        <w:rPr>
          <w:sz w:val="22"/>
        </w:rPr>
      </w:pPr>
      <w:r>
        <w:rPr>
          <w:sz w:val="22"/>
        </w:rPr>
        <w:t>Riggs BL, Seeman E, Hodgson SF, Taves DR, O’Fallon WM. Effect of the fluoride/calcium regimen on vertebral fracture occurrence in postmenopausal osteoporosis. </w:t>
      </w:r>
      <w:r>
        <w:rPr>
          <w:i/>
          <w:sz w:val="22"/>
        </w:rPr>
        <w:t>N Engl J </w:t>
      </w:r>
      <w:r>
        <w:rPr>
          <w:i/>
          <w:sz w:val="22"/>
        </w:rPr>
        <w:t>Med</w:t>
      </w:r>
      <w:r>
        <w:rPr>
          <w:sz w:val="22"/>
        </w:rPr>
        <w:t>. </w:t>
      </w:r>
      <w:r>
        <w:rPr>
          <w:spacing w:val="-2"/>
          <w:sz w:val="22"/>
        </w:rPr>
        <w:t>1982;306:446.</w:t>
      </w:r>
    </w:p>
    <w:p>
      <w:pPr>
        <w:pStyle w:val="ListParagraph"/>
        <w:numPr>
          <w:ilvl w:val="0"/>
          <w:numId w:val="8"/>
        </w:numPr>
        <w:tabs>
          <w:tab w:pos="699" w:val="left" w:leader="none"/>
          <w:tab w:pos="718" w:val="left" w:leader="none"/>
        </w:tabs>
        <w:spacing w:line="256" w:lineRule="auto" w:before="0" w:after="0"/>
        <w:ind w:left="718" w:right="100" w:hanging="507"/>
        <w:jc w:val="both"/>
        <w:rPr>
          <w:sz w:val="22"/>
        </w:rPr>
      </w:pPr>
      <w:r>
        <w:rPr>
          <w:sz w:val="22"/>
        </w:rPr>
        <w:t>Lafferty FW, Fiske ME. Postmenopausal estrogen replacement: a long-term cohort study. </w:t>
      </w:r>
      <w:r>
        <w:rPr>
          <w:i/>
          <w:sz w:val="22"/>
        </w:rPr>
        <w:t>Am J</w:t>
      </w:r>
      <w:r>
        <w:rPr>
          <w:i/>
          <w:sz w:val="22"/>
        </w:rPr>
        <w:t> Med</w:t>
      </w:r>
      <w:r>
        <w:rPr>
          <w:sz w:val="22"/>
        </w:rPr>
        <w:t>. 1994;97:66.</w:t>
      </w:r>
    </w:p>
    <w:p>
      <w:pPr>
        <w:pStyle w:val="ListParagraph"/>
        <w:numPr>
          <w:ilvl w:val="0"/>
          <w:numId w:val="8"/>
        </w:numPr>
        <w:tabs>
          <w:tab w:pos="699" w:val="left" w:leader="none"/>
          <w:tab w:pos="718" w:val="left" w:leader="none"/>
        </w:tabs>
        <w:spacing w:line="256" w:lineRule="auto" w:before="0" w:after="0"/>
        <w:ind w:left="718" w:right="105" w:hanging="507"/>
        <w:jc w:val="both"/>
        <w:rPr>
          <w:sz w:val="22"/>
        </w:rPr>
      </w:pPr>
      <w:r>
        <w:rPr>
          <w:sz w:val="22"/>
        </w:rPr>
        <w:t>Quigley MET, Martin PL, Burnier AM, Brooks P. Estrogen therapy arrests bone loss in elderly women. </w:t>
      </w:r>
      <w:r>
        <w:rPr>
          <w:i/>
          <w:sz w:val="22"/>
        </w:rPr>
        <w:t>Am J Obstet Gynecol</w:t>
      </w:r>
      <w:r>
        <w:rPr>
          <w:sz w:val="22"/>
        </w:rPr>
        <w:t>. 1987;156:1516.</w:t>
      </w:r>
    </w:p>
    <w:p>
      <w:pPr>
        <w:pStyle w:val="ListParagraph"/>
        <w:numPr>
          <w:ilvl w:val="0"/>
          <w:numId w:val="8"/>
        </w:numPr>
        <w:tabs>
          <w:tab w:pos="699" w:val="left" w:leader="none"/>
          <w:tab w:pos="718" w:val="left" w:leader="none"/>
        </w:tabs>
        <w:spacing w:line="256" w:lineRule="auto" w:before="0" w:after="0"/>
        <w:ind w:left="718" w:right="111" w:hanging="507"/>
        <w:jc w:val="both"/>
        <w:rPr>
          <w:sz w:val="22"/>
        </w:rPr>
      </w:pPr>
      <w:r>
        <w:rPr>
          <w:sz w:val="22"/>
        </w:rPr>
        <w:t>Felson DT, Zhang Y, Hannan MT, Kiel DP, Wilson PWF, Anderson JJ. The effect of postmenopausal estrogen therapy on bone density in elderly women. </w:t>
      </w:r>
      <w:r>
        <w:rPr>
          <w:i/>
          <w:sz w:val="22"/>
        </w:rPr>
        <w:t>N Engl J </w:t>
      </w:r>
      <w:r>
        <w:rPr>
          <w:i/>
          <w:sz w:val="22"/>
        </w:rPr>
        <w:t>Med</w:t>
      </w:r>
      <w:r>
        <w:rPr>
          <w:sz w:val="22"/>
        </w:rPr>
        <w:t>. </w:t>
      </w:r>
      <w:r>
        <w:rPr>
          <w:spacing w:val="-2"/>
          <w:sz w:val="22"/>
        </w:rPr>
        <w:t>1993;329:1141.</w:t>
      </w:r>
    </w:p>
    <w:p>
      <w:pPr>
        <w:pStyle w:val="ListParagraph"/>
        <w:numPr>
          <w:ilvl w:val="0"/>
          <w:numId w:val="8"/>
        </w:numPr>
        <w:tabs>
          <w:tab w:pos="699" w:val="left" w:leader="none"/>
          <w:tab w:pos="718" w:val="left" w:leader="none"/>
        </w:tabs>
        <w:spacing w:line="256" w:lineRule="auto" w:before="0" w:after="0"/>
        <w:ind w:left="718" w:right="103" w:hanging="507"/>
        <w:jc w:val="both"/>
        <w:rPr>
          <w:sz w:val="22"/>
        </w:rPr>
      </w:pPr>
      <w:r>
        <w:rPr>
          <w:sz w:val="22"/>
        </w:rPr>
        <w:t>Cauley</w:t>
      </w:r>
      <w:r>
        <w:rPr>
          <w:spacing w:val="40"/>
          <w:sz w:val="22"/>
        </w:rPr>
        <w:t> </w:t>
      </w:r>
      <w:r>
        <w:rPr>
          <w:sz w:val="22"/>
        </w:rPr>
        <w:t>JA,</w:t>
      </w:r>
      <w:r>
        <w:rPr>
          <w:spacing w:val="40"/>
          <w:sz w:val="22"/>
        </w:rPr>
        <w:t> </w:t>
      </w:r>
      <w:r>
        <w:rPr>
          <w:sz w:val="22"/>
        </w:rPr>
        <w:t>Seeley</w:t>
      </w:r>
      <w:r>
        <w:rPr>
          <w:spacing w:val="40"/>
          <w:sz w:val="22"/>
        </w:rPr>
        <w:t> </w:t>
      </w:r>
      <w:r>
        <w:rPr>
          <w:sz w:val="22"/>
        </w:rPr>
        <w:t>DG,</w:t>
      </w:r>
      <w:r>
        <w:rPr>
          <w:spacing w:val="40"/>
          <w:sz w:val="22"/>
        </w:rPr>
        <w:t> </w:t>
      </w:r>
      <w:r>
        <w:rPr>
          <w:sz w:val="22"/>
        </w:rPr>
        <w:t>Enbsrud</w:t>
      </w:r>
      <w:r>
        <w:rPr>
          <w:spacing w:val="40"/>
          <w:sz w:val="22"/>
        </w:rPr>
        <w:t> </w:t>
      </w:r>
      <w:r>
        <w:rPr>
          <w:sz w:val="22"/>
        </w:rPr>
        <w:t>K,</w:t>
      </w:r>
      <w:r>
        <w:rPr>
          <w:spacing w:val="40"/>
          <w:sz w:val="22"/>
        </w:rPr>
        <w:t> </w:t>
      </w:r>
      <w:r>
        <w:rPr>
          <w:sz w:val="22"/>
        </w:rPr>
        <w:t>Ettinger</w:t>
      </w:r>
      <w:r>
        <w:rPr>
          <w:spacing w:val="40"/>
          <w:sz w:val="22"/>
        </w:rPr>
        <w:t> </w:t>
      </w:r>
      <w:r>
        <w:rPr>
          <w:sz w:val="22"/>
        </w:rPr>
        <w:t>B,</w:t>
      </w:r>
      <w:r>
        <w:rPr>
          <w:spacing w:val="40"/>
          <w:sz w:val="22"/>
        </w:rPr>
        <w:t> </w:t>
      </w:r>
      <w:r>
        <w:rPr>
          <w:sz w:val="22"/>
        </w:rPr>
        <w:t>Black</w:t>
      </w:r>
      <w:r>
        <w:rPr>
          <w:spacing w:val="40"/>
          <w:sz w:val="22"/>
        </w:rPr>
        <w:t> </w:t>
      </w:r>
      <w:r>
        <w:rPr>
          <w:sz w:val="22"/>
        </w:rPr>
        <w:t>D,</w:t>
      </w:r>
      <w:r>
        <w:rPr>
          <w:spacing w:val="40"/>
          <w:sz w:val="22"/>
        </w:rPr>
        <w:t> </w:t>
      </w:r>
      <w:r>
        <w:rPr>
          <w:sz w:val="22"/>
        </w:rPr>
        <w:t>Cummings</w:t>
      </w:r>
      <w:r>
        <w:rPr>
          <w:spacing w:val="40"/>
          <w:sz w:val="22"/>
        </w:rPr>
        <w:t> </w:t>
      </w:r>
      <w:r>
        <w:rPr>
          <w:sz w:val="22"/>
        </w:rPr>
        <w:t>SR;</w:t>
      </w:r>
      <w:r>
        <w:rPr>
          <w:spacing w:val="40"/>
          <w:sz w:val="22"/>
        </w:rPr>
        <w:t> </w:t>
      </w:r>
      <w:r>
        <w:rPr>
          <w:sz w:val="22"/>
        </w:rPr>
        <w:t>Study</w:t>
      </w:r>
      <w:r>
        <w:rPr>
          <w:spacing w:val="40"/>
          <w:sz w:val="22"/>
        </w:rPr>
        <w:t> </w:t>
      </w:r>
      <w:r>
        <w:rPr>
          <w:sz w:val="22"/>
        </w:rPr>
        <w:t>of Osteoporotic Fractures Research Group. Estrogen replacement therapy and fractures in </w:t>
      </w:r>
      <w:r>
        <w:rPr>
          <w:sz w:val="22"/>
        </w:rPr>
        <w:t>older women. </w:t>
      </w:r>
      <w:r>
        <w:rPr>
          <w:i/>
          <w:sz w:val="22"/>
        </w:rPr>
        <w:t>Ann Intern Med. </w:t>
      </w:r>
      <w:r>
        <w:rPr>
          <w:sz w:val="22"/>
        </w:rPr>
        <w:t>1995;122:9.</w:t>
      </w:r>
    </w:p>
    <w:p>
      <w:pPr>
        <w:pStyle w:val="ListParagraph"/>
        <w:numPr>
          <w:ilvl w:val="0"/>
          <w:numId w:val="8"/>
        </w:numPr>
        <w:tabs>
          <w:tab w:pos="709" w:val="left" w:leader="none"/>
          <w:tab w:pos="718" w:val="left" w:leader="none"/>
        </w:tabs>
        <w:spacing w:line="256" w:lineRule="auto" w:before="0" w:after="0"/>
        <w:ind w:left="718" w:right="98" w:hanging="507"/>
        <w:jc w:val="both"/>
        <w:rPr>
          <w:sz w:val="22"/>
        </w:rPr>
      </w:pPr>
      <w:r>
        <w:rPr>
          <w:sz w:val="22"/>
        </w:rPr>
        <w:t>Lindsay</w:t>
      </w:r>
      <w:r>
        <w:rPr>
          <w:spacing w:val="27"/>
          <w:sz w:val="22"/>
        </w:rPr>
        <w:t> </w:t>
      </w:r>
      <w:r>
        <w:rPr>
          <w:sz w:val="22"/>
        </w:rPr>
        <w:t>R,</w:t>
      </w:r>
      <w:r>
        <w:rPr>
          <w:spacing w:val="27"/>
          <w:sz w:val="22"/>
        </w:rPr>
        <w:t> </w:t>
      </w:r>
      <w:r>
        <w:rPr>
          <w:sz w:val="22"/>
        </w:rPr>
        <w:t>MacLean</w:t>
      </w:r>
      <w:r>
        <w:rPr>
          <w:spacing w:val="27"/>
          <w:sz w:val="22"/>
        </w:rPr>
        <w:t> </w:t>
      </w:r>
      <w:r>
        <w:rPr>
          <w:sz w:val="22"/>
        </w:rPr>
        <w:t>A,</w:t>
      </w:r>
      <w:r>
        <w:rPr>
          <w:spacing w:val="27"/>
          <w:sz w:val="22"/>
        </w:rPr>
        <w:t> </w:t>
      </w:r>
      <w:r>
        <w:rPr>
          <w:sz w:val="22"/>
        </w:rPr>
        <w:t>Kraszewski</w:t>
      </w:r>
      <w:r>
        <w:rPr>
          <w:spacing w:val="27"/>
          <w:sz w:val="22"/>
        </w:rPr>
        <w:t> </w:t>
      </w:r>
      <w:r>
        <w:rPr>
          <w:sz w:val="22"/>
        </w:rPr>
        <w:t>A,</w:t>
      </w:r>
      <w:r>
        <w:rPr>
          <w:spacing w:val="27"/>
          <w:sz w:val="22"/>
        </w:rPr>
        <w:t> </w:t>
      </w:r>
      <w:r>
        <w:rPr>
          <w:sz w:val="22"/>
        </w:rPr>
        <w:t>Clark</w:t>
      </w:r>
      <w:r>
        <w:rPr>
          <w:spacing w:val="27"/>
          <w:sz w:val="22"/>
        </w:rPr>
        <w:t> </w:t>
      </w:r>
      <w:r>
        <w:rPr>
          <w:sz w:val="22"/>
        </w:rPr>
        <w:t>AC,</w:t>
      </w:r>
      <w:r>
        <w:rPr>
          <w:spacing w:val="27"/>
          <w:sz w:val="22"/>
        </w:rPr>
        <w:t> </w:t>
      </w:r>
      <w:r>
        <w:rPr>
          <w:sz w:val="22"/>
        </w:rPr>
        <w:t>Garwood</w:t>
      </w:r>
      <w:r>
        <w:rPr>
          <w:spacing w:val="27"/>
          <w:sz w:val="22"/>
        </w:rPr>
        <w:t> </w:t>
      </w:r>
      <w:r>
        <w:rPr>
          <w:sz w:val="22"/>
        </w:rPr>
        <w:t>J.</w:t>
      </w:r>
      <w:r>
        <w:rPr>
          <w:spacing w:val="27"/>
          <w:sz w:val="22"/>
        </w:rPr>
        <w:t> </w:t>
      </w:r>
      <w:r>
        <w:rPr>
          <w:sz w:val="22"/>
        </w:rPr>
        <w:t>Bone</w:t>
      </w:r>
      <w:r>
        <w:rPr>
          <w:spacing w:val="32"/>
          <w:sz w:val="22"/>
        </w:rPr>
        <w:t> </w:t>
      </w:r>
      <w:r>
        <w:rPr>
          <w:sz w:val="22"/>
        </w:rPr>
        <w:t>response</w:t>
      </w:r>
      <w:r>
        <w:rPr>
          <w:spacing w:val="32"/>
          <w:sz w:val="22"/>
        </w:rPr>
        <w:t> </w:t>
      </w:r>
      <w:r>
        <w:rPr>
          <w:sz w:val="22"/>
        </w:rPr>
        <w:t>to</w:t>
      </w:r>
      <w:r>
        <w:rPr>
          <w:spacing w:val="32"/>
          <w:sz w:val="22"/>
        </w:rPr>
        <w:t> </w:t>
      </w:r>
      <w:r>
        <w:rPr>
          <w:sz w:val="22"/>
        </w:rPr>
        <w:t>termination of estrogen treatment. </w:t>
      </w:r>
      <w:r>
        <w:rPr>
          <w:i/>
          <w:sz w:val="22"/>
        </w:rPr>
        <w:t>Lancet</w:t>
      </w:r>
      <w:r>
        <w:rPr>
          <w:sz w:val="22"/>
        </w:rPr>
        <w:t>. 1978;1:1325.</w:t>
      </w:r>
    </w:p>
    <w:p>
      <w:pPr>
        <w:pStyle w:val="ListParagraph"/>
        <w:numPr>
          <w:ilvl w:val="0"/>
          <w:numId w:val="8"/>
        </w:numPr>
        <w:tabs>
          <w:tab w:pos="710" w:val="left" w:leader="none"/>
        </w:tabs>
        <w:spacing w:line="252" w:lineRule="exact" w:before="0" w:after="0"/>
        <w:ind w:left="710" w:right="0" w:hanging="498"/>
        <w:jc w:val="both"/>
        <w:rPr>
          <w:sz w:val="22"/>
        </w:rPr>
      </w:pPr>
      <w:r>
        <w:rPr>
          <w:sz w:val="22"/>
        </w:rPr>
        <w:t>Horsman</w:t>
      </w:r>
      <w:r>
        <w:rPr>
          <w:spacing w:val="60"/>
          <w:sz w:val="22"/>
        </w:rPr>
        <w:t> </w:t>
      </w:r>
      <w:r>
        <w:rPr>
          <w:sz w:val="22"/>
        </w:rPr>
        <w:t>A,</w:t>
      </w:r>
      <w:r>
        <w:rPr>
          <w:spacing w:val="60"/>
          <w:sz w:val="22"/>
        </w:rPr>
        <w:t> </w:t>
      </w:r>
      <w:r>
        <w:rPr>
          <w:sz w:val="22"/>
        </w:rPr>
        <w:t>Nordin</w:t>
      </w:r>
      <w:r>
        <w:rPr>
          <w:spacing w:val="60"/>
          <w:sz w:val="22"/>
        </w:rPr>
        <w:t> </w:t>
      </w:r>
      <w:r>
        <w:rPr>
          <w:sz w:val="22"/>
        </w:rPr>
        <w:t>BEC,</w:t>
      </w:r>
      <w:r>
        <w:rPr>
          <w:spacing w:val="60"/>
          <w:sz w:val="22"/>
        </w:rPr>
        <w:t> </w:t>
      </w:r>
      <w:r>
        <w:rPr>
          <w:sz w:val="22"/>
        </w:rPr>
        <w:t>Crilly</w:t>
      </w:r>
      <w:r>
        <w:rPr>
          <w:spacing w:val="60"/>
          <w:sz w:val="22"/>
        </w:rPr>
        <w:t> </w:t>
      </w:r>
      <w:r>
        <w:rPr>
          <w:sz w:val="22"/>
        </w:rPr>
        <w:t>RG.</w:t>
      </w:r>
      <w:r>
        <w:rPr>
          <w:spacing w:val="60"/>
          <w:sz w:val="22"/>
        </w:rPr>
        <w:t> </w:t>
      </w:r>
      <w:r>
        <w:rPr>
          <w:sz w:val="22"/>
        </w:rPr>
        <w:t>Effect</w:t>
      </w:r>
      <w:r>
        <w:rPr>
          <w:spacing w:val="64"/>
          <w:sz w:val="22"/>
        </w:rPr>
        <w:t> </w:t>
      </w:r>
      <w:r>
        <w:rPr>
          <w:sz w:val="22"/>
        </w:rPr>
        <w:t>on</w:t>
      </w:r>
      <w:r>
        <w:rPr>
          <w:spacing w:val="63"/>
          <w:sz w:val="22"/>
        </w:rPr>
        <w:t> </w:t>
      </w:r>
      <w:r>
        <w:rPr>
          <w:sz w:val="22"/>
        </w:rPr>
        <w:t>bone</w:t>
      </w:r>
      <w:r>
        <w:rPr>
          <w:spacing w:val="64"/>
          <w:sz w:val="22"/>
        </w:rPr>
        <w:t> </w:t>
      </w:r>
      <w:r>
        <w:rPr>
          <w:sz w:val="22"/>
        </w:rPr>
        <w:t>of</w:t>
      </w:r>
      <w:r>
        <w:rPr>
          <w:spacing w:val="63"/>
          <w:sz w:val="22"/>
        </w:rPr>
        <w:t> </w:t>
      </w:r>
      <w:r>
        <w:rPr>
          <w:sz w:val="22"/>
        </w:rPr>
        <w:t>withdrawal</w:t>
      </w:r>
      <w:r>
        <w:rPr>
          <w:spacing w:val="63"/>
          <w:sz w:val="22"/>
        </w:rPr>
        <w:t> </w:t>
      </w:r>
      <w:r>
        <w:rPr>
          <w:sz w:val="22"/>
        </w:rPr>
        <w:t>of</w:t>
      </w:r>
      <w:r>
        <w:rPr>
          <w:spacing w:val="64"/>
          <w:sz w:val="22"/>
        </w:rPr>
        <w:t> </w:t>
      </w:r>
      <w:r>
        <w:rPr>
          <w:sz w:val="22"/>
        </w:rPr>
        <w:t>estrogen</w:t>
      </w:r>
      <w:r>
        <w:rPr>
          <w:spacing w:val="63"/>
          <w:sz w:val="22"/>
        </w:rPr>
        <w:t> </w:t>
      </w:r>
      <w:r>
        <w:rPr>
          <w:spacing w:val="-2"/>
          <w:sz w:val="22"/>
        </w:rPr>
        <w:t>therapy.</w:t>
      </w:r>
    </w:p>
    <w:p>
      <w:pPr>
        <w:spacing w:before="0"/>
        <w:ind w:left="718" w:right="0" w:firstLine="0"/>
        <w:jc w:val="both"/>
        <w:rPr>
          <w:sz w:val="22"/>
        </w:rPr>
      </w:pPr>
      <w:r>
        <w:rPr>
          <w:i/>
          <w:sz w:val="22"/>
        </w:rPr>
        <w:t>Lancet</w:t>
      </w:r>
      <w:r>
        <w:rPr>
          <w:sz w:val="22"/>
        </w:rPr>
        <w:t>.</w:t>
      </w:r>
      <w:r>
        <w:rPr>
          <w:spacing w:val="13"/>
          <w:sz w:val="22"/>
        </w:rPr>
        <w:t> </w:t>
      </w:r>
      <w:r>
        <w:rPr>
          <w:spacing w:val="-2"/>
          <w:sz w:val="22"/>
        </w:rPr>
        <w:t>1979;2:33.</w:t>
      </w:r>
    </w:p>
    <w:p>
      <w:pPr>
        <w:pStyle w:val="ListParagraph"/>
        <w:numPr>
          <w:ilvl w:val="0"/>
          <w:numId w:val="8"/>
        </w:numPr>
        <w:tabs>
          <w:tab w:pos="709" w:val="left" w:leader="none"/>
          <w:tab w:pos="718" w:val="left" w:leader="none"/>
        </w:tabs>
        <w:spacing w:line="256" w:lineRule="auto" w:before="6" w:after="0"/>
        <w:ind w:left="718" w:right="103" w:hanging="507"/>
        <w:jc w:val="both"/>
        <w:rPr>
          <w:sz w:val="22"/>
        </w:rPr>
      </w:pPr>
      <w:r>
        <w:rPr>
          <w:sz w:val="22"/>
        </w:rPr>
        <w:t>Christiansen C, Christiansen MS, Transbol IB. Bone mass in postmenopausal women </w:t>
      </w:r>
      <w:r>
        <w:rPr>
          <w:sz w:val="22"/>
        </w:rPr>
        <w:t>after withdrawal of oestrogen/gestagen replacement therapy. </w:t>
      </w:r>
      <w:r>
        <w:rPr>
          <w:i/>
          <w:sz w:val="22"/>
        </w:rPr>
        <w:t>Lancet</w:t>
      </w:r>
      <w:r>
        <w:rPr>
          <w:sz w:val="22"/>
        </w:rPr>
        <w:t>. 1981;1:459.</w:t>
      </w:r>
    </w:p>
    <w:p>
      <w:pPr>
        <w:pStyle w:val="ListParagraph"/>
        <w:spacing w:after="0" w:line="256" w:lineRule="auto"/>
        <w:jc w:val="both"/>
        <w:rPr>
          <w:sz w:val="22"/>
        </w:rPr>
        <w:sectPr>
          <w:pgSz w:w="12240" w:h="15840"/>
          <w:pgMar w:top="1360" w:bottom="280" w:left="1440" w:right="1440"/>
        </w:sectPr>
      </w:pPr>
    </w:p>
    <w:p>
      <w:pPr>
        <w:pStyle w:val="ListParagraph"/>
        <w:numPr>
          <w:ilvl w:val="0"/>
          <w:numId w:val="8"/>
        </w:numPr>
        <w:tabs>
          <w:tab w:pos="709" w:val="left" w:leader="none"/>
          <w:tab w:pos="718" w:val="left" w:leader="none"/>
        </w:tabs>
        <w:spacing w:line="256" w:lineRule="auto" w:before="84" w:after="0"/>
        <w:ind w:left="718" w:right="99" w:hanging="507"/>
        <w:jc w:val="both"/>
        <w:rPr>
          <w:sz w:val="22"/>
        </w:rPr>
      </w:pPr>
      <w:r>
        <w:rPr>
          <w:sz w:val="22"/>
        </w:rPr>
        <w:t>Trémollieres FA, Pouilles JM, Ribot C. Withdrawal of hormone replacement therapy </w:t>
      </w:r>
      <w:r>
        <w:rPr>
          <w:sz w:val="22"/>
        </w:rPr>
        <w:t>is associated with significant vertebral bone loss in postmenopausal women. </w:t>
      </w:r>
      <w:r>
        <w:rPr>
          <w:i/>
          <w:sz w:val="22"/>
        </w:rPr>
        <w:t>Osteoporos Int</w:t>
      </w:r>
      <w:r>
        <w:rPr>
          <w:sz w:val="22"/>
        </w:rPr>
        <w:t>. </w:t>
      </w:r>
      <w:r>
        <w:rPr>
          <w:spacing w:val="-2"/>
          <w:sz w:val="22"/>
        </w:rPr>
        <w:t>2001;12:385.</w:t>
      </w:r>
    </w:p>
    <w:p>
      <w:pPr>
        <w:pStyle w:val="ListParagraph"/>
        <w:numPr>
          <w:ilvl w:val="0"/>
          <w:numId w:val="8"/>
        </w:numPr>
        <w:tabs>
          <w:tab w:pos="709" w:val="left" w:leader="none"/>
          <w:tab w:pos="718" w:val="left" w:leader="none"/>
        </w:tabs>
        <w:spacing w:line="256" w:lineRule="auto" w:before="0" w:after="0"/>
        <w:ind w:left="718" w:right="108" w:hanging="507"/>
        <w:jc w:val="both"/>
        <w:rPr>
          <w:sz w:val="22"/>
        </w:rPr>
      </w:pPr>
      <w:r>
        <w:rPr>
          <w:sz w:val="22"/>
        </w:rPr>
        <w:t>Sornay-Rendu E, Garnero P, Munoz F, Duboeuf F, Delmas PD. Effect of withdrawal of</w:t>
      </w:r>
      <w:r>
        <w:rPr>
          <w:spacing w:val="40"/>
          <w:sz w:val="22"/>
        </w:rPr>
        <w:t> </w:t>
      </w:r>
      <w:r>
        <w:rPr>
          <w:sz w:val="22"/>
        </w:rPr>
        <w:t>hormone replacement therapy on bone mass and bone turnover: the OFELY study. </w:t>
      </w:r>
      <w:r>
        <w:rPr>
          <w:i/>
          <w:sz w:val="22"/>
        </w:rPr>
        <w:t>Bone</w:t>
      </w:r>
      <w:r>
        <w:rPr>
          <w:sz w:val="22"/>
        </w:rPr>
        <w:t>. </w:t>
      </w:r>
      <w:r>
        <w:rPr>
          <w:spacing w:val="-2"/>
          <w:sz w:val="22"/>
        </w:rPr>
        <w:t>2003;33:159.</w:t>
      </w:r>
    </w:p>
    <w:p>
      <w:pPr>
        <w:pStyle w:val="ListParagraph"/>
        <w:numPr>
          <w:ilvl w:val="0"/>
          <w:numId w:val="8"/>
        </w:numPr>
        <w:tabs>
          <w:tab w:pos="709" w:val="left" w:leader="none"/>
          <w:tab w:pos="718" w:val="left" w:leader="none"/>
        </w:tabs>
        <w:spacing w:line="256" w:lineRule="auto" w:before="0" w:after="0"/>
        <w:ind w:left="718" w:right="98" w:hanging="507"/>
        <w:jc w:val="both"/>
        <w:rPr>
          <w:sz w:val="22"/>
        </w:rPr>
      </w:pPr>
      <w:r>
        <w:rPr>
          <w:sz w:val="22"/>
        </w:rPr>
        <w:t>Greendale GA, Espeland M, Slone S, Marcus R, Barrett-Connor E; PEPI Safety Follow-</w:t>
      </w:r>
      <w:r>
        <w:rPr>
          <w:sz w:val="22"/>
        </w:rPr>
        <w:t>up</w:t>
      </w:r>
      <w:r>
        <w:rPr>
          <w:spacing w:val="40"/>
          <w:sz w:val="22"/>
        </w:rPr>
        <w:t> </w:t>
      </w:r>
      <w:r>
        <w:rPr>
          <w:sz w:val="22"/>
        </w:rPr>
        <w:t>Study (PSFS) Investigators. Bone mass response to discontinuation of long-term hormone replacement</w:t>
      </w:r>
      <w:r>
        <w:rPr>
          <w:spacing w:val="40"/>
          <w:sz w:val="22"/>
        </w:rPr>
        <w:t> </w:t>
      </w:r>
      <w:r>
        <w:rPr>
          <w:sz w:val="22"/>
        </w:rPr>
        <w:t>therapy:</w:t>
      </w:r>
      <w:r>
        <w:rPr>
          <w:spacing w:val="40"/>
          <w:sz w:val="22"/>
        </w:rPr>
        <w:t> </w:t>
      </w:r>
      <w:r>
        <w:rPr>
          <w:sz w:val="22"/>
        </w:rPr>
        <w:t>results</w:t>
      </w:r>
      <w:r>
        <w:rPr>
          <w:spacing w:val="40"/>
          <w:sz w:val="22"/>
        </w:rPr>
        <w:t> </w:t>
      </w:r>
      <w:r>
        <w:rPr>
          <w:sz w:val="22"/>
        </w:rPr>
        <w:t>from</w:t>
      </w:r>
      <w:r>
        <w:rPr>
          <w:spacing w:val="40"/>
          <w:sz w:val="22"/>
        </w:rPr>
        <w:t> </w:t>
      </w:r>
      <w:r>
        <w:rPr>
          <w:sz w:val="22"/>
        </w:rPr>
        <w:t>the</w:t>
      </w:r>
      <w:r>
        <w:rPr>
          <w:spacing w:val="40"/>
          <w:sz w:val="22"/>
        </w:rPr>
        <w:t> </w:t>
      </w:r>
      <w:r>
        <w:rPr>
          <w:sz w:val="22"/>
        </w:rPr>
        <w:t>Postmenopausal</w:t>
      </w:r>
      <w:r>
        <w:rPr>
          <w:spacing w:val="40"/>
          <w:sz w:val="22"/>
        </w:rPr>
        <w:t> </w:t>
      </w:r>
      <w:r>
        <w:rPr>
          <w:sz w:val="22"/>
        </w:rPr>
        <w:t>Estrogen/Progestin</w:t>
      </w:r>
      <w:r>
        <w:rPr>
          <w:spacing w:val="40"/>
          <w:sz w:val="22"/>
        </w:rPr>
        <w:t> </w:t>
      </w:r>
      <w:r>
        <w:rPr>
          <w:sz w:val="22"/>
        </w:rPr>
        <w:t>Interventions (PEPI) safety follow-up study. </w:t>
      </w:r>
      <w:r>
        <w:rPr>
          <w:i/>
          <w:sz w:val="22"/>
        </w:rPr>
        <w:t>Arch Intern Med</w:t>
      </w:r>
      <w:r>
        <w:rPr>
          <w:sz w:val="22"/>
        </w:rPr>
        <w:t>. 2002;25:665.</w:t>
      </w:r>
    </w:p>
    <w:p>
      <w:pPr>
        <w:pStyle w:val="ListParagraph"/>
        <w:numPr>
          <w:ilvl w:val="0"/>
          <w:numId w:val="8"/>
        </w:numPr>
        <w:tabs>
          <w:tab w:pos="709" w:val="left" w:leader="none"/>
          <w:tab w:pos="718" w:val="left" w:leader="none"/>
        </w:tabs>
        <w:spacing w:line="256" w:lineRule="auto" w:before="0" w:after="0"/>
        <w:ind w:left="718" w:right="103" w:hanging="507"/>
        <w:jc w:val="both"/>
        <w:rPr>
          <w:sz w:val="22"/>
        </w:rPr>
      </w:pPr>
      <w:r>
        <w:rPr>
          <w:sz w:val="22"/>
        </w:rPr>
        <w:t>Gallagher JC, Rapuri PB, Haynatzki G, Detter JR. Effect of discontinuation of estrogen, calcitriol, and the combination of both on bone density and bone markers. </w:t>
      </w:r>
      <w:r>
        <w:rPr>
          <w:i/>
          <w:sz w:val="22"/>
        </w:rPr>
        <w:t>J Clin </w:t>
      </w:r>
      <w:r>
        <w:rPr>
          <w:i/>
          <w:sz w:val="22"/>
        </w:rPr>
        <w:t>Endocrinol</w:t>
      </w:r>
      <w:r>
        <w:rPr>
          <w:i/>
          <w:sz w:val="22"/>
        </w:rPr>
        <w:t> Metab</w:t>
      </w:r>
      <w:r>
        <w:rPr>
          <w:sz w:val="22"/>
        </w:rPr>
        <w:t>. 2002;87:4914.</w:t>
      </w:r>
    </w:p>
    <w:p>
      <w:pPr>
        <w:pStyle w:val="ListParagraph"/>
        <w:numPr>
          <w:ilvl w:val="0"/>
          <w:numId w:val="8"/>
        </w:numPr>
        <w:tabs>
          <w:tab w:pos="709" w:val="left" w:leader="none"/>
          <w:tab w:pos="718" w:val="left" w:leader="none"/>
        </w:tabs>
        <w:spacing w:line="256" w:lineRule="auto" w:before="0" w:after="0"/>
        <w:ind w:left="718" w:right="98" w:hanging="507"/>
        <w:jc w:val="both"/>
        <w:rPr>
          <w:sz w:val="22"/>
        </w:rPr>
      </w:pPr>
      <w:r>
        <w:rPr>
          <w:sz w:val="22"/>
        </w:rPr>
        <w:t>Bagger YZ, Tank6 LB, Alexandersen P, et al. Two to three years of hormone replacement treatment in healthy women have long-term preventive effects on bone mass and </w:t>
      </w:r>
      <w:r>
        <w:rPr>
          <w:sz w:val="22"/>
        </w:rPr>
        <w:t>osteoporotic fractures: the PERF study. </w:t>
      </w:r>
      <w:r>
        <w:rPr>
          <w:i/>
          <w:sz w:val="22"/>
        </w:rPr>
        <w:t>Bone</w:t>
      </w:r>
      <w:r>
        <w:rPr>
          <w:sz w:val="22"/>
        </w:rPr>
        <w:t>. 2004;34:728.</w:t>
      </w:r>
    </w:p>
    <w:p>
      <w:pPr>
        <w:pStyle w:val="ListParagraph"/>
        <w:numPr>
          <w:ilvl w:val="0"/>
          <w:numId w:val="8"/>
        </w:numPr>
        <w:tabs>
          <w:tab w:pos="709" w:val="left" w:leader="none"/>
          <w:tab w:pos="718" w:val="left" w:leader="none"/>
        </w:tabs>
        <w:spacing w:line="256" w:lineRule="auto" w:before="0" w:after="0"/>
        <w:ind w:left="718" w:right="110" w:hanging="507"/>
        <w:jc w:val="both"/>
        <w:rPr>
          <w:sz w:val="22"/>
        </w:rPr>
      </w:pPr>
      <w:r>
        <w:rPr>
          <w:sz w:val="22"/>
        </w:rPr>
        <w:t>Middleton ET, Steel SA. The effects of short-term hormone replacement therapy on long-term bone mineral density. </w:t>
      </w:r>
      <w:r>
        <w:rPr>
          <w:i/>
          <w:sz w:val="22"/>
        </w:rPr>
        <w:t>Climacteric</w:t>
      </w:r>
      <w:r>
        <w:rPr>
          <w:sz w:val="22"/>
        </w:rPr>
        <w:t>. 2007;10:257.</w:t>
      </w:r>
    </w:p>
    <w:p>
      <w:pPr>
        <w:pStyle w:val="ListParagraph"/>
        <w:numPr>
          <w:ilvl w:val="0"/>
          <w:numId w:val="8"/>
        </w:numPr>
        <w:tabs>
          <w:tab w:pos="709" w:val="left" w:leader="none"/>
          <w:tab w:pos="718" w:val="left" w:leader="none"/>
        </w:tabs>
        <w:spacing w:line="256" w:lineRule="auto" w:before="0" w:after="0"/>
        <w:ind w:left="718" w:right="105" w:hanging="507"/>
        <w:jc w:val="both"/>
        <w:rPr>
          <w:sz w:val="22"/>
        </w:rPr>
      </w:pPr>
      <w:r>
        <w:rPr>
          <w:sz w:val="22"/>
        </w:rPr>
        <w:t>Schneider</w:t>
      </w:r>
      <w:r>
        <w:rPr>
          <w:spacing w:val="40"/>
          <w:sz w:val="22"/>
        </w:rPr>
        <w:t> </w:t>
      </w:r>
      <w:r>
        <w:rPr>
          <w:sz w:val="22"/>
        </w:rPr>
        <w:t>DL,</w:t>
      </w:r>
      <w:r>
        <w:rPr>
          <w:spacing w:val="40"/>
          <w:sz w:val="22"/>
        </w:rPr>
        <w:t> </w:t>
      </w:r>
      <w:r>
        <w:rPr>
          <w:sz w:val="22"/>
        </w:rPr>
        <w:t>Barrett-Connor</w:t>
      </w:r>
      <w:r>
        <w:rPr>
          <w:spacing w:val="40"/>
          <w:sz w:val="22"/>
        </w:rPr>
        <w:t> </w:t>
      </w:r>
      <w:r>
        <w:rPr>
          <w:sz w:val="22"/>
        </w:rPr>
        <w:t>EL,</w:t>
      </w:r>
      <w:r>
        <w:rPr>
          <w:spacing w:val="40"/>
          <w:sz w:val="22"/>
        </w:rPr>
        <w:t> </w:t>
      </w:r>
      <w:r>
        <w:rPr>
          <w:sz w:val="22"/>
        </w:rPr>
        <w:t>Morton</w:t>
      </w:r>
      <w:r>
        <w:rPr>
          <w:spacing w:val="40"/>
          <w:sz w:val="22"/>
        </w:rPr>
        <w:t> </w:t>
      </w:r>
      <w:r>
        <w:rPr>
          <w:sz w:val="22"/>
        </w:rPr>
        <w:t>DJ.</w:t>
      </w:r>
      <w:r>
        <w:rPr>
          <w:spacing w:val="40"/>
          <w:sz w:val="22"/>
        </w:rPr>
        <w:t> </w:t>
      </w:r>
      <w:r>
        <w:rPr>
          <w:sz w:val="22"/>
        </w:rPr>
        <w:t>Timing</w:t>
      </w:r>
      <w:r>
        <w:rPr>
          <w:spacing w:val="40"/>
          <w:sz w:val="22"/>
        </w:rPr>
        <w:t> </w:t>
      </w:r>
      <w:r>
        <w:rPr>
          <w:sz w:val="22"/>
        </w:rPr>
        <w:t>of</w:t>
      </w:r>
      <w:r>
        <w:rPr>
          <w:spacing w:val="40"/>
          <w:sz w:val="22"/>
        </w:rPr>
        <w:t> </w:t>
      </w:r>
      <w:r>
        <w:rPr>
          <w:sz w:val="22"/>
        </w:rPr>
        <w:t>postmenopausal</w:t>
      </w:r>
      <w:r>
        <w:rPr>
          <w:spacing w:val="40"/>
          <w:sz w:val="22"/>
        </w:rPr>
        <w:t> </w:t>
      </w:r>
      <w:r>
        <w:rPr>
          <w:sz w:val="22"/>
        </w:rPr>
        <w:t>estrogen</w:t>
      </w:r>
      <w:r>
        <w:rPr>
          <w:spacing w:val="40"/>
          <w:sz w:val="22"/>
        </w:rPr>
        <w:t> </w:t>
      </w:r>
      <w:r>
        <w:rPr>
          <w:sz w:val="22"/>
        </w:rPr>
        <w:t>for optimal bone mineral density. The Rancho Bernardo Study. </w:t>
      </w:r>
      <w:r>
        <w:rPr>
          <w:i/>
          <w:sz w:val="22"/>
        </w:rPr>
        <w:t>JAMA. </w:t>
      </w:r>
      <w:r>
        <w:rPr>
          <w:sz w:val="22"/>
        </w:rPr>
        <w:t>1997;277:543.</w:t>
      </w:r>
    </w:p>
    <w:p>
      <w:pPr>
        <w:pStyle w:val="ListParagraph"/>
        <w:numPr>
          <w:ilvl w:val="0"/>
          <w:numId w:val="8"/>
        </w:numPr>
        <w:tabs>
          <w:tab w:pos="709" w:val="left" w:leader="none"/>
          <w:tab w:pos="718" w:val="left" w:leader="none"/>
        </w:tabs>
        <w:spacing w:line="256" w:lineRule="auto" w:before="0" w:after="0"/>
        <w:ind w:left="718" w:right="102" w:hanging="507"/>
        <w:jc w:val="both"/>
        <w:rPr>
          <w:sz w:val="22"/>
        </w:rPr>
      </w:pPr>
      <w:r>
        <w:rPr>
          <w:sz w:val="22"/>
        </w:rPr>
        <w:t>Barrett-Conner E, Wehren LE, Siris ES, et al. Recency and duration of </w:t>
      </w:r>
      <w:r>
        <w:rPr>
          <w:sz w:val="22"/>
        </w:rPr>
        <w:t>postmenopausal</w:t>
      </w:r>
      <w:r>
        <w:rPr>
          <w:spacing w:val="80"/>
          <w:sz w:val="22"/>
        </w:rPr>
        <w:t> </w:t>
      </w:r>
      <w:r>
        <w:rPr>
          <w:sz w:val="22"/>
        </w:rPr>
        <w:t>hormone</w:t>
      </w:r>
      <w:r>
        <w:rPr>
          <w:spacing w:val="40"/>
          <w:sz w:val="22"/>
        </w:rPr>
        <w:t> </w:t>
      </w:r>
      <w:r>
        <w:rPr>
          <w:sz w:val="22"/>
        </w:rPr>
        <w:t>therapy:</w:t>
      </w:r>
      <w:r>
        <w:rPr>
          <w:spacing w:val="40"/>
          <w:sz w:val="22"/>
        </w:rPr>
        <w:t> </w:t>
      </w:r>
      <w:r>
        <w:rPr>
          <w:sz w:val="22"/>
        </w:rPr>
        <w:t>effects</w:t>
      </w:r>
      <w:r>
        <w:rPr>
          <w:spacing w:val="40"/>
          <w:sz w:val="22"/>
        </w:rPr>
        <w:t> </w:t>
      </w:r>
      <w:r>
        <w:rPr>
          <w:sz w:val="22"/>
        </w:rPr>
        <w:t>on</w:t>
      </w:r>
      <w:r>
        <w:rPr>
          <w:spacing w:val="40"/>
          <w:sz w:val="22"/>
        </w:rPr>
        <w:t> </w:t>
      </w:r>
      <w:r>
        <w:rPr>
          <w:sz w:val="22"/>
        </w:rPr>
        <w:t>bone</w:t>
      </w:r>
      <w:r>
        <w:rPr>
          <w:spacing w:val="40"/>
          <w:sz w:val="22"/>
        </w:rPr>
        <w:t> </w:t>
      </w:r>
      <w:r>
        <w:rPr>
          <w:sz w:val="22"/>
        </w:rPr>
        <w:t>mineral</w:t>
      </w:r>
      <w:r>
        <w:rPr>
          <w:spacing w:val="40"/>
          <w:sz w:val="22"/>
        </w:rPr>
        <w:t> </w:t>
      </w:r>
      <w:r>
        <w:rPr>
          <w:sz w:val="22"/>
        </w:rPr>
        <w:t>density</w:t>
      </w:r>
      <w:r>
        <w:rPr>
          <w:spacing w:val="40"/>
          <w:sz w:val="22"/>
        </w:rPr>
        <w:t> </w:t>
      </w:r>
      <w:r>
        <w:rPr>
          <w:sz w:val="22"/>
        </w:rPr>
        <w:t>and</w:t>
      </w:r>
      <w:r>
        <w:rPr>
          <w:spacing w:val="40"/>
          <w:sz w:val="22"/>
        </w:rPr>
        <w:t> </w:t>
      </w:r>
      <w:r>
        <w:rPr>
          <w:sz w:val="22"/>
        </w:rPr>
        <w:t>fracture</w:t>
      </w:r>
      <w:r>
        <w:rPr>
          <w:spacing w:val="40"/>
          <w:sz w:val="22"/>
        </w:rPr>
        <w:t> </w:t>
      </w:r>
      <w:r>
        <w:rPr>
          <w:sz w:val="22"/>
        </w:rPr>
        <w:t>risk</w:t>
      </w:r>
      <w:r>
        <w:rPr>
          <w:spacing w:val="40"/>
          <w:sz w:val="22"/>
        </w:rPr>
        <w:t> </w:t>
      </w:r>
      <w:r>
        <w:rPr>
          <w:sz w:val="22"/>
        </w:rPr>
        <w:t>in</w:t>
      </w:r>
      <w:r>
        <w:rPr>
          <w:spacing w:val="40"/>
          <w:sz w:val="22"/>
        </w:rPr>
        <w:t> </w:t>
      </w:r>
      <w:r>
        <w:rPr>
          <w:sz w:val="22"/>
        </w:rPr>
        <w:t>the</w:t>
      </w:r>
      <w:r>
        <w:rPr>
          <w:spacing w:val="40"/>
          <w:sz w:val="22"/>
        </w:rPr>
        <w:t> </w:t>
      </w:r>
      <w:r>
        <w:rPr>
          <w:sz w:val="22"/>
        </w:rPr>
        <w:t>National Osteoporosis Risk Assessment (NORA) study. </w:t>
      </w:r>
      <w:r>
        <w:rPr>
          <w:i/>
          <w:sz w:val="22"/>
        </w:rPr>
        <w:t>Menopause</w:t>
      </w:r>
      <w:r>
        <w:rPr>
          <w:sz w:val="22"/>
        </w:rPr>
        <w:t>. 2003;10:412.</w:t>
      </w:r>
    </w:p>
    <w:p>
      <w:pPr>
        <w:pStyle w:val="ListParagraph"/>
        <w:numPr>
          <w:ilvl w:val="0"/>
          <w:numId w:val="8"/>
        </w:numPr>
        <w:tabs>
          <w:tab w:pos="709" w:val="left" w:leader="none"/>
          <w:tab w:pos="718" w:val="left" w:leader="none"/>
        </w:tabs>
        <w:spacing w:line="256" w:lineRule="auto" w:before="0" w:after="0"/>
        <w:ind w:left="718" w:right="106" w:hanging="507"/>
        <w:jc w:val="both"/>
        <w:rPr>
          <w:sz w:val="22"/>
        </w:rPr>
      </w:pPr>
      <w:r>
        <w:rPr>
          <w:sz w:val="22"/>
        </w:rPr>
        <w:t>Stevenson</w:t>
      </w:r>
      <w:r>
        <w:rPr>
          <w:spacing w:val="40"/>
          <w:sz w:val="22"/>
        </w:rPr>
        <w:t> </w:t>
      </w:r>
      <w:r>
        <w:rPr>
          <w:sz w:val="22"/>
        </w:rPr>
        <w:t>JC,</w:t>
      </w:r>
      <w:r>
        <w:rPr>
          <w:spacing w:val="40"/>
          <w:sz w:val="22"/>
        </w:rPr>
        <w:t> </w:t>
      </w:r>
      <w:r>
        <w:rPr>
          <w:sz w:val="22"/>
        </w:rPr>
        <w:t>Cust</w:t>
      </w:r>
      <w:r>
        <w:rPr>
          <w:spacing w:val="40"/>
          <w:sz w:val="22"/>
        </w:rPr>
        <w:t> </w:t>
      </w:r>
      <w:r>
        <w:rPr>
          <w:sz w:val="22"/>
        </w:rPr>
        <w:t>MP,</w:t>
      </w:r>
      <w:r>
        <w:rPr>
          <w:spacing w:val="40"/>
          <w:sz w:val="22"/>
        </w:rPr>
        <w:t> </w:t>
      </w:r>
      <w:r>
        <w:rPr>
          <w:sz w:val="22"/>
        </w:rPr>
        <w:t>Gangar</w:t>
      </w:r>
      <w:r>
        <w:rPr>
          <w:spacing w:val="40"/>
          <w:sz w:val="22"/>
        </w:rPr>
        <w:t> </w:t>
      </w:r>
      <w:r>
        <w:rPr>
          <w:sz w:val="22"/>
        </w:rPr>
        <w:t>KF,</w:t>
      </w:r>
      <w:r>
        <w:rPr>
          <w:spacing w:val="40"/>
          <w:sz w:val="22"/>
        </w:rPr>
        <w:t> </w:t>
      </w:r>
      <w:r>
        <w:rPr>
          <w:sz w:val="22"/>
        </w:rPr>
        <w:t>Hillard</w:t>
      </w:r>
      <w:r>
        <w:rPr>
          <w:spacing w:val="40"/>
          <w:sz w:val="22"/>
        </w:rPr>
        <w:t> </w:t>
      </w:r>
      <w:r>
        <w:rPr>
          <w:sz w:val="22"/>
        </w:rPr>
        <w:t>TC,</w:t>
      </w:r>
      <w:r>
        <w:rPr>
          <w:spacing w:val="40"/>
          <w:sz w:val="22"/>
        </w:rPr>
        <w:t> </w:t>
      </w:r>
      <w:r>
        <w:rPr>
          <w:sz w:val="22"/>
        </w:rPr>
        <w:t>Lees</w:t>
      </w:r>
      <w:r>
        <w:rPr>
          <w:spacing w:val="40"/>
          <w:sz w:val="22"/>
        </w:rPr>
        <w:t> </w:t>
      </w:r>
      <w:r>
        <w:rPr>
          <w:sz w:val="22"/>
        </w:rPr>
        <w:t>B,</w:t>
      </w:r>
      <w:r>
        <w:rPr>
          <w:spacing w:val="40"/>
          <w:sz w:val="22"/>
        </w:rPr>
        <w:t> </w:t>
      </w:r>
      <w:r>
        <w:rPr>
          <w:sz w:val="22"/>
        </w:rPr>
        <w:t>Whitehead</w:t>
      </w:r>
      <w:r>
        <w:rPr>
          <w:spacing w:val="40"/>
          <w:sz w:val="22"/>
        </w:rPr>
        <w:t> </w:t>
      </w:r>
      <w:r>
        <w:rPr>
          <w:sz w:val="22"/>
        </w:rPr>
        <w:t>MI.</w:t>
      </w:r>
      <w:r>
        <w:rPr>
          <w:spacing w:val="40"/>
          <w:sz w:val="22"/>
        </w:rPr>
        <w:t> </w:t>
      </w:r>
      <w:r>
        <w:rPr>
          <w:sz w:val="22"/>
        </w:rPr>
        <w:t>Effects</w:t>
      </w:r>
      <w:r>
        <w:rPr>
          <w:spacing w:val="40"/>
          <w:sz w:val="22"/>
        </w:rPr>
        <w:t> </w:t>
      </w:r>
      <w:r>
        <w:rPr>
          <w:sz w:val="22"/>
        </w:rPr>
        <w:t>of transdermal versus oral hormone replacement therapy on bone density in spine and proximal femur in postmenopausal women. </w:t>
      </w:r>
      <w:r>
        <w:rPr>
          <w:i/>
          <w:sz w:val="22"/>
        </w:rPr>
        <w:t>Lancet</w:t>
      </w:r>
      <w:r>
        <w:rPr>
          <w:sz w:val="22"/>
        </w:rPr>
        <w:t>. 1990;336:1327.</w:t>
      </w:r>
    </w:p>
    <w:p>
      <w:pPr>
        <w:pStyle w:val="ListParagraph"/>
        <w:numPr>
          <w:ilvl w:val="0"/>
          <w:numId w:val="8"/>
        </w:numPr>
        <w:tabs>
          <w:tab w:pos="709" w:val="left" w:leader="none"/>
          <w:tab w:pos="718" w:val="left" w:leader="none"/>
        </w:tabs>
        <w:spacing w:line="256" w:lineRule="auto" w:before="0" w:after="0"/>
        <w:ind w:left="718" w:right="101" w:hanging="507"/>
        <w:jc w:val="both"/>
        <w:rPr>
          <w:sz w:val="22"/>
        </w:rPr>
      </w:pPr>
      <w:r>
        <w:rPr>
          <w:sz w:val="22"/>
        </w:rPr>
        <w:t>The Writing Group for the PEPI Trial. Effects of hormone therapy on bone mineral density: results from the Postmenopausal Estrogen/Progestin Interventions (PEPI) Trial. </w:t>
      </w:r>
      <w:r>
        <w:rPr>
          <w:i/>
          <w:sz w:val="22"/>
        </w:rPr>
        <w:t>JAMA</w:t>
      </w:r>
      <w:r>
        <w:rPr>
          <w:sz w:val="22"/>
        </w:rPr>
        <w:t>. </w:t>
      </w:r>
      <w:r>
        <w:rPr>
          <w:spacing w:val="-2"/>
          <w:sz w:val="22"/>
        </w:rPr>
        <w:t>1996;276:1389.</w:t>
      </w:r>
    </w:p>
    <w:p>
      <w:pPr>
        <w:pStyle w:val="ListParagraph"/>
        <w:numPr>
          <w:ilvl w:val="0"/>
          <w:numId w:val="8"/>
        </w:numPr>
        <w:tabs>
          <w:tab w:pos="709" w:val="left" w:leader="none"/>
          <w:tab w:pos="718" w:val="left" w:leader="none"/>
        </w:tabs>
        <w:spacing w:line="256" w:lineRule="auto" w:before="0" w:after="0"/>
        <w:ind w:left="718" w:right="101" w:hanging="507"/>
        <w:jc w:val="both"/>
        <w:rPr>
          <w:sz w:val="22"/>
        </w:rPr>
      </w:pPr>
      <w:r>
        <w:rPr>
          <w:sz w:val="22"/>
        </w:rPr>
        <w:t>Eiken P, Kolthoff N, Nielsen SP. Effect of 10 years’ hormone replacement therapy on </w:t>
      </w:r>
      <w:r>
        <w:rPr>
          <w:sz w:val="22"/>
        </w:rPr>
        <w:t>bone mineral content in postmenopausal women. </w:t>
      </w:r>
      <w:r>
        <w:rPr>
          <w:i/>
          <w:sz w:val="22"/>
        </w:rPr>
        <w:t>Bone</w:t>
      </w:r>
      <w:r>
        <w:rPr>
          <w:sz w:val="22"/>
        </w:rPr>
        <w:t>. 1996;19:191S.</w:t>
      </w:r>
    </w:p>
    <w:p>
      <w:pPr>
        <w:pStyle w:val="ListParagraph"/>
        <w:numPr>
          <w:ilvl w:val="0"/>
          <w:numId w:val="8"/>
        </w:numPr>
        <w:tabs>
          <w:tab w:pos="709" w:val="left" w:leader="none"/>
          <w:tab w:pos="718" w:val="left" w:leader="none"/>
        </w:tabs>
        <w:spacing w:line="256" w:lineRule="auto" w:before="0" w:after="0"/>
        <w:ind w:left="718" w:right="102" w:hanging="507"/>
        <w:jc w:val="both"/>
        <w:rPr>
          <w:sz w:val="22"/>
        </w:rPr>
      </w:pPr>
      <w:r>
        <w:rPr>
          <w:sz w:val="22"/>
        </w:rPr>
        <w:t>Nelson HD, Rizzo J, Harris E, et al; Study of Osteoporotic Fractures Research Group. Osteoporosis and fractures in postmenopausal women using estrogen. </w:t>
      </w:r>
      <w:r>
        <w:rPr>
          <w:i/>
          <w:sz w:val="22"/>
        </w:rPr>
        <w:t>Arch Intern Med</w:t>
      </w:r>
      <w:r>
        <w:rPr>
          <w:sz w:val="22"/>
        </w:rPr>
        <w:t>. </w:t>
      </w:r>
      <w:r>
        <w:rPr>
          <w:spacing w:val="-2"/>
          <w:sz w:val="22"/>
        </w:rPr>
        <w:t>2002;162:2278.</w:t>
      </w:r>
    </w:p>
    <w:p>
      <w:pPr>
        <w:pStyle w:val="ListParagraph"/>
        <w:numPr>
          <w:ilvl w:val="0"/>
          <w:numId w:val="8"/>
        </w:numPr>
        <w:tabs>
          <w:tab w:pos="709" w:val="left" w:leader="none"/>
          <w:tab w:pos="718" w:val="left" w:leader="none"/>
        </w:tabs>
        <w:spacing w:line="256" w:lineRule="auto" w:before="0" w:after="0"/>
        <w:ind w:left="718" w:right="105" w:hanging="507"/>
        <w:jc w:val="both"/>
        <w:rPr>
          <w:sz w:val="22"/>
        </w:rPr>
      </w:pPr>
      <w:r>
        <w:rPr>
          <w:sz w:val="22"/>
        </w:rPr>
        <w:t>Naessén T, Persson I, Thor L, Mallmin H, Ljunghall S, Bergstrom R. Maintained bone density</w:t>
      </w:r>
      <w:r>
        <w:rPr>
          <w:spacing w:val="80"/>
          <w:sz w:val="22"/>
        </w:rPr>
        <w:t> </w:t>
      </w:r>
      <w:r>
        <w:rPr>
          <w:sz w:val="22"/>
        </w:rPr>
        <w:t>at advanced ages after long-term treatment with low-dose estradiol implants. </w:t>
      </w:r>
      <w:r>
        <w:rPr>
          <w:i/>
          <w:sz w:val="22"/>
        </w:rPr>
        <w:t>Br J Obstet</w:t>
      </w:r>
      <w:r>
        <w:rPr>
          <w:i/>
          <w:sz w:val="22"/>
        </w:rPr>
        <w:t> Gynaecol</w:t>
      </w:r>
      <w:r>
        <w:rPr>
          <w:sz w:val="22"/>
        </w:rPr>
        <w:t>. 1993;100:454.</w:t>
      </w:r>
    </w:p>
    <w:p>
      <w:pPr>
        <w:pStyle w:val="ListParagraph"/>
        <w:numPr>
          <w:ilvl w:val="0"/>
          <w:numId w:val="8"/>
        </w:numPr>
        <w:tabs>
          <w:tab w:pos="709" w:val="left" w:leader="none"/>
          <w:tab w:pos="718" w:val="left" w:leader="none"/>
        </w:tabs>
        <w:spacing w:line="256" w:lineRule="auto" w:before="0" w:after="0"/>
        <w:ind w:left="718" w:right="101" w:hanging="507"/>
        <w:jc w:val="both"/>
        <w:rPr>
          <w:sz w:val="22"/>
        </w:rPr>
      </w:pPr>
      <w:r>
        <w:rPr>
          <w:sz w:val="22"/>
        </w:rPr>
        <w:t>Armamento-Villareal R, Civitelli R. Estrogen action on the bone mass of </w:t>
      </w:r>
      <w:r>
        <w:rPr>
          <w:sz w:val="22"/>
        </w:rPr>
        <w:t>postmenopausal women is dependent on body mass and initial bone density. </w:t>
      </w:r>
      <w:r>
        <w:rPr>
          <w:i/>
          <w:sz w:val="22"/>
        </w:rPr>
        <w:t>J Clin Endocrinol Metab</w:t>
      </w:r>
      <w:r>
        <w:rPr>
          <w:sz w:val="22"/>
        </w:rPr>
        <w:t>. </w:t>
      </w:r>
      <w:r>
        <w:rPr>
          <w:spacing w:val="-2"/>
          <w:sz w:val="22"/>
        </w:rPr>
        <w:t>1995;80:776.</w:t>
      </w:r>
    </w:p>
    <w:p>
      <w:pPr>
        <w:pStyle w:val="ListParagraph"/>
        <w:numPr>
          <w:ilvl w:val="0"/>
          <w:numId w:val="8"/>
        </w:numPr>
        <w:tabs>
          <w:tab w:pos="709" w:val="left" w:leader="none"/>
          <w:tab w:pos="718" w:val="left" w:leader="none"/>
        </w:tabs>
        <w:spacing w:line="256" w:lineRule="auto" w:before="0" w:after="0"/>
        <w:ind w:left="718" w:right="100" w:hanging="507"/>
        <w:jc w:val="both"/>
        <w:rPr>
          <w:sz w:val="22"/>
        </w:rPr>
      </w:pPr>
      <w:r>
        <w:rPr>
          <w:sz w:val="22"/>
        </w:rPr>
        <w:t>Villareal DT, Binder EF, Williams DB, Schechtman KB, Yarasheski KE, Kohrt WM. Bone mineral density response to estrogen replacement in frail elderly women. A randomized controlled trial. </w:t>
      </w:r>
      <w:r>
        <w:rPr>
          <w:i/>
          <w:sz w:val="22"/>
        </w:rPr>
        <w:t>JAMA</w:t>
      </w:r>
      <w:r>
        <w:rPr>
          <w:sz w:val="22"/>
        </w:rPr>
        <w:t>. 2001;286:815.</w:t>
      </w:r>
    </w:p>
    <w:p>
      <w:pPr>
        <w:pStyle w:val="ListParagraph"/>
        <w:numPr>
          <w:ilvl w:val="0"/>
          <w:numId w:val="8"/>
        </w:numPr>
        <w:tabs>
          <w:tab w:pos="709" w:val="left" w:leader="none"/>
          <w:tab w:pos="718" w:val="left" w:leader="none"/>
        </w:tabs>
        <w:spacing w:line="256" w:lineRule="auto" w:before="0" w:after="0"/>
        <w:ind w:left="718" w:right="105" w:hanging="507"/>
        <w:jc w:val="both"/>
        <w:rPr>
          <w:sz w:val="22"/>
        </w:rPr>
      </w:pPr>
      <w:r>
        <w:rPr>
          <w:sz w:val="22"/>
        </w:rPr>
        <w:t>Cauley JA, Zmuda JM, Ensrud KE, Bauer DC, Ettinger B; Study of Osteoporotic Fractures Research Group. Timing</w:t>
      </w:r>
      <w:r>
        <w:rPr>
          <w:spacing w:val="20"/>
          <w:sz w:val="22"/>
        </w:rPr>
        <w:t> </w:t>
      </w:r>
      <w:r>
        <w:rPr>
          <w:sz w:val="22"/>
        </w:rPr>
        <w:t>of</w:t>
      </w:r>
      <w:r>
        <w:rPr>
          <w:spacing w:val="20"/>
          <w:sz w:val="22"/>
        </w:rPr>
        <w:t> </w:t>
      </w:r>
      <w:r>
        <w:rPr>
          <w:sz w:val="22"/>
        </w:rPr>
        <w:t>estrogen</w:t>
      </w:r>
      <w:r>
        <w:rPr>
          <w:spacing w:val="20"/>
          <w:sz w:val="22"/>
        </w:rPr>
        <w:t> </w:t>
      </w:r>
      <w:r>
        <w:rPr>
          <w:sz w:val="22"/>
        </w:rPr>
        <w:t>replacement</w:t>
      </w:r>
      <w:r>
        <w:rPr>
          <w:spacing w:val="20"/>
          <w:sz w:val="22"/>
        </w:rPr>
        <w:t> </w:t>
      </w:r>
      <w:r>
        <w:rPr>
          <w:sz w:val="22"/>
        </w:rPr>
        <w:t>therapy</w:t>
      </w:r>
      <w:r>
        <w:rPr>
          <w:spacing w:val="20"/>
          <w:sz w:val="22"/>
        </w:rPr>
        <w:t> </w:t>
      </w:r>
      <w:r>
        <w:rPr>
          <w:sz w:val="22"/>
        </w:rPr>
        <w:t>for</w:t>
      </w:r>
      <w:r>
        <w:rPr>
          <w:spacing w:val="20"/>
          <w:sz w:val="22"/>
        </w:rPr>
        <w:t> </w:t>
      </w:r>
      <w:r>
        <w:rPr>
          <w:sz w:val="22"/>
        </w:rPr>
        <w:t>optimal</w:t>
      </w:r>
      <w:r>
        <w:rPr>
          <w:spacing w:val="20"/>
          <w:sz w:val="22"/>
        </w:rPr>
        <w:t> </w:t>
      </w:r>
      <w:r>
        <w:rPr>
          <w:sz w:val="22"/>
        </w:rPr>
        <w:t>osteoporosis</w:t>
      </w:r>
      <w:r>
        <w:rPr>
          <w:spacing w:val="20"/>
          <w:sz w:val="22"/>
        </w:rPr>
        <w:t> </w:t>
      </w:r>
      <w:r>
        <w:rPr>
          <w:sz w:val="22"/>
        </w:rPr>
        <w:t>prevention. </w:t>
      </w:r>
      <w:r>
        <w:rPr>
          <w:i/>
          <w:sz w:val="22"/>
        </w:rPr>
        <w:t>J Clin Endocrinol Metab</w:t>
      </w:r>
      <w:r>
        <w:rPr>
          <w:sz w:val="22"/>
        </w:rPr>
        <w:t>. 2001;86:5700.</w:t>
      </w:r>
    </w:p>
    <w:p>
      <w:pPr>
        <w:pStyle w:val="ListParagraph"/>
        <w:numPr>
          <w:ilvl w:val="0"/>
          <w:numId w:val="8"/>
        </w:numPr>
        <w:tabs>
          <w:tab w:pos="709" w:val="left" w:leader="none"/>
          <w:tab w:pos="718" w:val="left" w:leader="none"/>
        </w:tabs>
        <w:spacing w:line="256" w:lineRule="auto" w:before="0" w:after="0"/>
        <w:ind w:left="718" w:right="105" w:hanging="507"/>
        <w:jc w:val="both"/>
        <w:rPr>
          <w:sz w:val="22"/>
        </w:rPr>
      </w:pPr>
      <w:r>
        <w:rPr>
          <w:sz w:val="22"/>
        </w:rPr>
        <w:t>Lindsay R, Hart DM, Clark DM. The minimum effective dose of estrogen for </w:t>
      </w:r>
      <w:r>
        <w:rPr>
          <w:sz w:val="22"/>
        </w:rPr>
        <w:t>postmenopausal bone loss. </w:t>
      </w:r>
      <w:r>
        <w:rPr>
          <w:i/>
          <w:sz w:val="22"/>
        </w:rPr>
        <w:t>Obstet Gynecol</w:t>
      </w:r>
      <w:r>
        <w:rPr>
          <w:sz w:val="22"/>
        </w:rPr>
        <w:t>. 1984;63:759.</w:t>
      </w:r>
    </w:p>
    <w:p>
      <w:pPr>
        <w:pStyle w:val="ListParagraph"/>
        <w:spacing w:after="0" w:line="256" w:lineRule="auto"/>
        <w:jc w:val="both"/>
        <w:rPr>
          <w:sz w:val="22"/>
        </w:rPr>
        <w:sectPr>
          <w:pgSz w:w="12240" w:h="15840"/>
          <w:pgMar w:top="1360" w:bottom="280" w:left="1440" w:right="1440"/>
        </w:sectPr>
      </w:pPr>
    </w:p>
    <w:p>
      <w:pPr>
        <w:pStyle w:val="ListParagraph"/>
        <w:numPr>
          <w:ilvl w:val="0"/>
          <w:numId w:val="8"/>
        </w:numPr>
        <w:tabs>
          <w:tab w:pos="709" w:val="left" w:leader="none"/>
          <w:tab w:pos="718" w:val="left" w:leader="none"/>
        </w:tabs>
        <w:spacing w:line="256" w:lineRule="auto" w:before="84" w:after="0"/>
        <w:ind w:left="718" w:right="105" w:hanging="507"/>
        <w:jc w:val="both"/>
        <w:rPr>
          <w:sz w:val="22"/>
        </w:rPr>
      </w:pPr>
      <w:r>
        <w:rPr>
          <w:sz w:val="22"/>
        </w:rPr>
        <w:t>O’Connell MB. Pharmacokinetic and pharmacologic variation between different </w:t>
      </w:r>
      <w:r>
        <w:rPr>
          <w:sz w:val="22"/>
        </w:rPr>
        <w:t>estrogen products. </w:t>
      </w:r>
      <w:r>
        <w:rPr>
          <w:i/>
          <w:sz w:val="22"/>
        </w:rPr>
        <w:t>J Clin Pharmacol</w:t>
      </w:r>
      <w:r>
        <w:rPr>
          <w:sz w:val="22"/>
        </w:rPr>
        <w:t>. 1995;35(suppl 9):18S.</w:t>
      </w:r>
    </w:p>
    <w:p>
      <w:pPr>
        <w:pStyle w:val="ListParagraph"/>
        <w:numPr>
          <w:ilvl w:val="0"/>
          <w:numId w:val="8"/>
        </w:numPr>
        <w:tabs>
          <w:tab w:pos="709" w:val="left" w:leader="none"/>
          <w:tab w:pos="718" w:val="left" w:leader="none"/>
        </w:tabs>
        <w:spacing w:line="256" w:lineRule="auto" w:before="0" w:after="0"/>
        <w:ind w:left="718" w:right="112" w:hanging="507"/>
        <w:jc w:val="both"/>
        <w:rPr>
          <w:sz w:val="22"/>
        </w:rPr>
      </w:pPr>
      <w:r>
        <w:rPr>
          <w:sz w:val="22"/>
        </w:rPr>
        <w:t>Reginster JY, Sarlet N, Deroisy R, Albert A, Gaspard U, Franchimont P. Minimal levels </w:t>
      </w:r>
      <w:r>
        <w:rPr>
          <w:sz w:val="22"/>
        </w:rPr>
        <w:t>of serum estradiol prevent postmenopausal bone loss. </w:t>
      </w:r>
      <w:r>
        <w:rPr>
          <w:i/>
          <w:sz w:val="22"/>
        </w:rPr>
        <w:t>Calcif Tissue Int</w:t>
      </w:r>
      <w:r>
        <w:rPr>
          <w:sz w:val="22"/>
        </w:rPr>
        <w:t>. 1992;51:340.</w:t>
      </w:r>
    </w:p>
    <w:p>
      <w:pPr>
        <w:pStyle w:val="ListParagraph"/>
        <w:numPr>
          <w:ilvl w:val="0"/>
          <w:numId w:val="8"/>
        </w:numPr>
        <w:tabs>
          <w:tab w:pos="709" w:val="left" w:leader="none"/>
          <w:tab w:pos="718" w:val="left" w:leader="none"/>
        </w:tabs>
        <w:spacing w:line="256" w:lineRule="auto" w:before="0" w:after="0"/>
        <w:ind w:left="718" w:right="99" w:hanging="507"/>
        <w:jc w:val="both"/>
        <w:rPr>
          <w:sz w:val="22"/>
        </w:rPr>
      </w:pPr>
      <w:r>
        <w:rPr>
          <w:sz w:val="22"/>
        </w:rPr>
        <w:t>Ettinger</w:t>
      </w:r>
      <w:r>
        <w:rPr>
          <w:spacing w:val="40"/>
          <w:sz w:val="22"/>
        </w:rPr>
        <w:t> </w:t>
      </w:r>
      <w:r>
        <w:rPr>
          <w:sz w:val="22"/>
        </w:rPr>
        <w:t>B,</w:t>
      </w:r>
      <w:r>
        <w:rPr>
          <w:spacing w:val="40"/>
          <w:sz w:val="22"/>
        </w:rPr>
        <w:t> </w:t>
      </w:r>
      <w:r>
        <w:rPr>
          <w:sz w:val="22"/>
        </w:rPr>
        <w:t>Pressman</w:t>
      </w:r>
      <w:r>
        <w:rPr>
          <w:spacing w:val="40"/>
          <w:sz w:val="22"/>
        </w:rPr>
        <w:t> </w:t>
      </w:r>
      <w:r>
        <w:rPr>
          <w:sz w:val="22"/>
        </w:rPr>
        <w:t>A,</w:t>
      </w:r>
      <w:r>
        <w:rPr>
          <w:spacing w:val="40"/>
          <w:sz w:val="22"/>
        </w:rPr>
        <w:t> </w:t>
      </w:r>
      <w:r>
        <w:rPr>
          <w:sz w:val="22"/>
        </w:rPr>
        <w:t>Sklarin</w:t>
      </w:r>
      <w:r>
        <w:rPr>
          <w:spacing w:val="40"/>
          <w:sz w:val="22"/>
        </w:rPr>
        <w:t> </w:t>
      </w:r>
      <w:r>
        <w:rPr>
          <w:sz w:val="22"/>
        </w:rPr>
        <w:t>P,</w:t>
      </w:r>
      <w:r>
        <w:rPr>
          <w:spacing w:val="40"/>
          <w:sz w:val="22"/>
        </w:rPr>
        <w:t> </w:t>
      </w:r>
      <w:r>
        <w:rPr>
          <w:sz w:val="22"/>
        </w:rPr>
        <w:t>Bauer</w:t>
      </w:r>
      <w:r>
        <w:rPr>
          <w:spacing w:val="40"/>
          <w:sz w:val="22"/>
        </w:rPr>
        <w:t> </w:t>
      </w:r>
      <w:r>
        <w:rPr>
          <w:sz w:val="22"/>
        </w:rPr>
        <w:t>DC,</w:t>
      </w:r>
      <w:r>
        <w:rPr>
          <w:spacing w:val="40"/>
          <w:sz w:val="22"/>
        </w:rPr>
        <w:t> </w:t>
      </w:r>
      <w:r>
        <w:rPr>
          <w:sz w:val="22"/>
        </w:rPr>
        <w:t>Cauley</w:t>
      </w:r>
      <w:r>
        <w:rPr>
          <w:spacing w:val="40"/>
          <w:sz w:val="22"/>
        </w:rPr>
        <w:t> </w:t>
      </w:r>
      <w:r>
        <w:rPr>
          <w:sz w:val="22"/>
        </w:rPr>
        <w:t>JA,</w:t>
      </w:r>
      <w:r>
        <w:rPr>
          <w:spacing w:val="40"/>
          <w:sz w:val="22"/>
        </w:rPr>
        <w:t> </w:t>
      </w:r>
      <w:r>
        <w:rPr>
          <w:sz w:val="22"/>
        </w:rPr>
        <w:t>Cummings</w:t>
      </w:r>
      <w:r>
        <w:rPr>
          <w:spacing w:val="40"/>
          <w:sz w:val="22"/>
        </w:rPr>
        <w:t> </w:t>
      </w:r>
      <w:r>
        <w:rPr>
          <w:sz w:val="22"/>
        </w:rPr>
        <w:t>SR.</w:t>
      </w:r>
      <w:r>
        <w:rPr>
          <w:spacing w:val="40"/>
          <w:sz w:val="22"/>
        </w:rPr>
        <w:t> </w:t>
      </w:r>
      <w:r>
        <w:rPr>
          <w:sz w:val="22"/>
        </w:rPr>
        <w:t>Associations between low levels of serum estradiol, bone density, and fractures among elderly women: the study of osteoporotic fractures. </w:t>
      </w:r>
      <w:r>
        <w:rPr>
          <w:i/>
          <w:sz w:val="22"/>
        </w:rPr>
        <w:t>J Clin Endocrinol Metab</w:t>
      </w:r>
      <w:r>
        <w:rPr>
          <w:sz w:val="22"/>
        </w:rPr>
        <w:t>. 1998;83:2239.</w:t>
      </w:r>
    </w:p>
    <w:p>
      <w:pPr>
        <w:pStyle w:val="ListParagraph"/>
        <w:numPr>
          <w:ilvl w:val="0"/>
          <w:numId w:val="8"/>
        </w:numPr>
        <w:tabs>
          <w:tab w:pos="709" w:val="left" w:leader="none"/>
          <w:tab w:pos="718" w:val="left" w:leader="none"/>
        </w:tabs>
        <w:spacing w:line="256" w:lineRule="auto" w:before="0" w:after="0"/>
        <w:ind w:left="718" w:right="100" w:hanging="507"/>
        <w:jc w:val="both"/>
        <w:rPr>
          <w:sz w:val="22"/>
        </w:rPr>
      </w:pPr>
      <w:r>
        <w:rPr>
          <w:sz w:val="22"/>
        </w:rPr>
        <w:t>Cummings</w:t>
      </w:r>
      <w:r>
        <w:rPr>
          <w:spacing w:val="40"/>
          <w:sz w:val="22"/>
        </w:rPr>
        <w:t> </w:t>
      </w:r>
      <w:r>
        <w:rPr>
          <w:sz w:val="22"/>
        </w:rPr>
        <w:t>SR,</w:t>
      </w:r>
      <w:r>
        <w:rPr>
          <w:spacing w:val="40"/>
          <w:sz w:val="22"/>
        </w:rPr>
        <w:t> </w:t>
      </w:r>
      <w:r>
        <w:rPr>
          <w:sz w:val="22"/>
        </w:rPr>
        <w:t>Browner</w:t>
      </w:r>
      <w:r>
        <w:rPr>
          <w:spacing w:val="40"/>
          <w:sz w:val="22"/>
        </w:rPr>
        <w:t> </w:t>
      </w:r>
      <w:r>
        <w:rPr>
          <w:sz w:val="22"/>
        </w:rPr>
        <w:t>WS,</w:t>
      </w:r>
      <w:r>
        <w:rPr>
          <w:spacing w:val="40"/>
          <w:sz w:val="22"/>
        </w:rPr>
        <w:t> </w:t>
      </w:r>
      <w:r>
        <w:rPr>
          <w:sz w:val="22"/>
        </w:rPr>
        <w:t>Bauer</w:t>
      </w:r>
      <w:r>
        <w:rPr>
          <w:spacing w:val="40"/>
          <w:sz w:val="22"/>
        </w:rPr>
        <w:t> </w:t>
      </w:r>
      <w:r>
        <w:rPr>
          <w:sz w:val="22"/>
        </w:rPr>
        <w:t>D,</w:t>
      </w:r>
      <w:r>
        <w:rPr>
          <w:spacing w:val="40"/>
          <w:sz w:val="22"/>
        </w:rPr>
        <w:t> </w:t>
      </w:r>
      <w:r>
        <w:rPr>
          <w:sz w:val="22"/>
        </w:rPr>
        <w:t>et</w:t>
      </w:r>
      <w:r>
        <w:rPr>
          <w:spacing w:val="40"/>
          <w:sz w:val="22"/>
        </w:rPr>
        <w:t> </w:t>
      </w:r>
      <w:r>
        <w:rPr>
          <w:sz w:val="22"/>
        </w:rPr>
        <w:t>al;</w:t>
      </w:r>
      <w:r>
        <w:rPr>
          <w:spacing w:val="40"/>
          <w:sz w:val="22"/>
        </w:rPr>
        <w:t> </w:t>
      </w:r>
      <w:r>
        <w:rPr>
          <w:sz w:val="22"/>
        </w:rPr>
        <w:t>Study</w:t>
      </w:r>
      <w:r>
        <w:rPr>
          <w:spacing w:val="40"/>
          <w:sz w:val="22"/>
        </w:rPr>
        <w:t> </w:t>
      </w:r>
      <w:r>
        <w:rPr>
          <w:sz w:val="22"/>
        </w:rPr>
        <w:t>of</w:t>
      </w:r>
      <w:r>
        <w:rPr>
          <w:spacing w:val="40"/>
          <w:sz w:val="22"/>
        </w:rPr>
        <w:t> </w:t>
      </w:r>
      <w:r>
        <w:rPr>
          <w:sz w:val="22"/>
        </w:rPr>
        <w:t>Osteoporotic</w:t>
      </w:r>
      <w:r>
        <w:rPr>
          <w:spacing w:val="40"/>
          <w:sz w:val="22"/>
        </w:rPr>
        <w:t> </w:t>
      </w:r>
      <w:r>
        <w:rPr>
          <w:sz w:val="22"/>
        </w:rPr>
        <w:t>Fractures</w:t>
      </w:r>
      <w:r>
        <w:rPr>
          <w:spacing w:val="40"/>
          <w:sz w:val="22"/>
        </w:rPr>
        <w:t> </w:t>
      </w:r>
      <w:r>
        <w:rPr>
          <w:sz w:val="22"/>
        </w:rPr>
        <w:t>Research Group. Endogenous hormones and the risk of hip and vertebral fractures among older </w:t>
      </w:r>
      <w:r>
        <w:rPr>
          <w:sz w:val="22"/>
        </w:rPr>
        <w:t>women.</w:t>
      </w:r>
      <w:r>
        <w:rPr>
          <w:spacing w:val="80"/>
          <w:w w:val="150"/>
          <w:sz w:val="22"/>
        </w:rPr>
        <w:t> </w:t>
      </w:r>
      <w:r>
        <w:rPr>
          <w:i/>
          <w:sz w:val="22"/>
        </w:rPr>
        <w:t>N Engl J Med</w:t>
      </w:r>
      <w:r>
        <w:rPr>
          <w:sz w:val="22"/>
        </w:rPr>
        <w:t>. 1998;339:733.</w:t>
      </w:r>
    </w:p>
    <w:p>
      <w:pPr>
        <w:pStyle w:val="ListParagraph"/>
        <w:numPr>
          <w:ilvl w:val="0"/>
          <w:numId w:val="8"/>
        </w:numPr>
        <w:tabs>
          <w:tab w:pos="709" w:val="left" w:leader="none"/>
          <w:tab w:pos="718" w:val="left" w:leader="none"/>
        </w:tabs>
        <w:spacing w:line="256" w:lineRule="auto" w:before="0" w:after="0"/>
        <w:ind w:left="718" w:right="110" w:hanging="507"/>
        <w:jc w:val="both"/>
        <w:rPr>
          <w:sz w:val="22"/>
        </w:rPr>
      </w:pPr>
      <w:r>
        <w:rPr>
          <w:sz w:val="22"/>
        </w:rPr>
        <w:t>Naessen</w:t>
      </w:r>
      <w:r>
        <w:rPr>
          <w:spacing w:val="21"/>
          <w:sz w:val="22"/>
        </w:rPr>
        <w:t> </w:t>
      </w:r>
      <w:r>
        <w:rPr>
          <w:sz w:val="22"/>
        </w:rPr>
        <w:t>T,</w:t>
      </w:r>
      <w:r>
        <w:rPr>
          <w:spacing w:val="21"/>
          <w:sz w:val="22"/>
        </w:rPr>
        <w:t> </w:t>
      </w:r>
      <w:r>
        <w:rPr>
          <w:sz w:val="22"/>
        </w:rPr>
        <w:t>Berglund</w:t>
      </w:r>
      <w:r>
        <w:rPr>
          <w:spacing w:val="21"/>
          <w:sz w:val="22"/>
        </w:rPr>
        <w:t> </w:t>
      </w:r>
      <w:r>
        <w:rPr>
          <w:sz w:val="22"/>
        </w:rPr>
        <w:t>L,</w:t>
      </w:r>
      <w:r>
        <w:rPr>
          <w:spacing w:val="21"/>
          <w:sz w:val="22"/>
        </w:rPr>
        <w:t> </w:t>
      </w:r>
      <w:r>
        <w:rPr>
          <w:sz w:val="22"/>
        </w:rPr>
        <w:t>Ulmsten</w:t>
      </w:r>
      <w:r>
        <w:rPr>
          <w:spacing w:val="21"/>
          <w:sz w:val="22"/>
        </w:rPr>
        <w:t> </w:t>
      </w:r>
      <w:r>
        <w:rPr>
          <w:sz w:val="22"/>
        </w:rPr>
        <w:t>U.</w:t>
      </w:r>
      <w:r>
        <w:rPr>
          <w:spacing w:val="21"/>
          <w:sz w:val="22"/>
        </w:rPr>
        <w:t> </w:t>
      </w:r>
      <w:r>
        <w:rPr>
          <w:sz w:val="22"/>
        </w:rPr>
        <w:t>Bone</w:t>
      </w:r>
      <w:r>
        <w:rPr>
          <w:spacing w:val="20"/>
          <w:sz w:val="22"/>
        </w:rPr>
        <w:t> </w:t>
      </w:r>
      <w:r>
        <w:rPr>
          <w:sz w:val="22"/>
        </w:rPr>
        <w:t>loss</w:t>
      </w:r>
      <w:r>
        <w:rPr>
          <w:spacing w:val="20"/>
          <w:sz w:val="22"/>
        </w:rPr>
        <w:t> </w:t>
      </w:r>
      <w:r>
        <w:rPr>
          <w:sz w:val="22"/>
        </w:rPr>
        <w:t>in</w:t>
      </w:r>
      <w:r>
        <w:rPr>
          <w:spacing w:val="20"/>
          <w:sz w:val="22"/>
        </w:rPr>
        <w:t> </w:t>
      </w:r>
      <w:r>
        <w:rPr>
          <w:sz w:val="22"/>
        </w:rPr>
        <w:t>elderly</w:t>
      </w:r>
      <w:r>
        <w:rPr>
          <w:spacing w:val="20"/>
          <w:sz w:val="22"/>
        </w:rPr>
        <w:t> </w:t>
      </w:r>
      <w:r>
        <w:rPr>
          <w:sz w:val="22"/>
        </w:rPr>
        <w:t>women</w:t>
      </w:r>
      <w:r>
        <w:rPr>
          <w:spacing w:val="20"/>
          <w:sz w:val="22"/>
        </w:rPr>
        <w:t> </w:t>
      </w:r>
      <w:r>
        <w:rPr>
          <w:sz w:val="22"/>
        </w:rPr>
        <w:t>prevented</w:t>
      </w:r>
      <w:r>
        <w:rPr>
          <w:spacing w:val="20"/>
          <w:sz w:val="22"/>
        </w:rPr>
        <w:t> </w:t>
      </w:r>
      <w:r>
        <w:rPr>
          <w:sz w:val="22"/>
        </w:rPr>
        <w:t>by</w:t>
      </w:r>
      <w:r>
        <w:rPr>
          <w:spacing w:val="20"/>
          <w:sz w:val="22"/>
        </w:rPr>
        <w:t> </w:t>
      </w:r>
      <w:r>
        <w:rPr>
          <w:sz w:val="22"/>
        </w:rPr>
        <w:t>ultralow</w:t>
      </w:r>
      <w:r>
        <w:rPr>
          <w:spacing w:val="20"/>
          <w:sz w:val="22"/>
        </w:rPr>
        <w:t> </w:t>
      </w:r>
      <w:r>
        <w:rPr>
          <w:sz w:val="22"/>
        </w:rPr>
        <w:t>doses of parenteral 17beta-estradiol. </w:t>
      </w:r>
      <w:r>
        <w:rPr>
          <w:i/>
          <w:sz w:val="22"/>
        </w:rPr>
        <w:t>Am J Obstet Gynecol</w:t>
      </w:r>
      <w:r>
        <w:rPr>
          <w:sz w:val="22"/>
        </w:rPr>
        <w:t>. 1997;177:115.</w:t>
      </w:r>
    </w:p>
    <w:p>
      <w:pPr>
        <w:pStyle w:val="ListParagraph"/>
        <w:numPr>
          <w:ilvl w:val="0"/>
          <w:numId w:val="8"/>
        </w:numPr>
        <w:tabs>
          <w:tab w:pos="709" w:val="left" w:leader="none"/>
          <w:tab w:pos="718" w:val="left" w:leader="none"/>
        </w:tabs>
        <w:spacing w:line="256" w:lineRule="auto" w:before="0" w:after="0"/>
        <w:ind w:left="718" w:right="99" w:hanging="507"/>
        <w:jc w:val="both"/>
        <w:rPr>
          <w:sz w:val="22"/>
        </w:rPr>
      </w:pPr>
      <w:r>
        <w:rPr>
          <w:sz w:val="22"/>
        </w:rPr>
        <w:t>Recker RR, Davies KM, Dowd RM, Heaney RP. The effect of low-dose continuous </w:t>
      </w:r>
      <w:r>
        <w:rPr>
          <w:sz w:val="22"/>
        </w:rPr>
        <w:t>estrogen</w:t>
      </w:r>
      <w:r>
        <w:rPr>
          <w:spacing w:val="40"/>
          <w:sz w:val="22"/>
        </w:rPr>
        <w:t> </w:t>
      </w:r>
      <w:r>
        <w:rPr>
          <w:sz w:val="22"/>
        </w:rPr>
        <w:t>and</w:t>
      </w:r>
      <w:r>
        <w:rPr>
          <w:spacing w:val="40"/>
          <w:sz w:val="22"/>
        </w:rPr>
        <w:t> </w:t>
      </w:r>
      <w:r>
        <w:rPr>
          <w:sz w:val="22"/>
        </w:rPr>
        <w:t>progesterone</w:t>
      </w:r>
      <w:r>
        <w:rPr>
          <w:spacing w:val="40"/>
          <w:sz w:val="22"/>
        </w:rPr>
        <w:t> </w:t>
      </w:r>
      <w:r>
        <w:rPr>
          <w:sz w:val="22"/>
        </w:rPr>
        <w:t>therapy</w:t>
      </w:r>
      <w:r>
        <w:rPr>
          <w:spacing w:val="40"/>
          <w:sz w:val="22"/>
        </w:rPr>
        <w:t> </w:t>
      </w:r>
      <w:r>
        <w:rPr>
          <w:sz w:val="22"/>
        </w:rPr>
        <w:t>with</w:t>
      </w:r>
      <w:r>
        <w:rPr>
          <w:spacing w:val="40"/>
          <w:sz w:val="22"/>
        </w:rPr>
        <w:t> </w:t>
      </w:r>
      <w:r>
        <w:rPr>
          <w:sz w:val="22"/>
        </w:rPr>
        <w:t>calcium</w:t>
      </w:r>
      <w:r>
        <w:rPr>
          <w:spacing w:val="40"/>
          <w:sz w:val="22"/>
        </w:rPr>
        <w:t> </w:t>
      </w:r>
      <w:r>
        <w:rPr>
          <w:sz w:val="22"/>
        </w:rPr>
        <w:t>and</w:t>
      </w:r>
      <w:r>
        <w:rPr>
          <w:spacing w:val="40"/>
          <w:sz w:val="22"/>
        </w:rPr>
        <w:t> </w:t>
      </w:r>
      <w:r>
        <w:rPr>
          <w:sz w:val="22"/>
        </w:rPr>
        <w:t>vitamin</w:t>
      </w:r>
      <w:r>
        <w:rPr>
          <w:spacing w:val="40"/>
          <w:sz w:val="22"/>
        </w:rPr>
        <w:t> </w:t>
      </w:r>
      <w:r>
        <w:rPr>
          <w:sz w:val="22"/>
        </w:rPr>
        <w:t>D</w:t>
      </w:r>
      <w:r>
        <w:rPr>
          <w:spacing w:val="40"/>
          <w:sz w:val="22"/>
        </w:rPr>
        <w:t> </w:t>
      </w:r>
      <w:r>
        <w:rPr>
          <w:sz w:val="22"/>
        </w:rPr>
        <w:t>on</w:t>
      </w:r>
      <w:r>
        <w:rPr>
          <w:spacing w:val="40"/>
          <w:sz w:val="22"/>
        </w:rPr>
        <w:t> </w:t>
      </w:r>
      <w:r>
        <w:rPr>
          <w:sz w:val="22"/>
        </w:rPr>
        <w:t>bone</w:t>
      </w:r>
      <w:r>
        <w:rPr>
          <w:spacing w:val="40"/>
          <w:sz w:val="22"/>
        </w:rPr>
        <w:t> </w:t>
      </w:r>
      <w:r>
        <w:rPr>
          <w:sz w:val="22"/>
        </w:rPr>
        <w:t>in</w:t>
      </w:r>
      <w:r>
        <w:rPr>
          <w:spacing w:val="40"/>
          <w:sz w:val="22"/>
        </w:rPr>
        <w:t> </w:t>
      </w:r>
      <w:r>
        <w:rPr>
          <w:sz w:val="22"/>
        </w:rPr>
        <w:t>elderly</w:t>
      </w:r>
      <w:r>
        <w:rPr>
          <w:spacing w:val="40"/>
          <w:sz w:val="22"/>
        </w:rPr>
        <w:t> </w:t>
      </w:r>
      <w:r>
        <w:rPr>
          <w:sz w:val="22"/>
        </w:rPr>
        <w:t>women:</w:t>
      </w:r>
      <w:r>
        <w:rPr>
          <w:spacing w:val="40"/>
          <w:sz w:val="22"/>
        </w:rPr>
        <w:t> </w:t>
      </w:r>
      <w:r>
        <w:rPr>
          <w:sz w:val="22"/>
        </w:rPr>
        <w:t>a randomized, controlled trial. </w:t>
      </w:r>
      <w:r>
        <w:rPr>
          <w:i/>
          <w:sz w:val="22"/>
        </w:rPr>
        <w:t>Ann Intern Med</w:t>
      </w:r>
      <w:r>
        <w:rPr>
          <w:sz w:val="22"/>
        </w:rPr>
        <w:t>. 1999;130:897.</w:t>
      </w:r>
    </w:p>
    <w:p>
      <w:pPr>
        <w:pStyle w:val="ListParagraph"/>
        <w:numPr>
          <w:ilvl w:val="0"/>
          <w:numId w:val="8"/>
        </w:numPr>
        <w:tabs>
          <w:tab w:pos="709" w:val="left" w:leader="none"/>
          <w:tab w:pos="718" w:val="left" w:leader="none"/>
        </w:tabs>
        <w:spacing w:line="256" w:lineRule="auto" w:before="0" w:after="0"/>
        <w:ind w:left="718" w:right="103" w:hanging="507"/>
        <w:jc w:val="both"/>
        <w:rPr>
          <w:sz w:val="22"/>
        </w:rPr>
      </w:pPr>
      <w:r>
        <w:rPr>
          <w:sz w:val="22"/>
        </w:rPr>
        <w:t>Ettinger B, Genant HK, Cann CE. Postmenopausal bone loss is prevented by treatment </w:t>
      </w:r>
      <w:r>
        <w:rPr>
          <w:sz w:val="22"/>
        </w:rPr>
        <w:t>with</w:t>
      </w:r>
      <w:r>
        <w:rPr>
          <w:spacing w:val="80"/>
          <w:sz w:val="22"/>
        </w:rPr>
        <w:t> </w:t>
      </w:r>
      <w:r>
        <w:rPr>
          <w:sz w:val="22"/>
        </w:rPr>
        <w:t>low-dosage estrogen with calcium. </w:t>
      </w:r>
      <w:r>
        <w:rPr>
          <w:i/>
          <w:sz w:val="22"/>
        </w:rPr>
        <w:t>Ann Intern Med</w:t>
      </w:r>
      <w:r>
        <w:rPr>
          <w:sz w:val="22"/>
        </w:rPr>
        <w:t>. 1987;106:40.</w:t>
      </w:r>
    </w:p>
    <w:p>
      <w:pPr>
        <w:pStyle w:val="ListParagraph"/>
        <w:numPr>
          <w:ilvl w:val="0"/>
          <w:numId w:val="8"/>
        </w:numPr>
        <w:tabs>
          <w:tab w:pos="709" w:val="left" w:leader="none"/>
          <w:tab w:pos="718" w:val="left" w:leader="none"/>
        </w:tabs>
        <w:spacing w:line="256" w:lineRule="auto" w:before="0" w:after="0"/>
        <w:ind w:left="718" w:right="107" w:hanging="507"/>
        <w:jc w:val="both"/>
        <w:rPr>
          <w:sz w:val="22"/>
        </w:rPr>
      </w:pPr>
      <w:r>
        <w:rPr>
          <w:sz w:val="22"/>
        </w:rPr>
        <w:t>Gass</w:t>
      </w:r>
      <w:r>
        <w:rPr>
          <w:spacing w:val="40"/>
          <w:sz w:val="22"/>
        </w:rPr>
        <w:t> </w:t>
      </w:r>
      <w:r>
        <w:rPr>
          <w:sz w:val="22"/>
        </w:rPr>
        <w:t>M,</w:t>
      </w:r>
      <w:r>
        <w:rPr>
          <w:spacing w:val="40"/>
          <w:sz w:val="22"/>
        </w:rPr>
        <w:t> </w:t>
      </w:r>
      <w:r>
        <w:rPr>
          <w:sz w:val="22"/>
        </w:rPr>
        <w:t>Liu</w:t>
      </w:r>
      <w:r>
        <w:rPr>
          <w:spacing w:val="40"/>
          <w:sz w:val="22"/>
        </w:rPr>
        <w:t> </w:t>
      </w:r>
      <w:r>
        <w:rPr>
          <w:sz w:val="22"/>
        </w:rPr>
        <w:t>J,</w:t>
      </w:r>
      <w:r>
        <w:rPr>
          <w:spacing w:val="40"/>
          <w:sz w:val="22"/>
        </w:rPr>
        <w:t> </w:t>
      </w:r>
      <w:r>
        <w:rPr>
          <w:sz w:val="22"/>
        </w:rPr>
        <w:t>Rebar</w:t>
      </w:r>
      <w:r>
        <w:rPr>
          <w:spacing w:val="40"/>
          <w:sz w:val="22"/>
        </w:rPr>
        <w:t> </w:t>
      </w:r>
      <w:r>
        <w:rPr>
          <w:sz w:val="22"/>
        </w:rPr>
        <w:t>RW.</w:t>
      </w:r>
      <w:r>
        <w:rPr>
          <w:spacing w:val="40"/>
          <w:sz w:val="22"/>
        </w:rPr>
        <w:t> </w:t>
      </w:r>
      <w:r>
        <w:rPr>
          <w:sz w:val="22"/>
        </w:rPr>
        <w:t>The</w:t>
      </w:r>
      <w:r>
        <w:rPr>
          <w:spacing w:val="40"/>
          <w:sz w:val="22"/>
        </w:rPr>
        <w:t> </w:t>
      </w:r>
      <w:r>
        <w:rPr>
          <w:sz w:val="22"/>
        </w:rPr>
        <w:t>effect</w:t>
      </w:r>
      <w:r>
        <w:rPr>
          <w:spacing w:val="40"/>
          <w:sz w:val="22"/>
        </w:rPr>
        <w:t> </w:t>
      </w:r>
      <w:r>
        <w:rPr>
          <w:sz w:val="22"/>
        </w:rPr>
        <w:t>of</w:t>
      </w:r>
      <w:r>
        <w:rPr>
          <w:spacing w:val="40"/>
          <w:sz w:val="22"/>
        </w:rPr>
        <w:t> </w:t>
      </w:r>
      <w:r>
        <w:rPr>
          <w:sz w:val="22"/>
        </w:rPr>
        <w:t>low-dose</w:t>
      </w:r>
      <w:r>
        <w:rPr>
          <w:spacing w:val="40"/>
          <w:sz w:val="22"/>
        </w:rPr>
        <w:t> </w:t>
      </w:r>
      <w:r>
        <w:rPr>
          <w:sz w:val="22"/>
        </w:rPr>
        <w:t>conjugated</w:t>
      </w:r>
      <w:r>
        <w:rPr>
          <w:spacing w:val="40"/>
          <w:sz w:val="22"/>
        </w:rPr>
        <w:t> </w:t>
      </w:r>
      <w:r>
        <w:rPr>
          <w:sz w:val="22"/>
        </w:rPr>
        <w:t>equine</w:t>
      </w:r>
      <w:r>
        <w:rPr>
          <w:spacing w:val="40"/>
          <w:sz w:val="22"/>
        </w:rPr>
        <w:t> </w:t>
      </w:r>
      <w:r>
        <w:rPr>
          <w:sz w:val="22"/>
        </w:rPr>
        <w:t>estrogens</w:t>
      </w:r>
      <w:r>
        <w:rPr>
          <w:spacing w:val="40"/>
          <w:sz w:val="22"/>
        </w:rPr>
        <w:t> </w:t>
      </w:r>
      <w:r>
        <w:rPr>
          <w:sz w:val="22"/>
        </w:rPr>
        <w:t>and</w:t>
      </w:r>
      <w:r>
        <w:rPr>
          <w:spacing w:val="40"/>
          <w:sz w:val="22"/>
        </w:rPr>
        <w:t> </w:t>
      </w:r>
      <w:r>
        <w:rPr>
          <w:sz w:val="22"/>
        </w:rPr>
        <w:t>cyclic MPA on bone density. </w:t>
      </w:r>
      <w:r>
        <w:rPr>
          <w:i/>
          <w:sz w:val="22"/>
        </w:rPr>
        <w:t>Maturitas</w:t>
      </w:r>
      <w:r>
        <w:rPr>
          <w:sz w:val="22"/>
        </w:rPr>
        <w:t>. 2002;26:143.</w:t>
      </w:r>
    </w:p>
    <w:p>
      <w:pPr>
        <w:pStyle w:val="ListParagraph"/>
        <w:numPr>
          <w:ilvl w:val="0"/>
          <w:numId w:val="8"/>
        </w:numPr>
        <w:tabs>
          <w:tab w:pos="709" w:val="left" w:leader="none"/>
          <w:tab w:pos="718" w:val="left" w:leader="none"/>
        </w:tabs>
        <w:spacing w:line="256" w:lineRule="auto" w:before="0" w:after="0"/>
        <w:ind w:left="718" w:right="101" w:hanging="507"/>
        <w:jc w:val="both"/>
        <w:rPr>
          <w:sz w:val="22"/>
        </w:rPr>
      </w:pPr>
      <w:r>
        <w:rPr>
          <w:sz w:val="22"/>
        </w:rPr>
        <w:t>Mizunuma H, Okano H, Soda M, et al. Prevention of postmenopausal bone loss with minimal uterine bleeding using low dose continuous estrogen/progestin therapy: a 2-year </w:t>
      </w:r>
      <w:r>
        <w:rPr>
          <w:sz w:val="22"/>
        </w:rPr>
        <w:t>prospective study. </w:t>
      </w:r>
      <w:r>
        <w:rPr>
          <w:i/>
          <w:sz w:val="22"/>
        </w:rPr>
        <w:t>Maturitas</w:t>
      </w:r>
      <w:r>
        <w:rPr>
          <w:sz w:val="22"/>
        </w:rPr>
        <w:t>. 1997;27:69.</w:t>
      </w:r>
    </w:p>
    <w:p>
      <w:pPr>
        <w:pStyle w:val="ListParagraph"/>
        <w:numPr>
          <w:ilvl w:val="0"/>
          <w:numId w:val="8"/>
        </w:numPr>
        <w:tabs>
          <w:tab w:pos="709" w:val="left" w:leader="none"/>
          <w:tab w:pos="718" w:val="left" w:leader="none"/>
        </w:tabs>
        <w:spacing w:line="256" w:lineRule="auto" w:before="0" w:after="0"/>
        <w:ind w:left="718" w:right="105" w:hanging="507"/>
        <w:jc w:val="both"/>
        <w:rPr>
          <w:sz w:val="22"/>
        </w:rPr>
      </w:pPr>
      <w:r>
        <w:rPr>
          <w:sz w:val="22"/>
        </w:rPr>
        <w:t>Prestwood KM, Kenny AM, Kleppinger A, Kulldorff M. Ultralow-dose micronized </w:t>
      </w:r>
      <w:r>
        <w:rPr>
          <w:sz w:val="22"/>
        </w:rPr>
        <w:t>17beta-estradiol</w:t>
      </w:r>
      <w:r>
        <w:rPr>
          <w:spacing w:val="40"/>
          <w:sz w:val="22"/>
        </w:rPr>
        <w:t> </w:t>
      </w:r>
      <w:r>
        <w:rPr>
          <w:sz w:val="22"/>
        </w:rPr>
        <w:t>and</w:t>
      </w:r>
      <w:r>
        <w:rPr>
          <w:spacing w:val="40"/>
          <w:sz w:val="22"/>
        </w:rPr>
        <w:t> </w:t>
      </w:r>
      <w:r>
        <w:rPr>
          <w:sz w:val="22"/>
        </w:rPr>
        <w:t>bone</w:t>
      </w:r>
      <w:r>
        <w:rPr>
          <w:spacing w:val="40"/>
          <w:sz w:val="22"/>
        </w:rPr>
        <w:t> </w:t>
      </w:r>
      <w:r>
        <w:rPr>
          <w:sz w:val="22"/>
        </w:rPr>
        <w:t>density</w:t>
      </w:r>
      <w:r>
        <w:rPr>
          <w:spacing w:val="40"/>
          <w:sz w:val="22"/>
        </w:rPr>
        <w:t> </w:t>
      </w:r>
      <w:r>
        <w:rPr>
          <w:sz w:val="22"/>
        </w:rPr>
        <w:t>and</w:t>
      </w:r>
      <w:r>
        <w:rPr>
          <w:spacing w:val="40"/>
          <w:sz w:val="22"/>
        </w:rPr>
        <w:t> </w:t>
      </w:r>
      <w:r>
        <w:rPr>
          <w:sz w:val="22"/>
        </w:rPr>
        <w:t>bone</w:t>
      </w:r>
      <w:r>
        <w:rPr>
          <w:spacing w:val="40"/>
          <w:sz w:val="22"/>
        </w:rPr>
        <w:t> </w:t>
      </w:r>
      <w:r>
        <w:rPr>
          <w:sz w:val="22"/>
        </w:rPr>
        <w:t>metabolism</w:t>
      </w:r>
      <w:r>
        <w:rPr>
          <w:spacing w:val="40"/>
          <w:sz w:val="22"/>
        </w:rPr>
        <w:t> </w:t>
      </w:r>
      <w:r>
        <w:rPr>
          <w:sz w:val="22"/>
        </w:rPr>
        <w:t>in</w:t>
      </w:r>
      <w:r>
        <w:rPr>
          <w:spacing w:val="40"/>
          <w:sz w:val="22"/>
        </w:rPr>
        <w:t> </w:t>
      </w:r>
      <w:r>
        <w:rPr>
          <w:sz w:val="22"/>
        </w:rPr>
        <w:t>older</w:t>
      </w:r>
      <w:r>
        <w:rPr>
          <w:spacing w:val="40"/>
          <w:sz w:val="22"/>
        </w:rPr>
        <w:t> </w:t>
      </w:r>
      <w:r>
        <w:rPr>
          <w:sz w:val="22"/>
        </w:rPr>
        <w:t>women:</w:t>
      </w:r>
      <w:r>
        <w:rPr>
          <w:spacing w:val="40"/>
          <w:sz w:val="22"/>
        </w:rPr>
        <w:t> </w:t>
      </w:r>
      <w:r>
        <w:rPr>
          <w:sz w:val="22"/>
        </w:rPr>
        <w:t>a</w:t>
      </w:r>
      <w:r>
        <w:rPr>
          <w:spacing w:val="40"/>
          <w:sz w:val="22"/>
        </w:rPr>
        <w:t> </w:t>
      </w:r>
      <w:r>
        <w:rPr>
          <w:sz w:val="22"/>
        </w:rPr>
        <w:t>randomized</w:t>
      </w:r>
      <w:r>
        <w:rPr>
          <w:spacing w:val="40"/>
          <w:sz w:val="22"/>
        </w:rPr>
        <w:t> </w:t>
      </w:r>
      <w:r>
        <w:rPr>
          <w:sz w:val="22"/>
        </w:rPr>
        <w:t>controlled trial. </w:t>
      </w:r>
      <w:r>
        <w:rPr>
          <w:i/>
          <w:sz w:val="22"/>
        </w:rPr>
        <w:t>JAMA</w:t>
      </w:r>
      <w:r>
        <w:rPr>
          <w:sz w:val="22"/>
        </w:rPr>
        <w:t>. 2003;290:1042.</w:t>
      </w:r>
    </w:p>
    <w:p>
      <w:pPr>
        <w:pStyle w:val="ListParagraph"/>
        <w:numPr>
          <w:ilvl w:val="0"/>
          <w:numId w:val="8"/>
        </w:numPr>
        <w:tabs>
          <w:tab w:pos="709" w:val="left" w:leader="none"/>
          <w:tab w:pos="718" w:val="left" w:leader="none"/>
        </w:tabs>
        <w:spacing w:line="256" w:lineRule="auto" w:before="0" w:after="0"/>
        <w:ind w:left="718" w:right="109" w:hanging="507"/>
        <w:jc w:val="both"/>
        <w:rPr>
          <w:sz w:val="22"/>
        </w:rPr>
      </w:pPr>
      <w:r>
        <w:rPr>
          <w:sz w:val="22"/>
        </w:rPr>
        <w:t>Lindsay</w:t>
      </w:r>
      <w:r>
        <w:rPr>
          <w:spacing w:val="40"/>
          <w:sz w:val="22"/>
        </w:rPr>
        <w:t> </w:t>
      </w:r>
      <w:r>
        <w:rPr>
          <w:sz w:val="22"/>
        </w:rPr>
        <w:t>R,</w:t>
      </w:r>
      <w:r>
        <w:rPr>
          <w:spacing w:val="40"/>
          <w:sz w:val="22"/>
        </w:rPr>
        <w:t> </w:t>
      </w:r>
      <w:r>
        <w:rPr>
          <w:sz w:val="22"/>
        </w:rPr>
        <w:t>Gallagher</w:t>
      </w:r>
      <w:r>
        <w:rPr>
          <w:spacing w:val="40"/>
          <w:sz w:val="22"/>
        </w:rPr>
        <w:t> </w:t>
      </w:r>
      <w:r>
        <w:rPr>
          <w:sz w:val="22"/>
        </w:rPr>
        <w:t>JC,</w:t>
      </w:r>
      <w:r>
        <w:rPr>
          <w:spacing w:val="40"/>
          <w:sz w:val="22"/>
        </w:rPr>
        <w:t> </w:t>
      </w:r>
      <w:r>
        <w:rPr>
          <w:sz w:val="22"/>
        </w:rPr>
        <w:t>Kleerekoper</w:t>
      </w:r>
      <w:r>
        <w:rPr>
          <w:spacing w:val="40"/>
          <w:sz w:val="22"/>
        </w:rPr>
        <w:t> </w:t>
      </w:r>
      <w:r>
        <w:rPr>
          <w:sz w:val="22"/>
        </w:rPr>
        <w:t>M,</w:t>
      </w:r>
      <w:r>
        <w:rPr>
          <w:spacing w:val="40"/>
          <w:sz w:val="22"/>
        </w:rPr>
        <w:t> </w:t>
      </w:r>
      <w:r>
        <w:rPr>
          <w:sz w:val="22"/>
        </w:rPr>
        <w:t>Pickar</w:t>
      </w:r>
      <w:r>
        <w:rPr>
          <w:spacing w:val="40"/>
          <w:sz w:val="22"/>
        </w:rPr>
        <w:t> </w:t>
      </w:r>
      <w:r>
        <w:rPr>
          <w:sz w:val="22"/>
        </w:rPr>
        <w:t>JH.</w:t>
      </w:r>
      <w:r>
        <w:rPr>
          <w:spacing w:val="40"/>
          <w:sz w:val="22"/>
        </w:rPr>
        <w:t> </w:t>
      </w:r>
      <w:r>
        <w:rPr>
          <w:sz w:val="22"/>
        </w:rPr>
        <w:t>Effect of lower doses of conjugated equine estrogens with and without medroxyprogesterone acetate on bone in </w:t>
      </w:r>
      <w:r>
        <w:rPr>
          <w:sz w:val="22"/>
        </w:rPr>
        <w:t>early postmenopausal women. </w:t>
      </w:r>
      <w:r>
        <w:rPr>
          <w:i/>
          <w:sz w:val="22"/>
        </w:rPr>
        <w:t>JAMA</w:t>
      </w:r>
      <w:r>
        <w:rPr>
          <w:sz w:val="22"/>
        </w:rPr>
        <w:t>. 2002;287:2668.</w:t>
      </w:r>
    </w:p>
    <w:p>
      <w:pPr>
        <w:pStyle w:val="ListParagraph"/>
        <w:numPr>
          <w:ilvl w:val="0"/>
          <w:numId w:val="8"/>
        </w:numPr>
        <w:tabs>
          <w:tab w:pos="709" w:val="left" w:leader="none"/>
          <w:tab w:pos="718" w:val="left" w:leader="none"/>
        </w:tabs>
        <w:spacing w:line="256" w:lineRule="auto" w:before="0" w:after="0"/>
        <w:ind w:left="718" w:right="101" w:hanging="507"/>
        <w:jc w:val="both"/>
        <w:rPr>
          <w:sz w:val="22"/>
        </w:rPr>
      </w:pPr>
      <w:r>
        <w:rPr>
          <w:sz w:val="22"/>
        </w:rPr>
        <w:t>Prior</w:t>
      </w:r>
      <w:r>
        <w:rPr>
          <w:spacing w:val="40"/>
          <w:sz w:val="22"/>
        </w:rPr>
        <w:t> </w:t>
      </w:r>
      <w:r>
        <w:rPr>
          <w:sz w:val="22"/>
        </w:rPr>
        <w:t>JC,</w:t>
      </w:r>
      <w:r>
        <w:rPr>
          <w:spacing w:val="40"/>
          <w:sz w:val="22"/>
        </w:rPr>
        <w:t> </w:t>
      </w:r>
      <w:r>
        <w:rPr>
          <w:sz w:val="22"/>
        </w:rPr>
        <w:t>Vigna</w:t>
      </w:r>
      <w:r>
        <w:rPr>
          <w:spacing w:val="40"/>
          <w:sz w:val="22"/>
        </w:rPr>
        <w:t> </w:t>
      </w:r>
      <w:r>
        <w:rPr>
          <w:sz w:val="22"/>
        </w:rPr>
        <w:t>YM,</w:t>
      </w:r>
      <w:r>
        <w:rPr>
          <w:spacing w:val="40"/>
          <w:sz w:val="22"/>
        </w:rPr>
        <w:t> </w:t>
      </w:r>
      <w:r>
        <w:rPr>
          <w:sz w:val="22"/>
        </w:rPr>
        <w:t>Barr</w:t>
      </w:r>
      <w:r>
        <w:rPr>
          <w:spacing w:val="40"/>
          <w:sz w:val="22"/>
        </w:rPr>
        <w:t> </w:t>
      </w:r>
      <w:r>
        <w:rPr>
          <w:sz w:val="22"/>
        </w:rPr>
        <w:t>SI,</w:t>
      </w:r>
      <w:r>
        <w:rPr>
          <w:spacing w:val="40"/>
          <w:sz w:val="22"/>
        </w:rPr>
        <w:t> </w:t>
      </w:r>
      <w:r>
        <w:rPr>
          <w:sz w:val="22"/>
        </w:rPr>
        <w:t>Rexworthy</w:t>
      </w:r>
      <w:r>
        <w:rPr>
          <w:spacing w:val="40"/>
          <w:sz w:val="22"/>
        </w:rPr>
        <w:t> </w:t>
      </w:r>
      <w:r>
        <w:rPr>
          <w:sz w:val="22"/>
        </w:rPr>
        <w:t>C,</w:t>
      </w:r>
      <w:r>
        <w:rPr>
          <w:spacing w:val="40"/>
          <w:sz w:val="22"/>
        </w:rPr>
        <w:t> </w:t>
      </w:r>
      <w:r>
        <w:rPr>
          <w:sz w:val="22"/>
        </w:rPr>
        <w:t>Lentle</w:t>
      </w:r>
      <w:r>
        <w:rPr>
          <w:spacing w:val="40"/>
          <w:sz w:val="22"/>
        </w:rPr>
        <w:t> </w:t>
      </w:r>
      <w:r>
        <w:rPr>
          <w:sz w:val="22"/>
        </w:rPr>
        <w:t>BC.</w:t>
      </w:r>
      <w:r>
        <w:rPr>
          <w:spacing w:val="40"/>
          <w:sz w:val="22"/>
        </w:rPr>
        <w:t> </w:t>
      </w:r>
      <w:r>
        <w:rPr>
          <w:sz w:val="22"/>
        </w:rPr>
        <w:t>Cyclic</w:t>
      </w:r>
      <w:r>
        <w:rPr>
          <w:spacing w:val="40"/>
          <w:sz w:val="22"/>
        </w:rPr>
        <w:t> </w:t>
      </w:r>
      <w:r>
        <w:rPr>
          <w:sz w:val="22"/>
        </w:rPr>
        <w:t>medroxyprogesterone treatment increases bone density: a controlled trial in active women with menstrual </w:t>
      </w:r>
      <w:r>
        <w:rPr>
          <w:sz w:val="22"/>
        </w:rPr>
        <w:t>cycle disturbances. </w:t>
      </w:r>
      <w:r>
        <w:rPr>
          <w:i/>
          <w:sz w:val="22"/>
        </w:rPr>
        <w:t>Am J Med</w:t>
      </w:r>
      <w:r>
        <w:rPr>
          <w:sz w:val="22"/>
        </w:rPr>
        <w:t>. 1994;96:521.</w:t>
      </w:r>
    </w:p>
    <w:p>
      <w:pPr>
        <w:pStyle w:val="ListParagraph"/>
        <w:numPr>
          <w:ilvl w:val="0"/>
          <w:numId w:val="8"/>
        </w:numPr>
        <w:tabs>
          <w:tab w:pos="709" w:val="left" w:leader="none"/>
          <w:tab w:pos="718" w:val="left" w:leader="none"/>
        </w:tabs>
        <w:spacing w:line="256" w:lineRule="auto" w:before="0" w:after="0"/>
        <w:ind w:left="718" w:right="102" w:hanging="507"/>
        <w:jc w:val="both"/>
        <w:rPr>
          <w:sz w:val="22"/>
        </w:rPr>
      </w:pPr>
      <w:r>
        <w:rPr>
          <w:sz w:val="22"/>
        </w:rPr>
        <w:t>Selby</w:t>
      </w:r>
      <w:r>
        <w:rPr>
          <w:spacing w:val="40"/>
          <w:sz w:val="22"/>
        </w:rPr>
        <w:t> </w:t>
      </w:r>
      <w:r>
        <w:rPr>
          <w:sz w:val="22"/>
        </w:rPr>
        <w:t>PL,</w:t>
      </w:r>
      <w:r>
        <w:rPr>
          <w:spacing w:val="40"/>
          <w:sz w:val="22"/>
        </w:rPr>
        <w:t> </w:t>
      </w:r>
      <w:r>
        <w:rPr>
          <w:sz w:val="22"/>
        </w:rPr>
        <w:t>Peacock</w:t>
      </w:r>
      <w:r>
        <w:rPr>
          <w:spacing w:val="40"/>
          <w:sz w:val="22"/>
        </w:rPr>
        <w:t> </w:t>
      </w:r>
      <w:r>
        <w:rPr>
          <w:sz w:val="22"/>
        </w:rPr>
        <w:t>M,</w:t>
      </w:r>
      <w:r>
        <w:rPr>
          <w:spacing w:val="40"/>
          <w:sz w:val="22"/>
        </w:rPr>
        <w:t> </w:t>
      </w:r>
      <w:r>
        <w:rPr>
          <w:sz w:val="22"/>
        </w:rPr>
        <w:t>Barkworth</w:t>
      </w:r>
      <w:r>
        <w:rPr>
          <w:spacing w:val="40"/>
          <w:sz w:val="22"/>
        </w:rPr>
        <w:t> </w:t>
      </w:r>
      <w:r>
        <w:rPr>
          <w:sz w:val="22"/>
        </w:rPr>
        <w:t>SA,</w:t>
      </w:r>
      <w:r>
        <w:rPr>
          <w:spacing w:val="40"/>
          <w:sz w:val="22"/>
        </w:rPr>
        <w:t> </w:t>
      </w:r>
      <w:r>
        <w:rPr>
          <w:sz w:val="22"/>
        </w:rPr>
        <w:t>Brown</w:t>
      </w:r>
      <w:r>
        <w:rPr>
          <w:spacing w:val="40"/>
          <w:sz w:val="22"/>
        </w:rPr>
        <w:t> </w:t>
      </w:r>
      <w:r>
        <w:rPr>
          <w:sz w:val="22"/>
        </w:rPr>
        <w:t>WB,</w:t>
      </w:r>
      <w:r>
        <w:rPr>
          <w:spacing w:val="40"/>
          <w:sz w:val="22"/>
        </w:rPr>
        <w:t> </w:t>
      </w:r>
      <w:r>
        <w:rPr>
          <w:sz w:val="22"/>
        </w:rPr>
        <w:t>Taylor</w:t>
      </w:r>
      <w:r>
        <w:rPr>
          <w:spacing w:val="40"/>
          <w:sz w:val="22"/>
        </w:rPr>
        <w:t> </w:t>
      </w:r>
      <w:r>
        <w:rPr>
          <w:sz w:val="22"/>
        </w:rPr>
        <w:t>GA.</w:t>
      </w:r>
      <w:r>
        <w:rPr>
          <w:spacing w:val="40"/>
          <w:sz w:val="22"/>
        </w:rPr>
        <w:t> </w:t>
      </w:r>
      <w:r>
        <w:rPr>
          <w:sz w:val="22"/>
        </w:rPr>
        <w:t>Early</w:t>
      </w:r>
      <w:r>
        <w:rPr>
          <w:spacing w:val="40"/>
          <w:sz w:val="22"/>
        </w:rPr>
        <w:t> </w:t>
      </w:r>
      <w:r>
        <w:rPr>
          <w:sz w:val="22"/>
        </w:rPr>
        <w:t>effects</w:t>
      </w:r>
      <w:r>
        <w:rPr>
          <w:spacing w:val="40"/>
          <w:sz w:val="22"/>
        </w:rPr>
        <w:t> </w:t>
      </w:r>
      <w:r>
        <w:rPr>
          <w:sz w:val="22"/>
        </w:rPr>
        <w:t>of ethinyloestradiol and norethisterone treatment in post-menopausal women on bone </w:t>
      </w:r>
      <w:r>
        <w:rPr>
          <w:sz w:val="22"/>
        </w:rPr>
        <w:t>resorption and calcium regulating hormones. </w:t>
      </w:r>
      <w:r>
        <w:rPr>
          <w:i/>
          <w:sz w:val="22"/>
        </w:rPr>
        <w:t>Clin Sci</w:t>
      </w:r>
      <w:r>
        <w:rPr>
          <w:sz w:val="22"/>
        </w:rPr>
        <w:t>. 1985;69:265.</w:t>
      </w:r>
    </w:p>
    <w:p>
      <w:pPr>
        <w:pStyle w:val="ListParagraph"/>
        <w:numPr>
          <w:ilvl w:val="0"/>
          <w:numId w:val="8"/>
        </w:numPr>
        <w:tabs>
          <w:tab w:pos="709" w:val="left" w:leader="none"/>
          <w:tab w:pos="718" w:val="left" w:leader="none"/>
        </w:tabs>
        <w:spacing w:line="256" w:lineRule="auto" w:before="0" w:after="0"/>
        <w:ind w:left="718" w:right="101" w:hanging="507"/>
        <w:jc w:val="both"/>
        <w:rPr>
          <w:sz w:val="22"/>
        </w:rPr>
      </w:pPr>
      <w:r>
        <w:rPr>
          <w:sz w:val="22"/>
        </w:rPr>
        <w:t>Christiansen C, Nilas L, Riis BJ, Rodbro P, Deftos L. Uncoupling of bone formation and resorption by combined oestrogen and progestagen therapy in postmenopausal osteoporosis. </w:t>
      </w:r>
      <w:r>
        <w:rPr>
          <w:i/>
          <w:sz w:val="22"/>
        </w:rPr>
        <w:t>Lancet</w:t>
      </w:r>
      <w:r>
        <w:rPr>
          <w:sz w:val="22"/>
        </w:rPr>
        <w:t>. 1985;2:800.</w:t>
      </w:r>
    </w:p>
    <w:p>
      <w:pPr>
        <w:pStyle w:val="ListParagraph"/>
        <w:numPr>
          <w:ilvl w:val="0"/>
          <w:numId w:val="8"/>
        </w:numPr>
        <w:tabs>
          <w:tab w:pos="709" w:val="left" w:leader="none"/>
          <w:tab w:pos="718" w:val="left" w:leader="none"/>
        </w:tabs>
        <w:spacing w:line="256" w:lineRule="auto" w:before="0" w:after="0"/>
        <w:ind w:left="718" w:right="109" w:hanging="507"/>
        <w:jc w:val="both"/>
        <w:rPr>
          <w:sz w:val="22"/>
        </w:rPr>
      </w:pPr>
      <w:r>
        <w:rPr>
          <w:sz w:val="22"/>
        </w:rPr>
        <w:t>Munk-Jensen N, Nielsen SP, Obel EB, Eriksen PB. Reversal of postmenopausal vertebral </w:t>
      </w:r>
      <w:r>
        <w:rPr>
          <w:sz w:val="22"/>
        </w:rPr>
        <w:t>bone loss by oestrogen and progestogen: a double blind placebo controlled study. </w:t>
      </w:r>
      <w:r>
        <w:rPr>
          <w:i/>
          <w:sz w:val="22"/>
        </w:rPr>
        <w:t>Br Med J</w:t>
      </w:r>
      <w:r>
        <w:rPr>
          <w:sz w:val="22"/>
        </w:rPr>
        <w:t>. </w:t>
      </w:r>
      <w:r>
        <w:rPr>
          <w:spacing w:val="-2"/>
          <w:sz w:val="22"/>
        </w:rPr>
        <w:t>1988;296:1150.</w:t>
      </w:r>
    </w:p>
    <w:p>
      <w:pPr>
        <w:pStyle w:val="ListParagraph"/>
        <w:numPr>
          <w:ilvl w:val="0"/>
          <w:numId w:val="8"/>
        </w:numPr>
        <w:tabs>
          <w:tab w:pos="709" w:val="left" w:leader="none"/>
          <w:tab w:pos="718" w:val="left" w:leader="none"/>
        </w:tabs>
        <w:spacing w:line="256" w:lineRule="auto" w:before="0" w:after="0"/>
        <w:ind w:left="718" w:right="108" w:hanging="507"/>
        <w:jc w:val="both"/>
        <w:rPr>
          <w:sz w:val="22"/>
        </w:rPr>
      </w:pPr>
      <w:r>
        <w:rPr>
          <w:sz w:val="22"/>
        </w:rPr>
        <w:t>Gallagher JC, Kable WT, Goldgar D. Effect of progestin therapy on cortical and trabecular</w:t>
      </w:r>
      <w:r>
        <w:rPr>
          <w:spacing w:val="40"/>
          <w:sz w:val="22"/>
        </w:rPr>
        <w:t> </w:t>
      </w:r>
      <w:r>
        <w:rPr>
          <w:sz w:val="22"/>
        </w:rPr>
        <w:t>bone: comparison with estrogen. </w:t>
      </w:r>
      <w:r>
        <w:rPr>
          <w:i/>
          <w:sz w:val="22"/>
        </w:rPr>
        <w:t>Am J Med</w:t>
      </w:r>
      <w:r>
        <w:rPr>
          <w:sz w:val="22"/>
        </w:rPr>
        <w:t>. 1991;90:171.</w:t>
      </w:r>
    </w:p>
    <w:p>
      <w:pPr>
        <w:pStyle w:val="ListParagraph"/>
        <w:numPr>
          <w:ilvl w:val="0"/>
          <w:numId w:val="8"/>
        </w:numPr>
        <w:tabs>
          <w:tab w:pos="709" w:val="left" w:leader="none"/>
          <w:tab w:pos="718" w:val="left" w:leader="none"/>
        </w:tabs>
        <w:spacing w:line="256" w:lineRule="auto" w:before="0" w:after="0"/>
        <w:ind w:left="718" w:right="100" w:hanging="507"/>
        <w:jc w:val="both"/>
        <w:rPr>
          <w:sz w:val="22"/>
        </w:rPr>
      </w:pPr>
      <w:r>
        <w:rPr>
          <w:sz w:val="22"/>
        </w:rPr>
        <w:t>Speroff</w:t>
      </w:r>
      <w:r>
        <w:rPr>
          <w:spacing w:val="40"/>
          <w:sz w:val="22"/>
        </w:rPr>
        <w:t> </w:t>
      </w:r>
      <w:r>
        <w:rPr>
          <w:sz w:val="22"/>
        </w:rPr>
        <w:t>L,</w:t>
      </w:r>
      <w:r>
        <w:rPr>
          <w:spacing w:val="40"/>
          <w:sz w:val="22"/>
        </w:rPr>
        <w:t> </w:t>
      </w:r>
      <w:r>
        <w:rPr>
          <w:sz w:val="22"/>
        </w:rPr>
        <w:t>Rowan</w:t>
      </w:r>
      <w:r>
        <w:rPr>
          <w:spacing w:val="40"/>
          <w:sz w:val="22"/>
        </w:rPr>
        <w:t> </w:t>
      </w:r>
      <w:r>
        <w:rPr>
          <w:sz w:val="22"/>
        </w:rPr>
        <w:t>J,</w:t>
      </w:r>
      <w:r>
        <w:rPr>
          <w:spacing w:val="40"/>
          <w:sz w:val="22"/>
        </w:rPr>
        <w:t> </w:t>
      </w:r>
      <w:r>
        <w:rPr>
          <w:sz w:val="22"/>
        </w:rPr>
        <w:t>Symons</w:t>
      </w:r>
      <w:r>
        <w:rPr>
          <w:spacing w:val="40"/>
          <w:sz w:val="22"/>
        </w:rPr>
        <w:t> </w:t>
      </w:r>
      <w:r>
        <w:rPr>
          <w:sz w:val="22"/>
        </w:rPr>
        <w:t>J,</w:t>
      </w:r>
      <w:r>
        <w:rPr>
          <w:spacing w:val="40"/>
          <w:sz w:val="22"/>
        </w:rPr>
        <w:t> </w:t>
      </w:r>
      <w:r>
        <w:rPr>
          <w:sz w:val="22"/>
        </w:rPr>
        <w:t>Genant</w:t>
      </w:r>
      <w:r>
        <w:rPr>
          <w:spacing w:val="40"/>
          <w:sz w:val="22"/>
        </w:rPr>
        <w:t> </w:t>
      </w:r>
      <w:r>
        <w:rPr>
          <w:sz w:val="22"/>
        </w:rPr>
        <w:t>H,</w:t>
      </w:r>
      <w:r>
        <w:rPr>
          <w:spacing w:val="40"/>
          <w:sz w:val="22"/>
        </w:rPr>
        <w:t> </w:t>
      </w:r>
      <w:r>
        <w:rPr>
          <w:sz w:val="22"/>
        </w:rPr>
        <w:t>Wilborn</w:t>
      </w:r>
      <w:r>
        <w:rPr>
          <w:spacing w:val="40"/>
          <w:sz w:val="22"/>
        </w:rPr>
        <w:t> </w:t>
      </w:r>
      <w:r>
        <w:rPr>
          <w:sz w:val="22"/>
        </w:rPr>
        <w:t>W;</w:t>
      </w:r>
      <w:r>
        <w:rPr>
          <w:spacing w:val="40"/>
          <w:sz w:val="22"/>
        </w:rPr>
        <w:t> </w:t>
      </w:r>
      <w:r>
        <w:rPr>
          <w:sz w:val="22"/>
        </w:rPr>
        <w:t>CHART</w:t>
      </w:r>
      <w:r>
        <w:rPr>
          <w:spacing w:val="40"/>
          <w:sz w:val="22"/>
        </w:rPr>
        <w:t> </w:t>
      </w:r>
      <w:r>
        <w:rPr>
          <w:sz w:val="22"/>
        </w:rPr>
        <w:t>Study</w:t>
      </w:r>
      <w:r>
        <w:rPr>
          <w:spacing w:val="40"/>
          <w:sz w:val="22"/>
        </w:rPr>
        <w:t> </w:t>
      </w:r>
      <w:r>
        <w:rPr>
          <w:sz w:val="22"/>
        </w:rPr>
        <w:t>Group.</w:t>
      </w:r>
      <w:r>
        <w:rPr>
          <w:spacing w:val="40"/>
          <w:sz w:val="22"/>
        </w:rPr>
        <w:t> </w:t>
      </w:r>
      <w:r>
        <w:rPr>
          <w:sz w:val="22"/>
        </w:rPr>
        <w:t>The comparative effect on bone density, endometrium, and lipids of continuous hormones as replacement therapy (CHART Study). </w:t>
      </w:r>
      <w:r>
        <w:rPr>
          <w:i/>
          <w:sz w:val="22"/>
        </w:rPr>
        <w:t>JAMA</w:t>
      </w:r>
      <w:r>
        <w:rPr>
          <w:sz w:val="22"/>
        </w:rPr>
        <w:t>. 1996;276:1397.</w:t>
      </w:r>
    </w:p>
    <w:p>
      <w:pPr>
        <w:pStyle w:val="ListParagraph"/>
        <w:numPr>
          <w:ilvl w:val="0"/>
          <w:numId w:val="8"/>
        </w:numPr>
        <w:tabs>
          <w:tab w:pos="709" w:val="left" w:leader="none"/>
          <w:tab w:pos="718" w:val="left" w:leader="none"/>
        </w:tabs>
        <w:spacing w:line="256" w:lineRule="auto" w:before="0" w:after="0"/>
        <w:ind w:left="718" w:right="103" w:hanging="507"/>
        <w:jc w:val="both"/>
        <w:rPr>
          <w:sz w:val="22"/>
        </w:rPr>
      </w:pPr>
      <w:r>
        <w:rPr>
          <w:sz w:val="22"/>
        </w:rPr>
        <w:t>Grey A, Cundy T, Evans M, Reid I. Medroxyprogesterone acetate enhances the spinal bone mineral density response to oestrogen in late post-menopausal women. </w:t>
      </w:r>
      <w:r>
        <w:rPr>
          <w:i/>
          <w:sz w:val="22"/>
        </w:rPr>
        <w:t>Clin </w:t>
      </w:r>
      <w:r>
        <w:rPr>
          <w:i/>
          <w:sz w:val="22"/>
        </w:rPr>
        <w:t>Endocrinol</w:t>
      </w:r>
      <w:r>
        <w:rPr>
          <w:sz w:val="22"/>
        </w:rPr>
        <w:t>. </w:t>
      </w:r>
      <w:r>
        <w:rPr>
          <w:spacing w:val="-2"/>
          <w:sz w:val="22"/>
        </w:rPr>
        <w:t>1996;44:293.</w:t>
      </w:r>
    </w:p>
    <w:p>
      <w:pPr>
        <w:pStyle w:val="ListParagraph"/>
        <w:spacing w:after="0" w:line="256" w:lineRule="auto"/>
        <w:jc w:val="both"/>
        <w:rPr>
          <w:sz w:val="22"/>
        </w:rPr>
        <w:sectPr>
          <w:pgSz w:w="12240" w:h="15840"/>
          <w:pgMar w:top="1360" w:bottom="280" w:left="1440" w:right="1440"/>
        </w:sectPr>
      </w:pPr>
    </w:p>
    <w:p>
      <w:pPr>
        <w:pStyle w:val="ListParagraph"/>
        <w:numPr>
          <w:ilvl w:val="0"/>
          <w:numId w:val="8"/>
        </w:numPr>
        <w:tabs>
          <w:tab w:pos="709" w:val="left" w:leader="none"/>
          <w:tab w:pos="718" w:val="left" w:leader="none"/>
        </w:tabs>
        <w:spacing w:line="256" w:lineRule="auto" w:before="84" w:after="0"/>
        <w:ind w:left="718" w:right="103" w:hanging="507"/>
        <w:jc w:val="both"/>
        <w:rPr>
          <w:sz w:val="22"/>
        </w:rPr>
      </w:pPr>
      <w:r>
        <w:rPr>
          <w:sz w:val="22"/>
        </w:rPr>
        <w:t>Adachi JD, Sargeant EJ, Sagle MA, et al. A double-blind randomised controlled trial of the effects of medroxyprogesterone acetate on bone density of women taking oestrogen</w:t>
      </w:r>
      <w:r>
        <w:rPr>
          <w:spacing w:val="80"/>
          <w:w w:val="150"/>
          <w:sz w:val="22"/>
        </w:rPr>
        <w:t> </w:t>
      </w:r>
      <w:r>
        <w:rPr>
          <w:sz w:val="22"/>
        </w:rPr>
        <w:t>replacement therapy. </w:t>
      </w:r>
      <w:r>
        <w:rPr>
          <w:i/>
          <w:sz w:val="22"/>
        </w:rPr>
        <w:t>Br J Obstet Gynaecol</w:t>
      </w:r>
      <w:r>
        <w:rPr>
          <w:sz w:val="22"/>
        </w:rPr>
        <w:t>. 1997;104:64.</w:t>
      </w:r>
    </w:p>
    <w:p>
      <w:pPr>
        <w:pStyle w:val="ListParagraph"/>
        <w:numPr>
          <w:ilvl w:val="0"/>
          <w:numId w:val="8"/>
        </w:numPr>
        <w:tabs>
          <w:tab w:pos="709" w:val="left" w:leader="none"/>
          <w:tab w:pos="718" w:val="left" w:leader="none"/>
        </w:tabs>
        <w:spacing w:line="256" w:lineRule="auto" w:before="0" w:after="0"/>
        <w:ind w:left="718" w:right="98" w:hanging="507"/>
        <w:jc w:val="both"/>
        <w:rPr>
          <w:sz w:val="22"/>
        </w:rPr>
      </w:pPr>
      <w:r>
        <w:rPr>
          <w:sz w:val="22"/>
        </w:rPr>
        <w:t>Myers</w:t>
      </w:r>
      <w:r>
        <w:rPr>
          <w:spacing w:val="40"/>
          <w:sz w:val="22"/>
        </w:rPr>
        <w:t> </w:t>
      </w:r>
      <w:r>
        <w:rPr>
          <w:sz w:val="22"/>
        </w:rPr>
        <w:t>LS,</w:t>
      </w:r>
      <w:r>
        <w:rPr>
          <w:spacing w:val="40"/>
          <w:sz w:val="22"/>
        </w:rPr>
        <w:t> </w:t>
      </w:r>
      <w:r>
        <w:rPr>
          <w:sz w:val="22"/>
        </w:rPr>
        <w:t>Dixen</w:t>
      </w:r>
      <w:r>
        <w:rPr>
          <w:spacing w:val="40"/>
          <w:sz w:val="22"/>
        </w:rPr>
        <w:t> </w:t>
      </w:r>
      <w:r>
        <w:rPr>
          <w:sz w:val="22"/>
        </w:rPr>
        <w:t>J,</w:t>
      </w:r>
      <w:r>
        <w:rPr>
          <w:spacing w:val="40"/>
          <w:sz w:val="22"/>
        </w:rPr>
        <w:t> </w:t>
      </w:r>
      <w:r>
        <w:rPr>
          <w:sz w:val="22"/>
        </w:rPr>
        <w:t>Morrissette</w:t>
      </w:r>
      <w:r>
        <w:rPr>
          <w:spacing w:val="40"/>
          <w:sz w:val="22"/>
        </w:rPr>
        <w:t> </w:t>
      </w:r>
      <w:r>
        <w:rPr>
          <w:sz w:val="22"/>
        </w:rPr>
        <w:t>D,</w:t>
      </w:r>
      <w:r>
        <w:rPr>
          <w:spacing w:val="40"/>
          <w:sz w:val="22"/>
        </w:rPr>
        <w:t> </w:t>
      </w:r>
      <w:r>
        <w:rPr>
          <w:sz w:val="22"/>
        </w:rPr>
        <w:t>Carmichael</w:t>
      </w:r>
      <w:r>
        <w:rPr>
          <w:spacing w:val="40"/>
          <w:sz w:val="22"/>
        </w:rPr>
        <w:t> </w:t>
      </w:r>
      <w:r>
        <w:rPr>
          <w:sz w:val="22"/>
        </w:rPr>
        <w:t>M,</w:t>
      </w:r>
      <w:r>
        <w:rPr>
          <w:spacing w:val="40"/>
          <w:sz w:val="22"/>
        </w:rPr>
        <w:t> </w:t>
      </w:r>
      <w:r>
        <w:rPr>
          <w:sz w:val="22"/>
        </w:rPr>
        <w:t>Davidson</w:t>
      </w:r>
      <w:r>
        <w:rPr>
          <w:spacing w:val="40"/>
          <w:sz w:val="22"/>
        </w:rPr>
        <w:t> </w:t>
      </w:r>
      <w:r>
        <w:rPr>
          <w:sz w:val="22"/>
        </w:rPr>
        <w:t>JM.</w:t>
      </w:r>
      <w:r>
        <w:rPr>
          <w:spacing w:val="40"/>
          <w:sz w:val="22"/>
        </w:rPr>
        <w:t> </w:t>
      </w:r>
      <w:r>
        <w:rPr>
          <w:sz w:val="22"/>
        </w:rPr>
        <w:t>Effects</w:t>
      </w:r>
      <w:r>
        <w:rPr>
          <w:spacing w:val="40"/>
          <w:sz w:val="22"/>
        </w:rPr>
        <w:t> </w:t>
      </w:r>
      <w:r>
        <w:rPr>
          <w:sz w:val="22"/>
        </w:rPr>
        <w:t>of</w:t>
      </w:r>
      <w:r>
        <w:rPr>
          <w:spacing w:val="40"/>
          <w:sz w:val="22"/>
        </w:rPr>
        <w:t> </w:t>
      </w:r>
      <w:r>
        <w:rPr>
          <w:sz w:val="22"/>
        </w:rPr>
        <w:t>estrogen, androgen,</w:t>
      </w:r>
      <w:r>
        <w:rPr>
          <w:spacing w:val="18"/>
          <w:sz w:val="22"/>
        </w:rPr>
        <w:t> </w:t>
      </w:r>
      <w:r>
        <w:rPr>
          <w:sz w:val="22"/>
        </w:rPr>
        <w:t>and</w:t>
      </w:r>
      <w:r>
        <w:rPr>
          <w:spacing w:val="18"/>
          <w:sz w:val="22"/>
        </w:rPr>
        <w:t> </w:t>
      </w:r>
      <w:r>
        <w:rPr>
          <w:sz w:val="22"/>
        </w:rPr>
        <w:t>progestin</w:t>
      </w:r>
      <w:r>
        <w:rPr>
          <w:spacing w:val="18"/>
          <w:sz w:val="22"/>
        </w:rPr>
        <w:t> </w:t>
      </w:r>
      <w:r>
        <w:rPr>
          <w:sz w:val="22"/>
        </w:rPr>
        <w:t>on</w:t>
      </w:r>
      <w:r>
        <w:rPr>
          <w:spacing w:val="18"/>
          <w:sz w:val="22"/>
        </w:rPr>
        <w:t> </w:t>
      </w:r>
      <w:r>
        <w:rPr>
          <w:sz w:val="22"/>
        </w:rPr>
        <w:t>sexual</w:t>
      </w:r>
      <w:r>
        <w:rPr>
          <w:spacing w:val="18"/>
          <w:sz w:val="22"/>
        </w:rPr>
        <w:t> </w:t>
      </w:r>
      <w:r>
        <w:rPr>
          <w:sz w:val="22"/>
        </w:rPr>
        <w:t>psychophysiology</w:t>
      </w:r>
      <w:r>
        <w:rPr>
          <w:spacing w:val="18"/>
          <w:sz w:val="22"/>
        </w:rPr>
        <w:t> </w:t>
      </w:r>
      <w:r>
        <w:rPr>
          <w:sz w:val="22"/>
        </w:rPr>
        <w:t>and</w:t>
      </w:r>
      <w:r>
        <w:rPr>
          <w:spacing w:val="18"/>
          <w:sz w:val="22"/>
        </w:rPr>
        <w:t> </w:t>
      </w:r>
      <w:r>
        <w:rPr>
          <w:sz w:val="22"/>
        </w:rPr>
        <w:t>behavior</w:t>
      </w:r>
      <w:r>
        <w:rPr>
          <w:spacing w:val="18"/>
          <w:sz w:val="22"/>
        </w:rPr>
        <w:t> </w:t>
      </w:r>
      <w:r>
        <w:rPr>
          <w:sz w:val="22"/>
        </w:rPr>
        <w:t>in</w:t>
      </w:r>
      <w:r>
        <w:rPr>
          <w:spacing w:val="18"/>
          <w:sz w:val="22"/>
        </w:rPr>
        <w:t> </w:t>
      </w:r>
      <w:r>
        <w:rPr>
          <w:sz w:val="22"/>
        </w:rPr>
        <w:t>postmenopausal</w:t>
      </w:r>
      <w:r>
        <w:rPr>
          <w:spacing w:val="18"/>
          <w:sz w:val="22"/>
        </w:rPr>
        <w:t> </w:t>
      </w:r>
      <w:r>
        <w:rPr>
          <w:sz w:val="22"/>
        </w:rPr>
        <w:t>women. </w:t>
      </w:r>
      <w:r>
        <w:rPr>
          <w:i/>
          <w:sz w:val="22"/>
        </w:rPr>
        <w:t>J Clin Endocrinol Metab</w:t>
      </w:r>
      <w:r>
        <w:rPr>
          <w:sz w:val="22"/>
        </w:rPr>
        <w:t>. 1990;70:1124.</w:t>
      </w:r>
    </w:p>
    <w:p>
      <w:pPr>
        <w:pStyle w:val="ListParagraph"/>
        <w:numPr>
          <w:ilvl w:val="0"/>
          <w:numId w:val="8"/>
        </w:numPr>
        <w:tabs>
          <w:tab w:pos="709" w:val="left" w:leader="none"/>
          <w:tab w:pos="718" w:val="left" w:leader="none"/>
        </w:tabs>
        <w:spacing w:line="256" w:lineRule="auto" w:before="0" w:after="0"/>
        <w:ind w:left="718" w:right="97" w:hanging="507"/>
        <w:jc w:val="both"/>
        <w:rPr>
          <w:sz w:val="22"/>
        </w:rPr>
      </w:pPr>
      <w:r>
        <w:rPr>
          <w:sz w:val="22"/>
        </w:rPr>
        <w:t>Fuleihan GE, Brown EM, Curtis K, et al. Effect of sequential and daily continuous </w:t>
      </w:r>
      <w:r>
        <w:rPr>
          <w:sz w:val="22"/>
        </w:rPr>
        <w:t>hormone replacement therapy on indexes of mineral metabolism. </w:t>
      </w:r>
      <w:r>
        <w:rPr>
          <w:i/>
          <w:sz w:val="22"/>
        </w:rPr>
        <w:t>Arch Intern Med</w:t>
      </w:r>
      <w:r>
        <w:rPr>
          <w:sz w:val="22"/>
        </w:rPr>
        <w:t>. 1992;152:1904.</w:t>
      </w:r>
    </w:p>
    <w:p>
      <w:pPr>
        <w:pStyle w:val="ListParagraph"/>
        <w:numPr>
          <w:ilvl w:val="0"/>
          <w:numId w:val="8"/>
        </w:numPr>
        <w:tabs>
          <w:tab w:pos="709" w:val="left" w:leader="none"/>
          <w:tab w:pos="718" w:val="left" w:leader="none"/>
        </w:tabs>
        <w:spacing w:line="256" w:lineRule="auto" w:before="0" w:after="0"/>
        <w:ind w:left="718" w:right="98" w:hanging="507"/>
        <w:jc w:val="both"/>
        <w:rPr>
          <w:sz w:val="22"/>
        </w:rPr>
      </w:pPr>
      <w:r>
        <w:rPr>
          <w:sz w:val="22"/>
        </w:rPr>
        <w:t>Nielsen</w:t>
      </w:r>
      <w:r>
        <w:rPr>
          <w:spacing w:val="40"/>
          <w:sz w:val="22"/>
        </w:rPr>
        <w:t> </w:t>
      </w:r>
      <w:r>
        <w:rPr>
          <w:sz w:val="22"/>
        </w:rPr>
        <w:t>SP,</w:t>
      </w:r>
      <w:r>
        <w:rPr>
          <w:spacing w:val="40"/>
          <w:sz w:val="22"/>
        </w:rPr>
        <w:t> </w:t>
      </w:r>
      <w:r>
        <w:rPr>
          <w:sz w:val="22"/>
        </w:rPr>
        <w:t>Barenholdt</w:t>
      </w:r>
      <w:r>
        <w:rPr>
          <w:spacing w:val="40"/>
          <w:sz w:val="22"/>
        </w:rPr>
        <w:t> </w:t>
      </w:r>
      <w:r>
        <w:rPr>
          <w:sz w:val="22"/>
        </w:rPr>
        <w:t>O,</w:t>
      </w:r>
      <w:r>
        <w:rPr>
          <w:spacing w:val="40"/>
          <w:sz w:val="22"/>
        </w:rPr>
        <w:t> </w:t>
      </w:r>
      <w:r>
        <w:rPr>
          <w:sz w:val="22"/>
        </w:rPr>
        <w:t>Hermansen</w:t>
      </w:r>
      <w:r>
        <w:rPr>
          <w:spacing w:val="40"/>
          <w:sz w:val="22"/>
        </w:rPr>
        <w:t> </w:t>
      </w:r>
      <w:r>
        <w:rPr>
          <w:sz w:val="22"/>
        </w:rPr>
        <w:t>F,</w:t>
      </w:r>
      <w:r>
        <w:rPr>
          <w:spacing w:val="40"/>
          <w:sz w:val="22"/>
        </w:rPr>
        <w:t> </w:t>
      </w:r>
      <w:r>
        <w:rPr>
          <w:sz w:val="22"/>
        </w:rPr>
        <w:t>Munkin-Jensen</w:t>
      </w:r>
      <w:r>
        <w:rPr>
          <w:spacing w:val="40"/>
          <w:sz w:val="22"/>
        </w:rPr>
        <w:t> </w:t>
      </w:r>
      <w:r>
        <w:rPr>
          <w:sz w:val="22"/>
        </w:rPr>
        <w:t>NB.</w:t>
      </w:r>
      <w:r>
        <w:rPr>
          <w:spacing w:val="40"/>
          <w:sz w:val="22"/>
        </w:rPr>
        <w:t> </w:t>
      </w:r>
      <w:r>
        <w:rPr>
          <w:sz w:val="22"/>
        </w:rPr>
        <w:t>Magnitude</w:t>
      </w:r>
      <w:r>
        <w:rPr>
          <w:spacing w:val="40"/>
          <w:sz w:val="22"/>
        </w:rPr>
        <w:t> </w:t>
      </w:r>
      <w:r>
        <w:rPr>
          <w:sz w:val="22"/>
        </w:rPr>
        <w:t>and</w:t>
      </w:r>
      <w:r>
        <w:rPr>
          <w:spacing w:val="40"/>
          <w:sz w:val="22"/>
        </w:rPr>
        <w:t> </w:t>
      </w:r>
      <w:r>
        <w:rPr>
          <w:sz w:val="22"/>
        </w:rPr>
        <w:t>pattern</w:t>
      </w:r>
      <w:r>
        <w:rPr>
          <w:spacing w:val="40"/>
          <w:sz w:val="22"/>
        </w:rPr>
        <w:t> </w:t>
      </w:r>
      <w:r>
        <w:rPr>
          <w:sz w:val="22"/>
        </w:rPr>
        <w:t>of skeletal response to long term continuous and cyclic sequential oestrogen/progestin treatment.</w:t>
      </w:r>
      <w:r>
        <w:rPr>
          <w:spacing w:val="40"/>
          <w:sz w:val="22"/>
        </w:rPr>
        <w:t> </w:t>
      </w:r>
      <w:r>
        <w:rPr>
          <w:i/>
          <w:sz w:val="22"/>
        </w:rPr>
        <w:t>Br J Obstet Gynaecol</w:t>
      </w:r>
      <w:r>
        <w:rPr>
          <w:sz w:val="22"/>
        </w:rPr>
        <w:t>. 1994;101:319.</w:t>
      </w:r>
    </w:p>
    <w:p>
      <w:pPr>
        <w:pStyle w:val="ListParagraph"/>
        <w:numPr>
          <w:ilvl w:val="0"/>
          <w:numId w:val="8"/>
        </w:numPr>
        <w:tabs>
          <w:tab w:pos="709" w:val="left" w:leader="none"/>
          <w:tab w:pos="718" w:val="left" w:leader="none"/>
        </w:tabs>
        <w:spacing w:line="256" w:lineRule="auto" w:before="0" w:after="0"/>
        <w:ind w:left="718" w:right="99" w:hanging="507"/>
        <w:jc w:val="both"/>
        <w:rPr>
          <w:sz w:val="22"/>
        </w:rPr>
      </w:pPr>
      <w:r>
        <w:rPr>
          <w:sz w:val="22"/>
        </w:rPr>
        <w:t>Watts NB, Notelovitz M, Timmons MC, Addison WA, Wiita B, Downey LJ. Comparison of</w:t>
      </w:r>
      <w:r>
        <w:rPr>
          <w:spacing w:val="80"/>
          <w:sz w:val="22"/>
        </w:rPr>
        <w:t> </w:t>
      </w:r>
      <w:r>
        <w:rPr>
          <w:sz w:val="22"/>
        </w:rPr>
        <w:t>oral estrogens and estrogens plus androgens on bone mineral density, menopausal symptoms, and lipid-lipoprotein profiles in surgical menopause. </w:t>
      </w:r>
      <w:r>
        <w:rPr>
          <w:i/>
          <w:sz w:val="22"/>
        </w:rPr>
        <w:t>Obstet Gynecol</w:t>
      </w:r>
      <w:r>
        <w:rPr>
          <w:sz w:val="22"/>
        </w:rPr>
        <w:t>. 1995;85:529.</w:t>
      </w:r>
    </w:p>
    <w:p>
      <w:pPr>
        <w:pStyle w:val="ListParagraph"/>
        <w:numPr>
          <w:ilvl w:val="0"/>
          <w:numId w:val="8"/>
        </w:numPr>
        <w:tabs>
          <w:tab w:pos="709" w:val="left" w:leader="none"/>
          <w:tab w:pos="718" w:val="left" w:leader="none"/>
        </w:tabs>
        <w:spacing w:line="256" w:lineRule="auto" w:before="0" w:after="0"/>
        <w:ind w:left="718" w:right="109" w:hanging="507"/>
        <w:jc w:val="both"/>
        <w:rPr>
          <w:sz w:val="22"/>
        </w:rPr>
      </w:pPr>
      <w:r>
        <w:rPr>
          <w:sz w:val="22"/>
        </w:rPr>
        <w:t>Garnett T, Studd J, Watson N, Savvas M, Leather A. The effects of plasma estradiol levels on increases in vertebral and femoral bone density following therapy with estradiol and </w:t>
      </w:r>
      <w:r>
        <w:rPr>
          <w:sz w:val="22"/>
        </w:rPr>
        <w:t>estradiol with testosterone implants. </w:t>
      </w:r>
      <w:r>
        <w:rPr>
          <w:i/>
          <w:sz w:val="22"/>
        </w:rPr>
        <w:t>Obstet Gynecol</w:t>
      </w:r>
      <w:r>
        <w:rPr>
          <w:sz w:val="22"/>
        </w:rPr>
        <w:t>. 1992;79:968.</w:t>
      </w:r>
    </w:p>
    <w:p>
      <w:pPr>
        <w:pStyle w:val="ListParagraph"/>
        <w:numPr>
          <w:ilvl w:val="0"/>
          <w:numId w:val="8"/>
        </w:numPr>
        <w:tabs>
          <w:tab w:pos="709" w:val="left" w:leader="none"/>
          <w:tab w:pos="718" w:val="left" w:leader="none"/>
        </w:tabs>
        <w:spacing w:line="256" w:lineRule="auto" w:before="0" w:after="0"/>
        <w:ind w:left="718" w:right="99" w:hanging="507"/>
        <w:jc w:val="both"/>
        <w:rPr>
          <w:sz w:val="22"/>
        </w:rPr>
      </w:pPr>
      <w:r>
        <w:rPr>
          <w:sz w:val="22"/>
        </w:rPr>
        <w:t>Davis SR, McCloud P, Strauss BJG, Burger H. Testosterone enhances estradiol’s effects </w:t>
      </w:r>
      <w:r>
        <w:rPr>
          <w:sz w:val="22"/>
        </w:rPr>
        <w:t>on postmenopausal bone density and sexuality. </w:t>
      </w:r>
      <w:r>
        <w:rPr>
          <w:i/>
          <w:sz w:val="22"/>
        </w:rPr>
        <w:t>Maturitas</w:t>
      </w:r>
      <w:r>
        <w:rPr>
          <w:sz w:val="22"/>
        </w:rPr>
        <w:t>. 1995;21:227.</w:t>
      </w:r>
    </w:p>
    <w:p>
      <w:pPr>
        <w:pStyle w:val="ListParagraph"/>
        <w:numPr>
          <w:ilvl w:val="0"/>
          <w:numId w:val="8"/>
        </w:numPr>
        <w:tabs>
          <w:tab w:pos="709" w:val="left" w:leader="none"/>
          <w:tab w:pos="718" w:val="left" w:leader="none"/>
        </w:tabs>
        <w:spacing w:line="256" w:lineRule="auto" w:before="0" w:after="0"/>
        <w:ind w:left="718" w:right="102" w:hanging="507"/>
        <w:jc w:val="both"/>
        <w:rPr>
          <w:sz w:val="22"/>
        </w:rPr>
      </w:pPr>
      <w:r>
        <w:rPr>
          <w:sz w:val="22"/>
        </w:rPr>
        <w:t>Barrett-Conner E, Young RH, Notelovitz M, et al., A two-year, double-blind comparison of estrogen-androgen</w:t>
      </w:r>
      <w:r>
        <w:rPr>
          <w:spacing w:val="40"/>
          <w:sz w:val="22"/>
        </w:rPr>
        <w:t> </w:t>
      </w:r>
      <w:r>
        <w:rPr>
          <w:sz w:val="22"/>
        </w:rPr>
        <w:t>and</w:t>
      </w:r>
      <w:r>
        <w:rPr>
          <w:spacing w:val="40"/>
          <w:sz w:val="22"/>
        </w:rPr>
        <w:t> </w:t>
      </w:r>
      <w:r>
        <w:rPr>
          <w:sz w:val="22"/>
        </w:rPr>
        <w:t>conjugated</w:t>
      </w:r>
      <w:r>
        <w:rPr>
          <w:spacing w:val="40"/>
          <w:sz w:val="22"/>
        </w:rPr>
        <w:t> </w:t>
      </w:r>
      <w:r>
        <w:rPr>
          <w:sz w:val="22"/>
        </w:rPr>
        <w:t>estrogens</w:t>
      </w:r>
      <w:r>
        <w:rPr>
          <w:spacing w:val="40"/>
          <w:sz w:val="22"/>
        </w:rPr>
        <w:t> </w:t>
      </w:r>
      <w:r>
        <w:rPr>
          <w:sz w:val="22"/>
        </w:rPr>
        <w:t>in</w:t>
      </w:r>
      <w:r>
        <w:rPr>
          <w:spacing w:val="40"/>
          <w:sz w:val="22"/>
        </w:rPr>
        <w:t> </w:t>
      </w:r>
      <w:r>
        <w:rPr>
          <w:sz w:val="22"/>
        </w:rPr>
        <w:t>surgically</w:t>
      </w:r>
      <w:r>
        <w:rPr>
          <w:spacing w:val="40"/>
          <w:sz w:val="22"/>
        </w:rPr>
        <w:t> </w:t>
      </w:r>
      <w:r>
        <w:rPr>
          <w:sz w:val="22"/>
        </w:rPr>
        <w:t>menopausal</w:t>
      </w:r>
      <w:r>
        <w:rPr>
          <w:spacing w:val="40"/>
          <w:sz w:val="22"/>
        </w:rPr>
        <w:t> </w:t>
      </w:r>
      <w:r>
        <w:rPr>
          <w:sz w:val="22"/>
        </w:rPr>
        <w:t>women.</w:t>
      </w:r>
      <w:r>
        <w:rPr>
          <w:spacing w:val="40"/>
          <w:sz w:val="22"/>
        </w:rPr>
        <w:t> </w:t>
      </w:r>
      <w:r>
        <w:rPr>
          <w:sz w:val="22"/>
        </w:rPr>
        <w:t>Effects</w:t>
      </w:r>
      <w:r>
        <w:rPr>
          <w:spacing w:val="40"/>
          <w:sz w:val="22"/>
        </w:rPr>
        <w:t> </w:t>
      </w:r>
      <w:r>
        <w:rPr>
          <w:sz w:val="22"/>
        </w:rPr>
        <w:t>on bone mineral density, symptoms and lipid profiles. </w:t>
      </w:r>
      <w:r>
        <w:rPr>
          <w:i/>
          <w:sz w:val="22"/>
        </w:rPr>
        <w:t>J Reprod Med. </w:t>
      </w:r>
      <w:r>
        <w:rPr>
          <w:sz w:val="22"/>
        </w:rPr>
        <w:t>1999;44:1012.</w:t>
      </w:r>
    </w:p>
    <w:p>
      <w:pPr>
        <w:pStyle w:val="ListParagraph"/>
        <w:numPr>
          <w:ilvl w:val="0"/>
          <w:numId w:val="8"/>
        </w:numPr>
        <w:tabs>
          <w:tab w:pos="709" w:val="left" w:leader="none"/>
          <w:tab w:pos="718" w:val="left" w:leader="none"/>
        </w:tabs>
        <w:spacing w:line="256" w:lineRule="auto" w:before="0" w:after="0"/>
        <w:ind w:left="718" w:right="103" w:hanging="507"/>
        <w:jc w:val="both"/>
        <w:rPr>
          <w:sz w:val="22"/>
        </w:rPr>
      </w:pPr>
      <w:r>
        <w:rPr>
          <w:sz w:val="22"/>
        </w:rPr>
        <w:t>Hillard TC, Whicroft SJ, Marsh MS, et al. Long-term effects of transdermal and oral hormone replacement therapy on postmenopausal bone loss. </w:t>
      </w:r>
      <w:r>
        <w:rPr>
          <w:i/>
          <w:sz w:val="22"/>
        </w:rPr>
        <w:t>Osteoporos Int</w:t>
      </w:r>
      <w:r>
        <w:rPr>
          <w:sz w:val="22"/>
        </w:rPr>
        <w:t>. 1994;4:341.</w:t>
      </w:r>
    </w:p>
    <w:p>
      <w:pPr>
        <w:pStyle w:val="ListParagraph"/>
        <w:numPr>
          <w:ilvl w:val="0"/>
          <w:numId w:val="8"/>
        </w:numPr>
        <w:tabs>
          <w:tab w:pos="709" w:val="left" w:leader="none"/>
          <w:tab w:pos="718" w:val="left" w:leader="none"/>
        </w:tabs>
        <w:spacing w:line="256" w:lineRule="auto" w:before="0" w:after="0"/>
        <w:ind w:left="718" w:right="106" w:hanging="507"/>
        <w:jc w:val="both"/>
        <w:rPr>
          <w:sz w:val="22"/>
        </w:rPr>
      </w:pPr>
      <w:r>
        <w:rPr>
          <w:sz w:val="22"/>
        </w:rPr>
        <w:t>Draper MW, Flowers DE, Huster WJ, Neild JA, Harper KD, Arnaud C. A controlled trial of raloxifene (LY139481) HCl: impact on bone turnover and serum lipid profile in </w:t>
      </w:r>
      <w:r>
        <w:rPr>
          <w:sz w:val="22"/>
        </w:rPr>
        <w:t>healthy postmenopausal women. </w:t>
      </w:r>
      <w:r>
        <w:rPr>
          <w:i/>
          <w:sz w:val="22"/>
        </w:rPr>
        <w:t>J Bone Miner Res</w:t>
      </w:r>
      <w:r>
        <w:rPr>
          <w:sz w:val="22"/>
        </w:rPr>
        <w:t>. 1996;11:835.</w:t>
      </w:r>
    </w:p>
    <w:p>
      <w:pPr>
        <w:pStyle w:val="ListParagraph"/>
        <w:numPr>
          <w:ilvl w:val="0"/>
          <w:numId w:val="8"/>
        </w:numPr>
        <w:tabs>
          <w:tab w:pos="709" w:val="left" w:leader="none"/>
          <w:tab w:pos="718" w:val="left" w:leader="none"/>
        </w:tabs>
        <w:spacing w:line="256" w:lineRule="auto" w:before="0" w:after="0"/>
        <w:ind w:left="718" w:right="110" w:hanging="507"/>
        <w:jc w:val="both"/>
        <w:rPr>
          <w:sz w:val="22"/>
        </w:rPr>
      </w:pPr>
      <w:r>
        <w:rPr>
          <w:sz w:val="22"/>
        </w:rPr>
        <w:t>Boss SM, Huster WJ, Neild JA, Glant MD, Eisenhut CC, Draper MW. Effects of raloxifene hydrochloride on the endometrium of postmenopausal women. </w:t>
      </w:r>
      <w:r>
        <w:rPr>
          <w:i/>
          <w:sz w:val="22"/>
        </w:rPr>
        <w:t>Am J Obstet Gynecol</w:t>
      </w:r>
      <w:r>
        <w:rPr>
          <w:sz w:val="22"/>
        </w:rPr>
        <w:t>. </w:t>
      </w:r>
      <w:r>
        <w:rPr>
          <w:spacing w:val="-2"/>
          <w:sz w:val="22"/>
        </w:rPr>
        <w:t>1997;177:1458.</w:t>
      </w:r>
    </w:p>
    <w:p>
      <w:pPr>
        <w:pStyle w:val="ListParagraph"/>
        <w:numPr>
          <w:ilvl w:val="0"/>
          <w:numId w:val="8"/>
        </w:numPr>
        <w:tabs>
          <w:tab w:pos="709" w:val="left" w:leader="none"/>
          <w:tab w:pos="718" w:val="left" w:leader="none"/>
        </w:tabs>
        <w:spacing w:line="256" w:lineRule="auto" w:before="0" w:after="0"/>
        <w:ind w:left="718" w:right="106" w:hanging="507"/>
        <w:jc w:val="both"/>
        <w:rPr>
          <w:sz w:val="22"/>
        </w:rPr>
      </w:pPr>
      <w:r>
        <w:rPr>
          <w:sz w:val="22"/>
        </w:rPr>
        <w:t>Heaney RP, Draper MW. Raloxifene and estrogen: comparative bone-remodeling kinetics. </w:t>
      </w:r>
      <w:r>
        <w:rPr>
          <w:i/>
          <w:sz w:val="22"/>
        </w:rPr>
        <w:t>J</w:t>
      </w:r>
      <w:r>
        <w:rPr>
          <w:i/>
          <w:spacing w:val="40"/>
          <w:sz w:val="22"/>
        </w:rPr>
        <w:t> </w:t>
      </w:r>
      <w:r>
        <w:rPr>
          <w:i/>
          <w:sz w:val="22"/>
        </w:rPr>
        <w:t>Clin Endocrinol Metab</w:t>
      </w:r>
      <w:r>
        <w:rPr>
          <w:sz w:val="22"/>
        </w:rPr>
        <w:t>. 1997;82:3425.</w:t>
      </w:r>
    </w:p>
    <w:p>
      <w:pPr>
        <w:pStyle w:val="ListParagraph"/>
        <w:numPr>
          <w:ilvl w:val="0"/>
          <w:numId w:val="8"/>
        </w:numPr>
        <w:tabs>
          <w:tab w:pos="709" w:val="left" w:leader="none"/>
          <w:tab w:pos="718" w:val="left" w:leader="none"/>
        </w:tabs>
        <w:spacing w:line="256" w:lineRule="auto" w:before="0" w:after="0"/>
        <w:ind w:left="718" w:right="100" w:hanging="507"/>
        <w:jc w:val="both"/>
        <w:rPr>
          <w:sz w:val="22"/>
        </w:rPr>
      </w:pPr>
      <w:r>
        <w:rPr>
          <w:sz w:val="22"/>
        </w:rPr>
        <w:t>Neele SJM, Evertz R, De Valk-De Roo G, Roos JC, Netelenbos JC. Effect of 1 year of discontinuation of raloxifene or estrogen therapy on bone mineral density after 5 years </w:t>
      </w:r>
      <w:r>
        <w:rPr>
          <w:sz w:val="22"/>
        </w:rPr>
        <w:t>of treatment in healthy postmenopausal women. </w:t>
      </w:r>
      <w:r>
        <w:rPr>
          <w:i/>
          <w:sz w:val="22"/>
        </w:rPr>
        <w:t>Bone</w:t>
      </w:r>
      <w:r>
        <w:rPr>
          <w:sz w:val="22"/>
        </w:rPr>
        <w:t>. 2002;30:599.</w:t>
      </w:r>
    </w:p>
    <w:p>
      <w:pPr>
        <w:pStyle w:val="ListParagraph"/>
        <w:numPr>
          <w:ilvl w:val="0"/>
          <w:numId w:val="8"/>
        </w:numPr>
        <w:tabs>
          <w:tab w:pos="709" w:val="left" w:leader="none"/>
          <w:tab w:pos="718" w:val="left" w:leader="none"/>
        </w:tabs>
        <w:spacing w:line="256" w:lineRule="auto" w:before="0" w:after="0"/>
        <w:ind w:left="718" w:right="100" w:hanging="507"/>
        <w:jc w:val="both"/>
        <w:rPr>
          <w:sz w:val="22"/>
        </w:rPr>
      </w:pPr>
      <w:r>
        <w:rPr>
          <w:sz w:val="22"/>
        </w:rPr>
        <w:t>Meunier</w:t>
      </w:r>
      <w:r>
        <w:rPr>
          <w:spacing w:val="40"/>
          <w:sz w:val="22"/>
        </w:rPr>
        <w:t> </w:t>
      </w:r>
      <w:r>
        <w:rPr>
          <w:sz w:val="22"/>
        </w:rPr>
        <w:t>PJ,</w:t>
      </w:r>
      <w:r>
        <w:rPr>
          <w:spacing w:val="40"/>
          <w:sz w:val="22"/>
        </w:rPr>
        <w:t> </w:t>
      </w:r>
      <w:r>
        <w:rPr>
          <w:sz w:val="22"/>
        </w:rPr>
        <w:t>Vignot</w:t>
      </w:r>
      <w:r>
        <w:rPr>
          <w:spacing w:val="40"/>
          <w:sz w:val="22"/>
        </w:rPr>
        <w:t> </w:t>
      </w:r>
      <w:r>
        <w:rPr>
          <w:sz w:val="22"/>
        </w:rPr>
        <w:t>E,</w:t>
      </w:r>
      <w:r>
        <w:rPr>
          <w:spacing w:val="40"/>
          <w:sz w:val="22"/>
        </w:rPr>
        <w:t> </w:t>
      </w:r>
      <w:r>
        <w:rPr>
          <w:sz w:val="22"/>
        </w:rPr>
        <w:t>Garnero</w:t>
      </w:r>
      <w:r>
        <w:rPr>
          <w:spacing w:val="40"/>
          <w:sz w:val="22"/>
        </w:rPr>
        <w:t> </w:t>
      </w:r>
      <w:r>
        <w:rPr>
          <w:sz w:val="22"/>
        </w:rPr>
        <w:t>P,</w:t>
      </w:r>
      <w:r>
        <w:rPr>
          <w:spacing w:val="40"/>
          <w:sz w:val="22"/>
        </w:rPr>
        <w:t> </w:t>
      </w:r>
      <w:r>
        <w:rPr>
          <w:sz w:val="22"/>
        </w:rPr>
        <w:t>et</w:t>
      </w:r>
      <w:r>
        <w:rPr>
          <w:spacing w:val="40"/>
          <w:sz w:val="22"/>
        </w:rPr>
        <w:t> </w:t>
      </w:r>
      <w:r>
        <w:rPr>
          <w:sz w:val="22"/>
        </w:rPr>
        <w:t>al;</w:t>
      </w:r>
      <w:r>
        <w:rPr>
          <w:spacing w:val="40"/>
          <w:sz w:val="22"/>
        </w:rPr>
        <w:t> </w:t>
      </w:r>
      <w:r>
        <w:rPr>
          <w:sz w:val="22"/>
        </w:rPr>
        <w:t>Raloxifene</w:t>
      </w:r>
      <w:r>
        <w:rPr>
          <w:spacing w:val="40"/>
          <w:sz w:val="22"/>
        </w:rPr>
        <w:t> </w:t>
      </w:r>
      <w:r>
        <w:rPr>
          <w:sz w:val="22"/>
        </w:rPr>
        <w:t>Study</w:t>
      </w:r>
      <w:r>
        <w:rPr>
          <w:spacing w:val="40"/>
          <w:sz w:val="22"/>
        </w:rPr>
        <w:t> </w:t>
      </w:r>
      <w:r>
        <w:rPr>
          <w:sz w:val="22"/>
        </w:rPr>
        <w:t>Group.</w:t>
      </w:r>
      <w:r>
        <w:rPr>
          <w:spacing w:val="40"/>
          <w:sz w:val="22"/>
        </w:rPr>
        <w:t> </w:t>
      </w:r>
      <w:r>
        <w:rPr>
          <w:sz w:val="22"/>
        </w:rPr>
        <w:t>Treatment</w:t>
      </w:r>
      <w:r>
        <w:rPr>
          <w:spacing w:val="40"/>
          <w:sz w:val="22"/>
        </w:rPr>
        <w:t> </w:t>
      </w:r>
      <w:r>
        <w:rPr>
          <w:sz w:val="22"/>
        </w:rPr>
        <w:t>of postmenopausal</w:t>
      </w:r>
      <w:r>
        <w:rPr>
          <w:spacing w:val="40"/>
          <w:sz w:val="22"/>
        </w:rPr>
        <w:t> </w:t>
      </w:r>
      <w:r>
        <w:rPr>
          <w:sz w:val="22"/>
        </w:rPr>
        <w:t>women</w:t>
      </w:r>
      <w:r>
        <w:rPr>
          <w:spacing w:val="40"/>
          <w:sz w:val="22"/>
        </w:rPr>
        <w:t> </w:t>
      </w:r>
      <w:r>
        <w:rPr>
          <w:sz w:val="22"/>
        </w:rPr>
        <w:t>with</w:t>
      </w:r>
      <w:r>
        <w:rPr>
          <w:spacing w:val="40"/>
          <w:sz w:val="22"/>
        </w:rPr>
        <w:t> </w:t>
      </w:r>
      <w:r>
        <w:rPr>
          <w:sz w:val="22"/>
        </w:rPr>
        <w:t>osteoporosis</w:t>
      </w:r>
      <w:r>
        <w:rPr>
          <w:spacing w:val="40"/>
          <w:sz w:val="22"/>
        </w:rPr>
        <w:t> </w:t>
      </w:r>
      <w:r>
        <w:rPr>
          <w:sz w:val="22"/>
        </w:rPr>
        <w:t>or</w:t>
      </w:r>
      <w:r>
        <w:rPr>
          <w:spacing w:val="40"/>
          <w:sz w:val="22"/>
        </w:rPr>
        <w:t> </w:t>
      </w:r>
      <w:r>
        <w:rPr>
          <w:sz w:val="22"/>
        </w:rPr>
        <w:t>low</w:t>
      </w:r>
      <w:r>
        <w:rPr>
          <w:spacing w:val="40"/>
          <w:sz w:val="22"/>
        </w:rPr>
        <w:t> </w:t>
      </w:r>
      <w:r>
        <w:rPr>
          <w:sz w:val="22"/>
        </w:rPr>
        <w:t>bone</w:t>
      </w:r>
      <w:r>
        <w:rPr>
          <w:spacing w:val="40"/>
          <w:sz w:val="22"/>
        </w:rPr>
        <w:t> </w:t>
      </w:r>
      <w:r>
        <w:rPr>
          <w:sz w:val="22"/>
        </w:rPr>
        <w:t>density</w:t>
      </w:r>
      <w:r>
        <w:rPr>
          <w:spacing w:val="40"/>
          <w:sz w:val="22"/>
        </w:rPr>
        <w:t> </w:t>
      </w:r>
      <w:r>
        <w:rPr>
          <w:sz w:val="22"/>
        </w:rPr>
        <w:t>with</w:t>
      </w:r>
      <w:r>
        <w:rPr>
          <w:spacing w:val="40"/>
          <w:sz w:val="22"/>
        </w:rPr>
        <w:t> </w:t>
      </w:r>
      <w:r>
        <w:rPr>
          <w:sz w:val="22"/>
        </w:rPr>
        <w:t>raloxifene.</w:t>
      </w:r>
      <w:r>
        <w:rPr>
          <w:spacing w:val="40"/>
          <w:sz w:val="22"/>
        </w:rPr>
        <w:t> </w:t>
      </w:r>
      <w:r>
        <w:rPr>
          <w:i/>
          <w:sz w:val="22"/>
        </w:rPr>
        <w:t>Osteoporos</w:t>
      </w:r>
      <w:r>
        <w:rPr>
          <w:i/>
          <w:sz w:val="22"/>
        </w:rPr>
        <w:t> Int</w:t>
      </w:r>
      <w:r>
        <w:rPr>
          <w:sz w:val="22"/>
        </w:rPr>
        <w:t>. 1999;10:330.</w:t>
      </w:r>
    </w:p>
    <w:p>
      <w:pPr>
        <w:pStyle w:val="ListParagraph"/>
        <w:numPr>
          <w:ilvl w:val="0"/>
          <w:numId w:val="8"/>
        </w:numPr>
        <w:tabs>
          <w:tab w:pos="709" w:val="left" w:leader="none"/>
          <w:tab w:pos="718" w:val="left" w:leader="none"/>
        </w:tabs>
        <w:spacing w:line="256" w:lineRule="auto" w:before="0" w:after="0"/>
        <w:ind w:left="718" w:right="104" w:hanging="507"/>
        <w:jc w:val="both"/>
        <w:rPr>
          <w:sz w:val="22"/>
        </w:rPr>
      </w:pPr>
      <w:r>
        <w:rPr>
          <w:sz w:val="22"/>
        </w:rPr>
        <w:t>Bjarnason</w:t>
      </w:r>
      <w:r>
        <w:rPr>
          <w:spacing w:val="40"/>
          <w:sz w:val="22"/>
        </w:rPr>
        <w:t> </w:t>
      </w:r>
      <w:r>
        <w:rPr>
          <w:sz w:val="22"/>
        </w:rPr>
        <w:t>NH,</w:t>
      </w:r>
      <w:r>
        <w:rPr>
          <w:spacing w:val="40"/>
          <w:sz w:val="22"/>
        </w:rPr>
        <w:t> </w:t>
      </w:r>
      <w:r>
        <w:rPr>
          <w:sz w:val="22"/>
        </w:rPr>
        <w:t>Sarkar</w:t>
      </w:r>
      <w:r>
        <w:rPr>
          <w:spacing w:val="40"/>
          <w:sz w:val="22"/>
        </w:rPr>
        <w:t> </w:t>
      </w:r>
      <w:r>
        <w:rPr>
          <w:sz w:val="22"/>
        </w:rPr>
        <w:t>S,</w:t>
      </w:r>
      <w:r>
        <w:rPr>
          <w:spacing w:val="40"/>
          <w:sz w:val="22"/>
        </w:rPr>
        <w:t> </w:t>
      </w:r>
      <w:r>
        <w:rPr>
          <w:sz w:val="22"/>
        </w:rPr>
        <w:t>Duong</w:t>
      </w:r>
      <w:r>
        <w:rPr>
          <w:spacing w:val="40"/>
          <w:sz w:val="22"/>
        </w:rPr>
        <w:t> </w:t>
      </w:r>
      <w:r>
        <w:rPr>
          <w:sz w:val="22"/>
        </w:rPr>
        <w:t>T,</w:t>
      </w:r>
      <w:r>
        <w:rPr>
          <w:spacing w:val="40"/>
          <w:sz w:val="22"/>
        </w:rPr>
        <w:t> </w:t>
      </w:r>
      <w:r>
        <w:rPr>
          <w:sz w:val="22"/>
        </w:rPr>
        <w:t>Mitlak</w:t>
      </w:r>
      <w:r>
        <w:rPr>
          <w:spacing w:val="40"/>
          <w:sz w:val="22"/>
        </w:rPr>
        <w:t> </w:t>
      </w:r>
      <w:r>
        <w:rPr>
          <w:sz w:val="22"/>
        </w:rPr>
        <w:t>B,</w:t>
      </w:r>
      <w:r>
        <w:rPr>
          <w:spacing w:val="40"/>
          <w:sz w:val="22"/>
        </w:rPr>
        <w:t> </w:t>
      </w:r>
      <w:r>
        <w:rPr>
          <w:sz w:val="22"/>
        </w:rPr>
        <w:t>Delmas</w:t>
      </w:r>
      <w:r>
        <w:rPr>
          <w:spacing w:val="40"/>
          <w:sz w:val="22"/>
        </w:rPr>
        <w:t> </w:t>
      </w:r>
      <w:r>
        <w:rPr>
          <w:sz w:val="22"/>
        </w:rPr>
        <w:t>PD,</w:t>
      </w:r>
      <w:r>
        <w:rPr>
          <w:spacing w:val="40"/>
          <w:sz w:val="22"/>
        </w:rPr>
        <w:t> </w:t>
      </w:r>
      <w:r>
        <w:rPr>
          <w:sz w:val="22"/>
        </w:rPr>
        <w:t>Christiansen</w:t>
      </w:r>
      <w:r>
        <w:rPr>
          <w:spacing w:val="40"/>
          <w:sz w:val="22"/>
        </w:rPr>
        <w:t> </w:t>
      </w:r>
      <w:r>
        <w:rPr>
          <w:sz w:val="22"/>
        </w:rPr>
        <w:t>C.</w:t>
      </w:r>
      <w:r>
        <w:rPr>
          <w:spacing w:val="40"/>
          <w:sz w:val="22"/>
        </w:rPr>
        <w:t> </w:t>
      </w:r>
      <w:r>
        <w:rPr>
          <w:sz w:val="22"/>
        </w:rPr>
        <w:t>Six</w:t>
      </w:r>
      <w:r>
        <w:rPr>
          <w:spacing w:val="40"/>
          <w:sz w:val="22"/>
        </w:rPr>
        <w:t> </w:t>
      </w:r>
      <w:r>
        <w:rPr>
          <w:sz w:val="22"/>
        </w:rPr>
        <w:t>and</w:t>
      </w:r>
      <w:r>
        <w:rPr>
          <w:spacing w:val="40"/>
          <w:sz w:val="22"/>
        </w:rPr>
        <w:t> </w:t>
      </w:r>
      <w:r>
        <w:rPr>
          <w:sz w:val="22"/>
        </w:rPr>
        <w:t>twelve month</w:t>
      </w:r>
      <w:r>
        <w:rPr>
          <w:spacing w:val="40"/>
          <w:sz w:val="22"/>
        </w:rPr>
        <w:t> </w:t>
      </w:r>
      <w:r>
        <w:rPr>
          <w:sz w:val="22"/>
        </w:rPr>
        <w:t>changes</w:t>
      </w:r>
      <w:r>
        <w:rPr>
          <w:spacing w:val="40"/>
          <w:sz w:val="22"/>
        </w:rPr>
        <w:t> </w:t>
      </w:r>
      <w:r>
        <w:rPr>
          <w:sz w:val="22"/>
        </w:rPr>
        <w:t>in</w:t>
      </w:r>
      <w:r>
        <w:rPr>
          <w:spacing w:val="40"/>
          <w:sz w:val="22"/>
        </w:rPr>
        <w:t> </w:t>
      </w:r>
      <w:r>
        <w:rPr>
          <w:sz w:val="22"/>
        </w:rPr>
        <w:t>bone</w:t>
      </w:r>
      <w:r>
        <w:rPr>
          <w:spacing w:val="40"/>
          <w:sz w:val="22"/>
        </w:rPr>
        <w:t> </w:t>
      </w:r>
      <w:r>
        <w:rPr>
          <w:sz w:val="22"/>
        </w:rPr>
        <w:t>turnover</w:t>
      </w:r>
      <w:r>
        <w:rPr>
          <w:spacing w:val="40"/>
          <w:sz w:val="22"/>
        </w:rPr>
        <w:t> </w:t>
      </w:r>
      <w:r>
        <w:rPr>
          <w:sz w:val="22"/>
        </w:rPr>
        <w:t>are</w:t>
      </w:r>
      <w:r>
        <w:rPr>
          <w:spacing w:val="40"/>
          <w:sz w:val="22"/>
        </w:rPr>
        <w:t> </w:t>
      </w:r>
      <w:r>
        <w:rPr>
          <w:sz w:val="22"/>
        </w:rPr>
        <w:t>related</w:t>
      </w:r>
      <w:r>
        <w:rPr>
          <w:spacing w:val="40"/>
          <w:sz w:val="22"/>
        </w:rPr>
        <w:t> </w:t>
      </w:r>
      <w:r>
        <w:rPr>
          <w:sz w:val="22"/>
        </w:rPr>
        <w:t>to</w:t>
      </w:r>
      <w:r>
        <w:rPr>
          <w:spacing w:val="40"/>
          <w:sz w:val="22"/>
        </w:rPr>
        <w:t> </w:t>
      </w:r>
      <w:r>
        <w:rPr>
          <w:sz w:val="22"/>
        </w:rPr>
        <w:t>reduction</w:t>
      </w:r>
      <w:r>
        <w:rPr>
          <w:spacing w:val="40"/>
          <w:sz w:val="22"/>
        </w:rPr>
        <w:t> </w:t>
      </w:r>
      <w:r>
        <w:rPr>
          <w:sz w:val="22"/>
        </w:rPr>
        <w:t>in</w:t>
      </w:r>
      <w:r>
        <w:rPr>
          <w:spacing w:val="40"/>
          <w:sz w:val="22"/>
        </w:rPr>
        <w:t> </w:t>
      </w:r>
      <w:r>
        <w:rPr>
          <w:sz w:val="22"/>
        </w:rPr>
        <w:t>vertebral</w:t>
      </w:r>
      <w:r>
        <w:rPr>
          <w:spacing w:val="40"/>
          <w:sz w:val="22"/>
        </w:rPr>
        <w:t> </w:t>
      </w:r>
      <w:r>
        <w:rPr>
          <w:sz w:val="22"/>
        </w:rPr>
        <w:t>fracture</w:t>
      </w:r>
      <w:r>
        <w:rPr>
          <w:spacing w:val="40"/>
          <w:sz w:val="22"/>
        </w:rPr>
        <w:t> </w:t>
      </w:r>
      <w:r>
        <w:rPr>
          <w:sz w:val="22"/>
        </w:rPr>
        <w:t>risk</w:t>
      </w:r>
      <w:r>
        <w:rPr>
          <w:spacing w:val="40"/>
          <w:sz w:val="22"/>
        </w:rPr>
        <w:t> </w:t>
      </w:r>
      <w:r>
        <w:rPr>
          <w:sz w:val="22"/>
        </w:rPr>
        <w:t>during</w:t>
      </w:r>
      <w:r>
        <w:rPr>
          <w:spacing w:val="40"/>
          <w:sz w:val="22"/>
        </w:rPr>
        <w:t> </w:t>
      </w:r>
      <w:r>
        <w:rPr>
          <w:sz w:val="22"/>
        </w:rPr>
        <w:t>3 years of raloxifene treatment in postmenopausal osteoporosis. </w:t>
      </w:r>
      <w:r>
        <w:rPr>
          <w:i/>
          <w:sz w:val="22"/>
        </w:rPr>
        <w:t>Osteoporos Int</w:t>
      </w:r>
      <w:r>
        <w:rPr>
          <w:sz w:val="22"/>
        </w:rPr>
        <w:t>. 2001;12:922.</w:t>
      </w:r>
    </w:p>
    <w:p>
      <w:pPr>
        <w:pStyle w:val="ListParagraph"/>
        <w:numPr>
          <w:ilvl w:val="0"/>
          <w:numId w:val="8"/>
        </w:numPr>
        <w:tabs>
          <w:tab w:pos="709" w:val="left" w:leader="none"/>
          <w:tab w:pos="718" w:val="left" w:leader="none"/>
        </w:tabs>
        <w:spacing w:line="252" w:lineRule="auto" w:before="0" w:after="0"/>
        <w:ind w:left="718" w:right="99" w:hanging="507"/>
        <w:jc w:val="both"/>
        <w:rPr>
          <w:sz w:val="22"/>
        </w:rPr>
      </w:pPr>
      <w:r>
        <w:rPr>
          <w:sz w:val="22"/>
        </w:rPr>
        <w:t>Sambrook PN, Geusens P, Ribot C, et al. Alendronate produces greater effects than raloxifene</w:t>
      </w:r>
      <w:r>
        <w:rPr>
          <w:spacing w:val="40"/>
          <w:sz w:val="22"/>
        </w:rPr>
        <w:t> </w:t>
      </w:r>
      <w:r>
        <w:rPr>
          <w:sz w:val="22"/>
        </w:rPr>
        <w:t>on</w:t>
      </w:r>
      <w:r>
        <w:rPr>
          <w:spacing w:val="27"/>
          <w:sz w:val="22"/>
        </w:rPr>
        <w:t> </w:t>
      </w:r>
      <w:r>
        <w:rPr>
          <w:sz w:val="22"/>
        </w:rPr>
        <w:t>bone</w:t>
      </w:r>
      <w:r>
        <w:rPr>
          <w:spacing w:val="27"/>
          <w:sz w:val="22"/>
        </w:rPr>
        <w:t> </w:t>
      </w:r>
      <w:r>
        <w:rPr>
          <w:sz w:val="22"/>
        </w:rPr>
        <w:t>density</w:t>
      </w:r>
      <w:r>
        <w:rPr>
          <w:spacing w:val="27"/>
          <w:sz w:val="22"/>
        </w:rPr>
        <w:t> </w:t>
      </w:r>
      <w:r>
        <w:rPr>
          <w:sz w:val="22"/>
        </w:rPr>
        <w:t>and</w:t>
      </w:r>
      <w:r>
        <w:rPr>
          <w:spacing w:val="27"/>
          <w:sz w:val="22"/>
        </w:rPr>
        <w:t> </w:t>
      </w:r>
      <w:r>
        <w:rPr>
          <w:sz w:val="22"/>
        </w:rPr>
        <w:t>bone</w:t>
      </w:r>
      <w:r>
        <w:rPr>
          <w:spacing w:val="27"/>
          <w:sz w:val="22"/>
        </w:rPr>
        <w:t> </w:t>
      </w:r>
      <w:r>
        <w:rPr>
          <w:sz w:val="22"/>
        </w:rPr>
        <w:t>turnover</w:t>
      </w:r>
      <w:r>
        <w:rPr>
          <w:spacing w:val="27"/>
          <w:sz w:val="22"/>
        </w:rPr>
        <w:t> </w:t>
      </w:r>
      <w:r>
        <w:rPr>
          <w:sz w:val="22"/>
        </w:rPr>
        <w:t>in</w:t>
      </w:r>
      <w:r>
        <w:rPr>
          <w:spacing w:val="27"/>
          <w:sz w:val="22"/>
        </w:rPr>
        <w:t> </w:t>
      </w:r>
      <w:r>
        <w:rPr>
          <w:sz w:val="22"/>
        </w:rPr>
        <w:t>postmenopausal</w:t>
      </w:r>
      <w:r>
        <w:rPr>
          <w:spacing w:val="27"/>
          <w:sz w:val="22"/>
        </w:rPr>
        <w:t> </w:t>
      </w:r>
      <w:r>
        <w:rPr>
          <w:sz w:val="22"/>
        </w:rPr>
        <w:t>women</w:t>
      </w:r>
      <w:r>
        <w:rPr>
          <w:spacing w:val="27"/>
          <w:sz w:val="22"/>
        </w:rPr>
        <w:t> </w:t>
      </w:r>
      <w:r>
        <w:rPr>
          <w:sz w:val="22"/>
        </w:rPr>
        <w:t>with</w:t>
      </w:r>
      <w:r>
        <w:rPr>
          <w:spacing w:val="27"/>
          <w:sz w:val="22"/>
        </w:rPr>
        <w:t> </w:t>
      </w:r>
      <w:r>
        <w:rPr>
          <w:sz w:val="22"/>
        </w:rPr>
        <w:t>low</w:t>
      </w:r>
      <w:r>
        <w:rPr>
          <w:spacing w:val="27"/>
          <w:sz w:val="22"/>
        </w:rPr>
        <w:t> </w:t>
      </w:r>
      <w:r>
        <w:rPr>
          <w:sz w:val="22"/>
        </w:rPr>
        <w:t>bone</w:t>
      </w:r>
      <w:r>
        <w:rPr>
          <w:spacing w:val="27"/>
          <w:sz w:val="22"/>
        </w:rPr>
        <w:t> </w:t>
      </w:r>
      <w:r>
        <w:rPr>
          <w:sz w:val="22"/>
        </w:rPr>
        <w:t>density:</w:t>
      </w:r>
      <w:r>
        <w:rPr>
          <w:spacing w:val="27"/>
          <w:sz w:val="22"/>
        </w:rPr>
        <w:t> </w:t>
      </w:r>
      <w:r>
        <w:rPr>
          <w:sz w:val="22"/>
        </w:rPr>
        <w:t>results of EFFECT (</w:t>
      </w:r>
      <w:r>
        <w:rPr>
          <w:i/>
          <w:sz w:val="22"/>
        </w:rPr>
        <w:t>EF</w:t>
      </w:r>
      <w:r>
        <w:rPr>
          <w:sz w:val="22"/>
        </w:rPr>
        <w:t>ficacy of </w:t>
      </w:r>
      <w:r>
        <w:rPr>
          <w:i/>
          <w:sz w:val="22"/>
        </w:rPr>
        <w:t>F</w:t>
      </w:r>
      <w:r>
        <w:rPr>
          <w:sz w:val="22"/>
        </w:rPr>
        <w:t>OSAMAX</w:t>
      </w:r>
      <w:r>
        <w:rPr>
          <w:position w:val="9"/>
          <w:sz w:val="17"/>
        </w:rPr>
        <w:t>® </w:t>
      </w:r>
      <w:r>
        <w:rPr>
          <w:sz w:val="22"/>
        </w:rPr>
        <w:t>versus </w:t>
      </w:r>
      <w:r>
        <w:rPr>
          <w:i/>
          <w:sz w:val="22"/>
        </w:rPr>
        <w:t>E</w:t>
      </w:r>
      <w:r>
        <w:rPr>
          <w:sz w:val="22"/>
        </w:rPr>
        <w:t>VISTA</w:t>
      </w:r>
      <w:r>
        <w:rPr>
          <w:position w:val="9"/>
          <w:sz w:val="17"/>
        </w:rPr>
        <w:t>® </w:t>
      </w:r>
      <w:r>
        <w:rPr>
          <w:i/>
          <w:sz w:val="22"/>
        </w:rPr>
        <w:t>C</w:t>
      </w:r>
      <w:r>
        <w:rPr>
          <w:sz w:val="22"/>
        </w:rPr>
        <w:t>omparison </w:t>
      </w:r>
      <w:r>
        <w:rPr>
          <w:i/>
          <w:sz w:val="22"/>
        </w:rPr>
        <w:t>T</w:t>
      </w:r>
      <w:r>
        <w:rPr>
          <w:sz w:val="22"/>
        </w:rPr>
        <w:t>rial) International. </w:t>
      </w:r>
      <w:r>
        <w:rPr>
          <w:i/>
          <w:sz w:val="22"/>
        </w:rPr>
        <w:t>J</w:t>
      </w:r>
      <w:r>
        <w:rPr>
          <w:i/>
          <w:sz w:val="22"/>
        </w:rPr>
        <w:t> Intern Med</w:t>
      </w:r>
      <w:r>
        <w:rPr>
          <w:sz w:val="22"/>
        </w:rPr>
        <w:t>. 2004;255:503.</w:t>
      </w:r>
    </w:p>
    <w:p>
      <w:pPr>
        <w:pStyle w:val="ListParagraph"/>
        <w:numPr>
          <w:ilvl w:val="0"/>
          <w:numId w:val="8"/>
        </w:numPr>
        <w:tabs>
          <w:tab w:pos="709" w:val="left" w:leader="none"/>
          <w:tab w:pos="718" w:val="left" w:leader="none"/>
        </w:tabs>
        <w:spacing w:line="256" w:lineRule="auto" w:before="0" w:after="0"/>
        <w:ind w:left="718" w:right="105" w:hanging="507"/>
        <w:jc w:val="both"/>
        <w:rPr>
          <w:sz w:val="22"/>
        </w:rPr>
      </w:pPr>
      <w:r>
        <w:rPr>
          <w:sz w:val="22"/>
        </w:rPr>
        <w:t>Delmas PD, Ensrud KE, Adachi JD, et al; Multiple Outcomes of Raloxifene </w:t>
      </w:r>
      <w:r>
        <w:rPr>
          <w:sz w:val="22"/>
        </w:rPr>
        <w:t>Evaluation Investigators.</w:t>
      </w:r>
      <w:r>
        <w:rPr>
          <w:spacing w:val="40"/>
          <w:sz w:val="22"/>
        </w:rPr>
        <w:t> </w:t>
      </w:r>
      <w:r>
        <w:rPr>
          <w:sz w:val="22"/>
        </w:rPr>
        <w:t>Efficacy</w:t>
      </w:r>
      <w:r>
        <w:rPr>
          <w:spacing w:val="40"/>
          <w:sz w:val="22"/>
        </w:rPr>
        <w:t> </w:t>
      </w:r>
      <w:r>
        <w:rPr>
          <w:sz w:val="22"/>
        </w:rPr>
        <w:t>of</w:t>
      </w:r>
      <w:r>
        <w:rPr>
          <w:spacing w:val="40"/>
          <w:sz w:val="22"/>
        </w:rPr>
        <w:t> </w:t>
      </w:r>
      <w:r>
        <w:rPr>
          <w:sz w:val="22"/>
        </w:rPr>
        <w:t>raloxifene</w:t>
      </w:r>
      <w:r>
        <w:rPr>
          <w:spacing w:val="40"/>
          <w:sz w:val="22"/>
        </w:rPr>
        <w:t> </w:t>
      </w:r>
      <w:r>
        <w:rPr>
          <w:sz w:val="22"/>
        </w:rPr>
        <w:t>on</w:t>
      </w:r>
      <w:r>
        <w:rPr>
          <w:spacing w:val="40"/>
          <w:sz w:val="22"/>
        </w:rPr>
        <w:t> </w:t>
      </w:r>
      <w:r>
        <w:rPr>
          <w:sz w:val="22"/>
        </w:rPr>
        <w:t>vertebral</w:t>
      </w:r>
      <w:r>
        <w:rPr>
          <w:spacing w:val="40"/>
          <w:sz w:val="22"/>
        </w:rPr>
        <w:t> </w:t>
      </w:r>
      <w:r>
        <w:rPr>
          <w:sz w:val="22"/>
        </w:rPr>
        <w:t>fracture</w:t>
      </w:r>
      <w:r>
        <w:rPr>
          <w:spacing w:val="40"/>
          <w:sz w:val="22"/>
        </w:rPr>
        <w:t> </w:t>
      </w:r>
      <w:r>
        <w:rPr>
          <w:sz w:val="22"/>
        </w:rPr>
        <w:t>risk</w:t>
      </w:r>
      <w:r>
        <w:rPr>
          <w:spacing w:val="40"/>
          <w:sz w:val="22"/>
        </w:rPr>
        <w:t> </w:t>
      </w:r>
      <w:r>
        <w:rPr>
          <w:sz w:val="22"/>
        </w:rPr>
        <w:t>reduction</w:t>
      </w:r>
      <w:r>
        <w:rPr>
          <w:spacing w:val="40"/>
          <w:sz w:val="22"/>
        </w:rPr>
        <w:t> </w:t>
      </w:r>
      <w:r>
        <w:rPr>
          <w:sz w:val="22"/>
        </w:rPr>
        <w:t>in</w:t>
      </w:r>
      <w:r>
        <w:rPr>
          <w:spacing w:val="40"/>
          <w:sz w:val="22"/>
        </w:rPr>
        <w:t> </w:t>
      </w:r>
      <w:r>
        <w:rPr>
          <w:sz w:val="22"/>
        </w:rPr>
        <w:t>postmenopausal</w:t>
      </w:r>
    </w:p>
    <w:p>
      <w:pPr>
        <w:pStyle w:val="ListParagraph"/>
        <w:spacing w:after="0" w:line="256" w:lineRule="auto"/>
        <w:jc w:val="both"/>
        <w:rPr>
          <w:sz w:val="22"/>
        </w:rPr>
        <w:sectPr>
          <w:pgSz w:w="12240" w:h="15840"/>
          <w:pgMar w:top="1360" w:bottom="280" w:left="1440" w:right="1440"/>
        </w:sectPr>
      </w:pPr>
    </w:p>
    <w:p>
      <w:pPr>
        <w:spacing w:line="256" w:lineRule="auto" w:before="84"/>
        <w:ind w:left="718" w:right="99" w:firstLine="0"/>
        <w:jc w:val="both"/>
        <w:rPr>
          <w:sz w:val="22"/>
        </w:rPr>
      </w:pPr>
      <w:r>
        <w:rPr>
          <w:sz w:val="22"/>
        </w:rPr>
        <w:t>women with osteoporosis: four-year results from a randomized clinical trial. </w:t>
      </w:r>
      <w:r>
        <w:rPr>
          <w:i/>
          <w:sz w:val="22"/>
        </w:rPr>
        <w:t>J Clin </w:t>
      </w:r>
      <w:r>
        <w:rPr>
          <w:i/>
          <w:sz w:val="22"/>
        </w:rPr>
        <w:t>Endocrinol</w:t>
      </w:r>
      <w:r>
        <w:rPr>
          <w:i/>
          <w:sz w:val="22"/>
        </w:rPr>
        <w:t> Metab</w:t>
      </w:r>
      <w:r>
        <w:rPr>
          <w:sz w:val="22"/>
        </w:rPr>
        <w:t>. 2002;87:3609.</w:t>
      </w:r>
    </w:p>
    <w:p>
      <w:pPr>
        <w:pStyle w:val="ListParagraph"/>
        <w:numPr>
          <w:ilvl w:val="0"/>
          <w:numId w:val="8"/>
        </w:numPr>
        <w:tabs>
          <w:tab w:pos="709" w:val="left" w:leader="none"/>
          <w:tab w:pos="718" w:val="left" w:leader="none"/>
        </w:tabs>
        <w:spacing w:line="256" w:lineRule="auto" w:before="0" w:after="0"/>
        <w:ind w:left="718" w:right="103" w:hanging="507"/>
        <w:jc w:val="both"/>
        <w:rPr>
          <w:sz w:val="22"/>
        </w:rPr>
      </w:pPr>
      <w:r>
        <w:rPr>
          <w:sz w:val="22"/>
        </w:rPr>
        <w:t>Siris ES, Harris ST, Eastell R, et al; Continuing Outcomes Relevant to Evista Investigators. Skeletal effects of raloxifene after 8 years: results from the Continuing Outcomes Relevant to Evista (CORE) study. </w:t>
      </w:r>
      <w:r>
        <w:rPr>
          <w:i/>
          <w:sz w:val="22"/>
        </w:rPr>
        <w:t>J Bone Miner Res</w:t>
      </w:r>
      <w:r>
        <w:rPr>
          <w:sz w:val="22"/>
        </w:rPr>
        <w:t>. 2005;20:1514.</w:t>
      </w:r>
    </w:p>
    <w:p>
      <w:pPr>
        <w:pStyle w:val="ListParagraph"/>
        <w:numPr>
          <w:ilvl w:val="0"/>
          <w:numId w:val="8"/>
        </w:numPr>
        <w:tabs>
          <w:tab w:pos="709" w:val="left" w:leader="none"/>
          <w:tab w:pos="718" w:val="left" w:leader="none"/>
        </w:tabs>
        <w:spacing w:line="256" w:lineRule="auto" w:before="0" w:after="0"/>
        <w:ind w:left="718" w:right="98" w:hanging="507"/>
        <w:jc w:val="both"/>
        <w:rPr>
          <w:sz w:val="22"/>
        </w:rPr>
      </w:pPr>
      <w:r>
        <w:rPr>
          <w:sz w:val="22"/>
        </w:rPr>
        <w:t>Silverman SL, Christiansen C, Genant HK, et al. Efficacy of bazedoxifene in reducing new vertebral fracture risk in postmenopausal women with osteoporosis: results from a 3-</w:t>
      </w:r>
      <w:r>
        <w:rPr>
          <w:sz w:val="22"/>
        </w:rPr>
        <w:t>year, randomized, placebo-, and active-controlled clinical trial. </w:t>
      </w:r>
      <w:r>
        <w:rPr>
          <w:i/>
          <w:sz w:val="22"/>
        </w:rPr>
        <w:t>J Bone Miner Res</w:t>
      </w:r>
      <w:r>
        <w:rPr>
          <w:sz w:val="22"/>
        </w:rPr>
        <w:t>. 2008;23:1923.</w:t>
      </w:r>
    </w:p>
    <w:p>
      <w:pPr>
        <w:pStyle w:val="ListParagraph"/>
        <w:numPr>
          <w:ilvl w:val="0"/>
          <w:numId w:val="8"/>
        </w:numPr>
        <w:tabs>
          <w:tab w:pos="709" w:val="left" w:leader="none"/>
          <w:tab w:pos="718" w:val="left" w:leader="none"/>
        </w:tabs>
        <w:spacing w:line="256" w:lineRule="auto" w:before="0" w:after="0"/>
        <w:ind w:left="718" w:right="110" w:hanging="507"/>
        <w:jc w:val="both"/>
        <w:rPr>
          <w:sz w:val="22"/>
        </w:rPr>
      </w:pPr>
      <w:r>
        <w:rPr>
          <w:sz w:val="22"/>
        </w:rPr>
        <w:t>Kanis JA, Johansson H, Oden A, McCloskey EV. Bazedoxifene reduces vertebral and clinical fractures in postmenopausal women at high risk assessed with FRAX. </w:t>
      </w:r>
      <w:r>
        <w:rPr>
          <w:i/>
          <w:sz w:val="22"/>
        </w:rPr>
        <w:t>Bone</w:t>
      </w:r>
      <w:r>
        <w:rPr>
          <w:sz w:val="22"/>
        </w:rPr>
        <w:t>. 2009;44(6):1049.</w:t>
      </w:r>
    </w:p>
    <w:p>
      <w:pPr>
        <w:pStyle w:val="ListParagraph"/>
        <w:numPr>
          <w:ilvl w:val="0"/>
          <w:numId w:val="8"/>
        </w:numPr>
        <w:tabs>
          <w:tab w:pos="709" w:val="left" w:leader="none"/>
          <w:tab w:pos="718" w:val="left" w:leader="none"/>
        </w:tabs>
        <w:spacing w:line="256" w:lineRule="auto" w:before="0" w:after="0"/>
        <w:ind w:left="718" w:right="98" w:hanging="507"/>
        <w:jc w:val="both"/>
        <w:rPr>
          <w:sz w:val="22"/>
        </w:rPr>
      </w:pPr>
      <w:r>
        <w:rPr>
          <w:sz w:val="22"/>
        </w:rPr>
        <w:t>Reid IR, Ames RW, Evans MC, Gamble GD, Sharpe SJ. Long-term effects of calcium supplementation</w:t>
      </w:r>
      <w:r>
        <w:rPr>
          <w:spacing w:val="40"/>
          <w:sz w:val="22"/>
        </w:rPr>
        <w:t> </w:t>
      </w:r>
      <w:r>
        <w:rPr>
          <w:sz w:val="22"/>
        </w:rPr>
        <w:t>on</w:t>
      </w:r>
      <w:r>
        <w:rPr>
          <w:spacing w:val="40"/>
          <w:sz w:val="22"/>
        </w:rPr>
        <w:t> </w:t>
      </w:r>
      <w:r>
        <w:rPr>
          <w:sz w:val="22"/>
        </w:rPr>
        <w:t>bone</w:t>
      </w:r>
      <w:r>
        <w:rPr>
          <w:spacing w:val="40"/>
          <w:sz w:val="22"/>
        </w:rPr>
        <w:t> </w:t>
      </w:r>
      <w:r>
        <w:rPr>
          <w:sz w:val="22"/>
        </w:rPr>
        <w:t>loss</w:t>
      </w:r>
      <w:r>
        <w:rPr>
          <w:spacing w:val="40"/>
          <w:sz w:val="22"/>
        </w:rPr>
        <w:t> </w:t>
      </w:r>
      <w:r>
        <w:rPr>
          <w:sz w:val="22"/>
        </w:rPr>
        <w:t>and</w:t>
      </w:r>
      <w:r>
        <w:rPr>
          <w:spacing w:val="40"/>
          <w:sz w:val="22"/>
        </w:rPr>
        <w:t> </w:t>
      </w:r>
      <w:r>
        <w:rPr>
          <w:sz w:val="22"/>
        </w:rPr>
        <w:t>fractures</w:t>
      </w:r>
      <w:r>
        <w:rPr>
          <w:spacing w:val="40"/>
          <w:sz w:val="22"/>
        </w:rPr>
        <w:t> </w:t>
      </w:r>
      <w:r>
        <w:rPr>
          <w:sz w:val="22"/>
        </w:rPr>
        <w:t>in</w:t>
      </w:r>
      <w:r>
        <w:rPr>
          <w:spacing w:val="40"/>
          <w:sz w:val="22"/>
        </w:rPr>
        <w:t> </w:t>
      </w:r>
      <w:r>
        <w:rPr>
          <w:sz w:val="22"/>
        </w:rPr>
        <w:t>postmenopausal</w:t>
      </w:r>
      <w:r>
        <w:rPr>
          <w:spacing w:val="40"/>
          <w:sz w:val="22"/>
        </w:rPr>
        <w:t> </w:t>
      </w:r>
      <w:r>
        <w:rPr>
          <w:sz w:val="22"/>
        </w:rPr>
        <w:t>women:</w:t>
      </w:r>
      <w:r>
        <w:rPr>
          <w:spacing w:val="40"/>
          <w:sz w:val="22"/>
        </w:rPr>
        <w:t> </w:t>
      </w:r>
      <w:r>
        <w:rPr>
          <w:sz w:val="22"/>
        </w:rPr>
        <w:t>a</w:t>
      </w:r>
      <w:r>
        <w:rPr>
          <w:spacing w:val="40"/>
          <w:sz w:val="22"/>
        </w:rPr>
        <w:t> </w:t>
      </w:r>
      <w:r>
        <w:rPr>
          <w:sz w:val="22"/>
        </w:rPr>
        <w:t>randomized controlled trial. </w:t>
      </w:r>
      <w:r>
        <w:rPr>
          <w:i/>
          <w:sz w:val="22"/>
        </w:rPr>
        <w:t>Am J Med</w:t>
      </w:r>
      <w:r>
        <w:rPr>
          <w:sz w:val="22"/>
        </w:rPr>
        <w:t>. 1995;98:331.</w:t>
      </w:r>
    </w:p>
    <w:p>
      <w:pPr>
        <w:pStyle w:val="ListParagraph"/>
        <w:numPr>
          <w:ilvl w:val="0"/>
          <w:numId w:val="8"/>
        </w:numPr>
        <w:tabs>
          <w:tab w:pos="709" w:val="left" w:leader="none"/>
          <w:tab w:pos="718" w:val="left" w:leader="none"/>
        </w:tabs>
        <w:spacing w:line="256" w:lineRule="auto" w:before="0" w:after="0"/>
        <w:ind w:left="718" w:right="109" w:hanging="507"/>
        <w:jc w:val="both"/>
        <w:rPr>
          <w:sz w:val="22"/>
        </w:rPr>
      </w:pPr>
      <w:r>
        <w:rPr>
          <w:sz w:val="22"/>
        </w:rPr>
        <w:t>Recker RR, Hinders S, Davies KM, et al. Correcting calcium nutritional deficiency prevents spine fractures in elderly women. </w:t>
      </w:r>
      <w:r>
        <w:rPr>
          <w:i/>
          <w:sz w:val="22"/>
        </w:rPr>
        <w:t>J Bone Miner Res</w:t>
      </w:r>
      <w:r>
        <w:rPr>
          <w:sz w:val="22"/>
        </w:rPr>
        <w:t>. 1996;11:1961.</w:t>
      </w:r>
    </w:p>
    <w:p>
      <w:pPr>
        <w:pStyle w:val="ListParagraph"/>
        <w:numPr>
          <w:ilvl w:val="0"/>
          <w:numId w:val="8"/>
        </w:numPr>
        <w:tabs>
          <w:tab w:pos="709" w:val="left" w:leader="none"/>
          <w:tab w:pos="718" w:val="left" w:leader="none"/>
        </w:tabs>
        <w:spacing w:line="256" w:lineRule="auto" w:before="0" w:after="0"/>
        <w:ind w:left="718" w:right="100" w:hanging="507"/>
        <w:jc w:val="both"/>
        <w:rPr>
          <w:sz w:val="22"/>
        </w:rPr>
      </w:pPr>
      <w:r>
        <w:rPr>
          <w:sz w:val="22"/>
        </w:rPr>
        <w:t>Dawson-Hughes B, Harris SS, Krall EA, Dallal GE. Effect of calcium and vitamin D supplementation on bone density in men and women 65 years of age or older. </w:t>
      </w:r>
      <w:r>
        <w:rPr>
          <w:i/>
          <w:sz w:val="22"/>
        </w:rPr>
        <w:t>N Engl J </w:t>
      </w:r>
      <w:r>
        <w:rPr>
          <w:i/>
          <w:sz w:val="22"/>
        </w:rPr>
        <w:t>Med</w:t>
      </w:r>
      <w:r>
        <w:rPr>
          <w:sz w:val="22"/>
        </w:rPr>
        <w:t>. </w:t>
      </w:r>
      <w:r>
        <w:rPr>
          <w:spacing w:val="-2"/>
          <w:sz w:val="22"/>
        </w:rPr>
        <w:t>1997;337:670.</w:t>
      </w:r>
    </w:p>
    <w:p>
      <w:pPr>
        <w:pStyle w:val="ListParagraph"/>
        <w:numPr>
          <w:ilvl w:val="0"/>
          <w:numId w:val="8"/>
        </w:numPr>
        <w:tabs>
          <w:tab w:pos="709" w:val="left" w:leader="none"/>
          <w:tab w:pos="718" w:val="left" w:leader="none"/>
        </w:tabs>
        <w:spacing w:line="256" w:lineRule="auto" w:before="0" w:after="0"/>
        <w:ind w:left="718" w:right="111" w:hanging="507"/>
        <w:jc w:val="both"/>
        <w:rPr>
          <w:sz w:val="22"/>
        </w:rPr>
      </w:pPr>
      <w:r>
        <w:rPr>
          <w:sz w:val="22"/>
        </w:rPr>
        <w:t>Baeksgaard L, Andersen KP, Hyldstrup L. Calcium and vitamin D supplementation </w:t>
      </w:r>
      <w:r>
        <w:rPr>
          <w:sz w:val="22"/>
        </w:rPr>
        <w:t>increases spinal BMD in healthy postmenopausal women. </w:t>
      </w:r>
      <w:r>
        <w:rPr>
          <w:i/>
          <w:sz w:val="22"/>
        </w:rPr>
        <w:t>Osteoporos Int</w:t>
      </w:r>
      <w:r>
        <w:rPr>
          <w:sz w:val="22"/>
        </w:rPr>
        <w:t>. 1998;8:255.</w:t>
      </w:r>
    </w:p>
    <w:p>
      <w:pPr>
        <w:pStyle w:val="ListParagraph"/>
        <w:numPr>
          <w:ilvl w:val="0"/>
          <w:numId w:val="8"/>
        </w:numPr>
        <w:tabs>
          <w:tab w:pos="710" w:val="left" w:leader="none"/>
        </w:tabs>
        <w:spacing w:line="252" w:lineRule="exact" w:before="0" w:after="0"/>
        <w:ind w:left="710" w:right="0" w:hanging="498"/>
        <w:jc w:val="both"/>
        <w:rPr>
          <w:sz w:val="22"/>
        </w:rPr>
      </w:pPr>
      <w:r>
        <w:rPr>
          <w:sz w:val="22"/>
        </w:rPr>
        <w:t>NIH</w:t>
      </w:r>
      <w:r>
        <w:rPr>
          <w:spacing w:val="64"/>
          <w:sz w:val="22"/>
        </w:rPr>
        <w:t> </w:t>
      </w:r>
      <w:r>
        <w:rPr>
          <w:sz w:val="22"/>
        </w:rPr>
        <w:t>Consensus</w:t>
      </w:r>
      <w:r>
        <w:rPr>
          <w:spacing w:val="64"/>
          <w:sz w:val="22"/>
        </w:rPr>
        <w:t> </w:t>
      </w:r>
      <w:r>
        <w:rPr>
          <w:sz w:val="22"/>
        </w:rPr>
        <w:t>Development</w:t>
      </w:r>
      <w:r>
        <w:rPr>
          <w:spacing w:val="65"/>
          <w:sz w:val="22"/>
        </w:rPr>
        <w:t> </w:t>
      </w:r>
      <w:r>
        <w:rPr>
          <w:sz w:val="22"/>
        </w:rPr>
        <w:t>Panel</w:t>
      </w:r>
      <w:r>
        <w:rPr>
          <w:spacing w:val="64"/>
          <w:sz w:val="22"/>
        </w:rPr>
        <w:t> </w:t>
      </w:r>
      <w:r>
        <w:rPr>
          <w:sz w:val="22"/>
        </w:rPr>
        <w:t>on</w:t>
      </w:r>
      <w:r>
        <w:rPr>
          <w:spacing w:val="64"/>
          <w:sz w:val="22"/>
        </w:rPr>
        <w:t> </w:t>
      </w:r>
      <w:r>
        <w:rPr>
          <w:sz w:val="22"/>
        </w:rPr>
        <w:t>Optimal</w:t>
      </w:r>
      <w:r>
        <w:rPr>
          <w:spacing w:val="65"/>
          <w:sz w:val="22"/>
        </w:rPr>
        <w:t> </w:t>
      </w:r>
      <w:r>
        <w:rPr>
          <w:sz w:val="22"/>
        </w:rPr>
        <w:t>Calcium</w:t>
      </w:r>
      <w:r>
        <w:rPr>
          <w:spacing w:val="64"/>
          <w:sz w:val="22"/>
        </w:rPr>
        <w:t> </w:t>
      </w:r>
      <w:r>
        <w:rPr>
          <w:sz w:val="22"/>
        </w:rPr>
        <w:t>Intake.</w:t>
      </w:r>
      <w:r>
        <w:rPr>
          <w:spacing w:val="65"/>
          <w:sz w:val="22"/>
        </w:rPr>
        <w:t> </w:t>
      </w:r>
      <w:r>
        <w:rPr>
          <w:sz w:val="22"/>
        </w:rPr>
        <w:t>Optimal</w:t>
      </w:r>
      <w:r>
        <w:rPr>
          <w:spacing w:val="66"/>
          <w:sz w:val="22"/>
        </w:rPr>
        <w:t> </w:t>
      </w:r>
      <w:r>
        <w:rPr>
          <w:sz w:val="22"/>
        </w:rPr>
        <w:t>calcium</w:t>
      </w:r>
      <w:r>
        <w:rPr>
          <w:spacing w:val="67"/>
          <w:sz w:val="22"/>
        </w:rPr>
        <w:t> </w:t>
      </w:r>
      <w:r>
        <w:rPr>
          <w:spacing w:val="-2"/>
          <w:sz w:val="22"/>
        </w:rPr>
        <w:t>intake.</w:t>
      </w:r>
    </w:p>
    <w:p>
      <w:pPr>
        <w:spacing w:before="5"/>
        <w:ind w:left="718" w:right="0" w:firstLine="0"/>
        <w:jc w:val="both"/>
        <w:rPr>
          <w:sz w:val="22"/>
        </w:rPr>
      </w:pPr>
      <w:r>
        <w:rPr>
          <w:i/>
          <w:sz w:val="22"/>
        </w:rPr>
        <w:t>JAMA</w:t>
      </w:r>
      <w:r>
        <w:rPr>
          <w:sz w:val="22"/>
        </w:rPr>
        <w:t>.</w:t>
      </w:r>
      <w:r>
        <w:rPr>
          <w:spacing w:val="12"/>
          <w:sz w:val="22"/>
        </w:rPr>
        <w:t> </w:t>
      </w:r>
      <w:r>
        <w:rPr>
          <w:spacing w:val="-2"/>
          <w:sz w:val="22"/>
        </w:rPr>
        <w:t>1994;272:1942.</w:t>
      </w:r>
    </w:p>
    <w:p>
      <w:pPr>
        <w:pStyle w:val="ListParagraph"/>
        <w:numPr>
          <w:ilvl w:val="0"/>
          <w:numId w:val="8"/>
        </w:numPr>
        <w:tabs>
          <w:tab w:pos="709" w:val="left" w:leader="none"/>
          <w:tab w:pos="718" w:val="left" w:leader="none"/>
        </w:tabs>
        <w:spacing w:line="256" w:lineRule="auto" w:before="17" w:after="0"/>
        <w:ind w:left="718" w:right="97" w:hanging="507"/>
        <w:jc w:val="both"/>
        <w:rPr>
          <w:sz w:val="22"/>
        </w:rPr>
      </w:pPr>
      <w:r>
        <w:rPr>
          <w:sz w:val="22"/>
        </w:rPr>
        <w:t>Tang BM, Eslick GD, Nowson C, Smith C, Bensoussan A. Use of calcium or calcium in combination with vitamin D supplementation to prevent fractures and bone loss in people </w:t>
      </w:r>
      <w:r>
        <w:rPr>
          <w:sz w:val="22"/>
        </w:rPr>
        <w:t>aged 50 years and older: a meta-analysis. </w:t>
      </w:r>
      <w:r>
        <w:rPr>
          <w:i/>
          <w:sz w:val="22"/>
        </w:rPr>
        <w:t>Lancet</w:t>
      </w:r>
      <w:r>
        <w:rPr>
          <w:sz w:val="22"/>
        </w:rPr>
        <w:t>. 2007;370:657.</w:t>
      </w:r>
    </w:p>
    <w:p>
      <w:pPr>
        <w:pStyle w:val="ListParagraph"/>
        <w:numPr>
          <w:ilvl w:val="0"/>
          <w:numId w:val="8"/>
        </w:numPr>
        <w:tabs>
          <w:tab w:pos="709" w:val="left" w:leader="none"/>
          <w:tab w:pos="718" w:val="left" w:leader="none"/>
        </w:tabs>
        <w:spacing w:line="256" w:lineRule="auto" w:before="0" w:after="0"/>
        <w:ind w:left="718" w:right="105" w:hanging="507"/>
        <w:jc w:val="both"/>
        <w:rPr>
          <w:sz w:val="22"/>
        </w:rPr>
      </w:pPr>
      <w:r>
        <w:rPr>
          <w:sz w:val="22"/>
        </w:rPr>
        <w:t>Hasling C, Charles P, Jensen FT, Mosekilde L. Calcium metabolism in </w:t>
      </w:r>
      <w:r>
        <w:rPr>
          <w:sz w:val="22"/>
        </w:rPr>
        <w:t>postmenopausal osteoporosis: the influence of dietary calcium and net absorbed calcium. </w:t>
      </w:r>
      <w:r>
        <w:rPr>
          <w:i/>
          <w:sz w:val="22"/>
        </w:rPr>
        <w:t>J Bone Miner Res</w:t>
      </w:r>
      <w:r>
        <w:rPr>
          <w:sz w:val="22"/>
        </w:rPr>
        <w:t>. </w:t>
      </w:r>
      <w:r>
        <w:rPr>
          <w:spacing w:val="-2"/>
          <w:sz w:val="22"/>
        </w:rPr>
        <w:t>1990;5:939.</w:t>
      </w:r>
    </w:p>
    <w:p>
      <w:pPr>
        <w:pStyle w:val="ListParagraph"/>
        <w:numPr>
          <w:ilvl w:val="0"/>
          <w:numId w:val="8"/>
        </w:numPr>
        <w:tabs>
          <w:tab w:pos="709" w:val="left" w:leader="none"/>
          <w:tab w:pos="718" w:val="left" w:leader="none"/>
        </w:tabs>
        <w:spacing w:line="256" w:lineRule="auto" w:before="0" w:after="0"/>
        <w:ind w:left="718" w:right="111" w:hanging="507"/>
        <w:jc w:val="both"/>
        <w:rPr>
          <w:sz w:val="22"/>
        </w:rPr>
      </w:pPr>
      <w:r>
        <w:rPr>
          <w:sz w:val="22"/>
        </w:rPr>
        <w:t>Heaney RP, Recker RR. Distribution of calcium absorption in middle-aged women. </w:t>
      </w:r>
      <w:r>
        <w:rPr>
          <w:i/>
          <w:sz w:val="22"/>
        </w:rPr>
        <w:t>Am J Clin</w:t>
      </w:r>
      <w:r>
        <w:rPr>
          <w:i/>
          <w:sz w:val="22"/>
        </w:rPr>
        <w:t> Nutr</w:t>
      </w:r>
      <w:r>
        <w:rPr>
          <w:sz w:val="22"/>
        </w:rPr>
        <w:t>. 1986;43:299.</w:t>
      </w:r>
    </w:p>
    <w:p>
      <w:pPr>
        <w:pStyle w:val="ListParagraph"/>
        <w:numPr>
          <w:ilvl w:val="0"/>
          <w:numId w:val="8"/>
        </w:numPr>
        <w:tabs>
          <w:tab w:pos="709" w:val="left" w:leader="none"/>
          <w:tab w:pos="718" w:val="left" w:leader="none"/>
        </w:tabs>
        <w:spacing w:line="256" w:lineRule="auto" w:before="0" w:after="0"/>
        <w:ind w:left="718" w:right="102" w:hanging="507"/>
        <w:jc w:val="both"/>
        <w:rPr>
          <w:sz w:val="22"/>
        </w:rPr>
      </w:pPr>
      <w:r>
        <w:rPr>
          <w:sz w:val="22"/>
        </w:rPr>
        <w:t>Wallace RB, Wactawski-Wende J, O’Sullivan MJ, et al. Urinary tract stone occurrence in the Women’s Health Initiative (WHI) randomized clinical trial of calcium and vitamin </w:t>
      </w:r>
      <w:r>
        <w:rPr>
          <w:sz w:val="22"/>
        </w:rPr>
        <w:t>D supplements. </w:t>
      </w:r>
      <w:r>
        <w:rPr>
          <w:i/>
          <w:sz w:val="22"/>
        </w:rPr>
        <w:t>Am J Clin Nutr</w:t>
      </w:r>
      <w:r>
        <w:rPr>
          <w:sz w:val="22"/>
        </w:rPr>
        <w:t>. 2011;94(1):270.</w:t>
      </w:r>
    </w:p>
    <w:p>
      <w:pPr>
        <w:pStyle w:val="ListParagraph"/>
        <w:numPr>
          <w:ilvl w:val="0"/>
          <w:numId w:val="8"/>
        </w:numPr>
        <w:tabs>
          <w:tab w:pos="709" w:val="left" w:leader="none"/>
          <w:tab w:pos="718" w:val="left" w:leader="none"/>
        </w:tabs>
        <w:spacing w:line="256" w:lineRule="auto" w:before="0" w:after="0"/>
        <w:ind w:left="718" w:right="97" w:hanging="507"/>
        <w:jc w:val="both"/>
        <w:rPr>
          <w:sz w:val="22"/>
        </w:rPr>
      </w:pPr>
      <w:r>
        <w:rPr>
          <w:sz w:val="22"/>
        </w:rPr>
        <w:t>Gallagher JC, Smith LM, Yalamanchili V. Incidence of hypercalciuria and </w:t>
      </w:r>
      <w:r>
        <w:rPr>
          <w:sz w:val="22"/>
        </w:rPr>
        <w:t>hypercalcemia</w:t>
      </w:r>
      <w:r>
        <w:rPr>
          <w:spacing w:val="80"/>
          <w:sz w:val="22"/>
        </w:rPr>
        <w:t> </w:t>
      </w:r>
      <w:r>
        <w:rPr>
          <w:sz w:val="22"/>
        </w:rPr>
        <w:t>during</w:t>
      </w:r>
      <w:r>
        <w:rPr>
          <w:spacing w:val="40"/>
          <w:sz w:val="22"/>
        </w:rPr>
        <w:t> </w:t>
      </w:r>
      <w:r>
        <w:rPr>
          <w:sz w:val="22"/>
        </w:rPr>
        <w:t>vitamin</w:t>
      </w:r>
      <w:r>
        <w:rPr>
          <w:spacing w:val="40"/>
          <w:sz w:val="22"/>
        </w:rPr>
        <w:t> </w:t>
      </w:r>
      <w:r>
        <w:rPr>
          <w:sz w:val="22"/>
        </w:rPr>
        <w:t>D</w:t>
      </w:r>
      <w:r>
        <w:rPr>
          <w:spacing w:val="40"/>
          <w:sz w:val="22"/>
        </w:rPr>
        <w:t> </w:t>
      </w:r>
      <w:r>
        <w:rPr>
          <w:sz w:val="22"/>
        </w:rPr>
        <w:t>and</w:t>
      </w:r>
      <w:r>
        <w:rPr>
          <w:spacing w:val="40"/>
          <w:sz w:val="22"/>
        </w:rPr>
        <w:t> </w:t>
      </w:r>
      <w:r>
        <w:rPr>
          <w:sz w:val="22"/>
        </w:rPr>
        <w:t>calcium</w:t>
      </w:r>
      <w:r>
        <w:rPr>
          <w:spacing w:val="40"/>
          <w:sz w:val="22"/>
        </w:rPr>
        <w:t> </w:t>
      </w:r>
      <w:r>
        <w:rPr>
          <w:sz w:val="22"/>
        </w:rPr>
        <w:t>supplementation</w:t>
      </w:r>
      <w:r>
        <w:rPr>
          <w:spacing w:val="40"/>
          <w:sz w:val="22"/>
        </w:rPr>
        <w:t> </w:t>
      </w:r>
      <w:r>
        <w:rPr>
          <w:sz w:val="22"/>
        </w:rPr>
        <w:t>in</w:t>
      </w:r>
      <w:r>
        <w:rPr>
          <w:spacing w:val="40"/>
          <w:sz w:val="22"/>
        </w:rPr>
        <w:t> </w:t>
      </w:r>
      <w:r>
        <w:rPr>
          <w:sz w:val="22"/>
        </w:rPr>
        <w:t>older</w:t>
      </w:r>
      <w:r>
        <w:rPr>
          <w:spacing w:val="40"/>
          <w:sz w:val="22"/>
        </w:rPr>
        <w:t> </w:t>
      </w:r>
      <w:r>
        <w:rPr>
          <w:sz w:val="22"/>
        </w:rPr>
        <w:t>women.</w:t>
      </w:r>
      <w:r>
        <w:rPr>
          <w:spacing w:val="40"/>
          <w:sz w:val="22"/>
        </w:rPr>
        <w:t> </w:t>
      </w:r>
      <w:r>
        <w:rPr>
          <w:i/>
          <w:sz w:val="22"/>
        </w:rPr>
        <w:t>Menopause</w:t>
      </w:r>
      <w:r>
        <w:rPr>
          <w:sz w:val="22"/>
        </w:rPr>
        <w:t>. </w:t>
      </w:r>
      <w:r>
        <w:rPr>
          <w:spacing w:val="-2"/>
          <w:sz w:val="22"/>
        </w:rPr>
        <w:t>2014;21(11):1173.</w:t>
      </w:r>
    </w:p>
    <w:p>
      <w:pPr>
        <w:pStyle w:val="ListParagraph"/>
        <w:numPr>
          <w:ilvl w:val="0"/>
          <w:numId w:val="8"/>
        </w:numPr>
        <w:tabs>
          <w:tab w:pos="709" w:val="left" w:leader="none"/>
          <w:tab w:pos="718" w:val="left" w:leader="none"/>
        </w:tabs>
        <w:spacing w:line="256" w:lineRule="auto" w:before="0" w:after="0"/>
        <w:ind w:left="718" w:right="100" w:hanging="507"/>
        <w:jc w:val="both"/>
        <w:rPr>
          <w:sz w:val="22"/>
        </w:rPr>
      </w:pPr>
      <w:r>
        <w:rPr>
          <w:sz w:val="22"/>
        </w:rPr>
        <w:t>Prince</w:t>
      </w:r>
      <w:r>
        <w:rPr>
          <w:spacing w:val="40"/>
          <w:sz w:val="22"/>
        </w:rPr>
        <w:t> </w:t>
      </w:r>
      <w:r>
        <w:rPr>
          <w:sz w:val="22"/>
        </w:rPr>
        <w:t>RL,</w:t>
      </w:r>
      <w:r>
        <w:rPr>
          <w:spacing w:val="40"/>
          <w:sz w:val="22"/>
        </w:rPr>
        <w:t> </w:t>
      </w:r>
      <w:r>
        <w:rPr>
          <w:sz w:val="22"/>
        </w:rPr>
        <w:t>Smith</w:t>
      </w:r>
      <w:r>
        <w:rPr>
          <w:spacing w:val="40"/>
          <w:sz w:val="22"/>
        </w:rPr>
        <w:t> </w:t>
      </w:r>
      <w:r>
        <w:rPr>
          <w:sz w:val="22"/>
        </w:rPr>
        <w:t>M,</w:t>
      </w:r>
      <w:r>
        <w:rPr>
          <w:spacing w:val="40"/>
          <w:sz w:val="22"/>
        </w:rPr>
        <w:t> </w:t>
      </w:r>
      <w:r>
        <w:rPr>
          <w:sz w:val="22"/>
        </w:rPr>
        <w:t>Dick</w:t>
      </w:r>
      <w:r>
        <w:rPr>
          <w:spacing w:val="40"/>
          <w:sz w:val="22"/>
        </w:rPr>
        <w:t> </w:t>
      </w:r>
      <w:r>
        <w:rPr>
          <w:sz w:val="22"/>
        </w:rPr>
        <w:t>IM,</w:t>
      </w:r>
      <w:r>
        <w:rPr>
          <w:spacing w:val="40"/>
          <w:sz w:val="22"/>
        </w:rPr>
        <w:t> </w:t>
      </w:r>
      <w:r>
        <w:rPr>
          <w:sz w:val="22"/>
        </w:rPr>
        <w:t>et</w:t>
      </w:r>
      <w:r>
        <w:rPr>
          <w:spacing w:val="40"/>
          <w:sz w:val="22"/>
        </w:rPr>
        <w:t> </w:t>
      </w:r>
      <w:r>
        <w:rPr>
          <w:sz w:val="22"/>
        </w:rPr>
        <w:t>al.</w:t>
      </w:r>
      <w:r>
        <w:rPr>
          <w:spacing w:val="40"/>
          <w:sz w:val="22"/>
        </w:rPr>
        <w:t> </w:t>
      </w:r>
      <w:r>
        <w:rPr>
          <w:sz w:val="22"/>
        </w:rPr>
        <w:t>Prevention</w:t>
      </w:r>
      <w:r>
        <w:rPr>
          <w:spacing w:val="40"/>
          <w:sz w:val="22"/>
        </w:rPr>
        <w:t> </w:t>
      </w:r>
      <w:r>
        <w:rPr>
          <w:sz w:val="22"/>
        </w:rPr>
        <w:t>of</w:t>
      </w:r>
      <w:r>
        <w:rPr>
          <w:spacing w:val="40"/>
          <w:sz w:val="22"/>
        </w:rPr>
        <w:t> </w:t>
      </w:r>
      <w:r>
        <w:rPr>
          <w:sz w:val="22"/>
        </w:rPr>
        <w:t>postmenopausal</w:t>
      </w:r>
      <w:r>
        <w:rPr>
          <w:spacing w:val="40"/>
          <w:sz w:val="22"/>
        </w:rPr>
        <w:t> </w:t>
      </w:r>
      <w:r>
        <w:rPr>
          <w:sz w:val="22"/>
        </w:rPr>
        <w:t>osteoporosis:</w:t>
      </w:r>
      <w:r>
        <w:rPr>
          <w:spacing w:val="40"/>
          <w:sz w:val="22"/>
        </w:rPr>
        <w:t> </w:t>
      </w:r>
      <w:r>
        <w:rPr>
          <w:sz w:val="22"/>
        </w:rPr>
        <w:t>a comparative study of exercise, calcium supplementation, and hormone-replacement therapy. </w:t>
      </w:r>
      <w:r>
        <w:rPr>
          <w:i/>
          <w:sz w:val="22"/>
        </w:rPr>
        <w:t>N</w:t>
      </w:r>
      <w:r>
        <w:rPr>
          <w:i/>
          <w:sz w:val="22"/>
        </w:rPr>
        <w:t> Engl J Med</w:t>
      </w:r>
      <w:r>
        <w:rPr>
          <w:sz w:val="22"/>
        </w:rPr>
        <w:t>. 1991;325:1189.</w:t>
      </w:r>
    </w:p>
    <w:p>
      <w:pPr>
        <w:pStyle w:val="ListParagraph"/>
        <w:numPr>
          <w:ilvl w:val="0"/>
          <w:numId w:val="8"/>
        </w:numPr>
        <w:tabs>
          <w:tab w:pos="709" w:val="left" w:leader="none"/>
          <w:tab w:pos="718" w:val="left" w:leader="none"/>
        </w:tabs>
        <w:spacing w:line="256" w:lineRule="auto" w:before="0" w:after="0"/>
        <w:ind w:left="718" w:right="108" w:hanging="507"/>
        <w:jc w:val="both"/>
        <w:rPr>
          <w:sz w:val="22"/>
        </w:rPr>
      </w:pPr>
      <w:r>
        <w:rPr>
          <w:sz w:val="22"/>
        </w:rPr>
        <w:t>Heikinheimo RJ, Inkovaara JA, Harju EJ, et al. Annual injection of vitamin D and fractures </w:t>
      </w:r>
      <w:r>
        <w:rPr>
          <w:sz w:val="22"/>
        </w:rPr>
        <w:t>of aged bones. </w:t>
      </w:r>
      <w:r>
        <w:rPr>
          <w:i/>
          <w:sz w:val="22"/>
        </w:rPr>
        <w:t>Calcif Tissue Int</w:t>
      </w:r>
      <w:r>
        <w:rPr>
          <w:sz w:val="22"/>
        </w:rPr>
        <w:t>. 1992;51:105.</w:t>
      </w:r>
    </w:p>
    <w:p>
      <w:pPr>
        <w:pStyle w:val="ListParagraph"/>
        <w:numPr>
          <w:ilvl w:val="0"/>
          <w:numId w:val="8"/>
        </w:numPr>
        <w:tabs>
          <w:tab w:pos="709" w:val="left" w:leader="none"/>
          <w:tab w:pos="718" w:val="left" w:leader="none"/>
        </w:tabs>
        <w:spacing w:line="256" w:lineRule="auto" w:before="0" w:after="0"/>
        <w:ind w:left="718" w:right="106" w:hanging="507"/>
        <w:jc w:val="both"/>
        <w:rPr>
          <w:sz w:val="22"/>
        </w:rPr>
      </w:pPr>
      <w:r>
        <w:rPr>
          <w:sz w:val="22"/>
        </w:rPr>
        <w:t>Aloia JF, Vaswani A, Yeh JK, Ross PL, Flaster E, Dilmanian FA. Calcium </w:t>
      </w:r>
      <w:r>
        <w:rPr>
          <w:sz w:val="22"/>
        </w:rPr>
        <w:t>supplementation</w:t>
      </w:r>
      <w:r>
        <w:rPr>
          <w:spacing w:val="40"/>
          <w:sz w:val="22"/>
        </w:rPr>
        <w:t> </w:t>
      </w:r>
      <w:r>
        <w:rPr>
          <w:sz w:val="22"/>
        </w:rPr>
        <w:t>with and without hormone replacement therapy to prevent postmenopausal bone loss. </w:t>
      </w:r>
      <w:r>
        <w:rPr>
          <w:i/>
          <w:sz w:val="22"/>
        </w:rPr>
        <w:t>Ann</w:t>
      </w:r>
      <w:r>
        <w:rPr>
          <w:i/>
          <w:spacing w:val="80"/>
          <w:sz w:val="22"/>
        </w:rPr>
        <w:t> </w:t>
      </w:r>
      <w:r>
        <w:rPr>
          <w:i/>
          <w:sz w:val="22"/>
        </w:rPr>
        <w:t>Intern Med</w:t>
      </w:r>
      <w:r>
        <w:rPr>
          <w:sz w:val="22"/>
        </w:rPr>
        <w:t>. 1994;120:97.</w:t>
      </w:r>
    </w:p>
    <w:p>
      <w:pPr>
        <w:pStyle w:val="ListParagraph"/>
        <w:numPr>
          <w:ilvl w:val="0"/>
          <w:numId w:val="8"/>
        </w:numPr>
        <w:tabs>
          <w:tab w:pos="709" w:val="left" w:leader="none"/>
          <w:tab w:pos="718" w:val="left" w:leader="none"/>
        </w:tabs>
        <w:spacing w:line="256" w:lineRule="auto" w:before="0" w:after="0"/>
        <w:ind w:left="718" w:right="102" w:hanging="507"/>
        <w:jc w:val="both"/>
        <w:rPr>
          <w:sz w:val="22"/>
        </w:rPr>
      </w:pPr>
      <w:r>
        <w:rPr>
          <w:sz w:val="22"/>
        </w:rPr>
        <w:t>Ettinger B, Genant HK, Steiger P, Madvig P. Low-dosage micronized 17b-estradiol prevents bone loss in postmenopausal women. </w:t>
      </w:r>
      <w:r>
        <w:rPr>
          <w:i/>
          <w:sz w:val="22"/>
        </w:rPr>
        <w:t>Am J Obstet Gynecol</w:t>
      </w:r>
      <w:r>
        <w:rPr>
          <w:sz w:val="22"/>
        </w:rPr>
        <w:t>. 1992;166:479.</w:t>
      </w:r>
    </w:p>
    <w:p>
      <w:pPr>
        <w:pStyle w:val="ListParagraph"/>
        <w:numPr>
          <w:ilvl w:val="0"/>
          <w:numId w:val="8"/>
        </w:numPr>
        <w:tabs>
          <w:tab w:pos="709" w:val="left" w:leader="none"/>
          <w:tab w:pos="718" w:val="left" w:leader="none"/>
        </w:tabs>
        <w:spacing w:line="256" w:lineRule="auto" w:before="0" w:after="0"/>
        <w:ind w:left="718" w:right="103" w:hanging="507"/>
        <w:jc w:val="both"/>
        <w:rPr>
          <w:sz w:val="22"/>
        </w:rPr>
      </w:pPr>
      <w:r>
        <w:rPr>
          <w:sz w:val="22"/>
        </w:rPr>
        <w:t>Rizzoli</w:t>
      </w:r>
      <w:r>
        <w:rPr>
          <w:spacing w:val="18"/>
          <w:sz w:val="22"/>
        </w:rPr>
        <w:t> </w:t>
      </w:r>
      <w:r>
        <w:rPr>
          <w:sz w:val="22"/>
        </w:rPr>
        <w:t>R,</w:t>
      </w:r>
      <w:r>
        <w:rPr>
          <w:spacing w:val="18"/>
          <w:sz w:val="22"/>
        </w:rPr>
        <w:t> </w:t>
      </w:r>
      <w:r>
        <w:rPr>
          <w:sz w:val="22"/>
        </w:rPr>
        <w:t>Biver</w:t>
      </w:r>
      <w:r>
        <w:rPr>
          <w:spacing w:val="18"/>
          <w:sz w:val="22"/>
        </w:rPr>
        <w:t> </w:t>
      </w:r>
      <w:r>
        <w:rPr>
          <w:sz w:val="22"/>
        </w:rPr>
        <w:t>E,</w:t>
      </w:r>
      <w:r>
        <w:rPr>
          <w:spacing w:val="18"/>
          <w:sz w:val="22"/>
        </w:rPr>
        <w:t> </w:t>
      </w:r>
      <w:r>
        <w:rPr>
          <w:sz w:val="22"/>
        </w:rPr>
        <w:t>Bonjour</w:t>
      </w:r>
      <w:r>
        <w:rPr>
          <w:spacing w:val="18"/>
          <w:sz w:val="22"/>
        </w:rPr>
        <w:t> </w:t>
      </w:r>
      <w:r>
        <w:rPr>
          <w:sz w:val="22"/>
        </w:rPr>
        <w:t>JP,</w:t>
      </w:r>
      <w:r>
        <w:rPr>
          <w:spacing w:val="18"/>
          <w:sz w:val="22"/>
        </w:rPr>
        <w:t> </w:t>
      </w:r>
      <w:r>
        <w:rPr>
          <w:sz w:val="22"/>
        </w:rPr>
        <w:t>et</w:t>
      </w:r>
      <w:r>
        <w:rPr>
          <w:spacing w:val="18"/>
          <w:sz w:val="22"/>
        </w:rPr>
        <w:t> </w:t>
      </w:r>
      <w:r>
        <w:rPr>
          <w:sz w:val="22"/>
        </w:rPr>
        <w:t>al.</w:t>
      </w:r>
      <w:r>
        <w:rPr>
          <w:spacing w:val="18"/>
          <w:sz w:val="22"/>
        </w:rPr>
        <w:t> </w:t>
      </w:r>
      <w:r>
        <w:rPr>
          <w:sz w:val="22"/>
        </w:rPr>
        <w:t>Benefits</w:t>
      </w:r>
      <w:r>
        <w:rPr>
          <w:spacing w:val="21"/>
          <w:sz w:val="22"/>
        </w:rPr>
        <w:t> </w:t>
      </w:r>
      <w:r>
        <w:rPr>
          <w:sz w:val="22"/>
        </w:rPr>
        <w:t>and</w:t>
      </w:r>
      <w:r>
        <w:rPr>
          <w:spacing w:val="21"/>
          <w:sz w:val="22"/>
        </w:rPr>
        <w:t> </w:t>
      </w:r>
      <w:r>
        <w:rPr>
          <w:sz w:val="22"/>
        </w:rPr>
        <w:t>safety</w:t>
      </w:r>
      <w:r>
        <w:rPr>
          <w:spacing w:val="21"/>
          <w:sz w:val="22"/>
        </w:rPr>
        <w:t> </w:t>
      </w:r>
      <w:r>
        <w:rPr>
          <w:sz w:val="22"/>
        </w:rPr>
        <w:t>of</w:t>
      </w:r>
      <w:r>
        <w:rPr>
          <w:spacing w:val="21"/>
          <w:sz w:val="22"/>
        </w:rPr>
        <w:t> </w:t>
      </w:r>
      <w:r>
        <w:rPr>
          <w:sz w:val="22"/>
        </w:rPr>
        <w:t>dietary</w:t>
      </w:r>
      <w:r>
        <w:rPr>
          <w:spacing w:val="21"/>
          <w:sz w:val="22"/>
        </w:rPr>
        <w:t> </w:t>
      </w:r>
      <w:r>
        <w:rPr>
          <w:sz w:val="22"/>
        </w:rPr>
        <w:t>protein</w:t>
      </w:r>
      <w:r>
        <w:rPr>
          <w:spacing w:val="21"/>
          <w:sz w:val="22"/>
        </w:rPr>
        <w:t> </w:t>
      </w:r>
      <w:r>
        <w:rPr>
          <w:sz w:val="22"/>
        </w:rPr>
        <w:t>for</w:t>
      </w:r>
      <w:r>
        <w:rPr>
          <w:spacing w:val="21"/>
          <w:sz w:val="22"/>
        </w:rPr>
        <w:t> </w:t>
      </w:r>
      <w:r>
        <w:rPr>
          <w:sz w:val="22"/>
        </w:rPr>
        <w:t>bone</w:t>
      </w:r>
      <w:r>
        <w:rPr>
          <w:spacing w:val="21"/>
          <w:sz w:val="22"/>
        </w:rPr>
        <w:t> </w:t>
      </w:r>
      <w:r>
        <w:rPr>
          <w:sz w:val="22"/>
        </w:rPr>
        <w:t>health—an</w:t>
      </w:r>
      <w:r>
        <w:rPr>
          <w:spacing w:val="40"/>
          <w:sz w:val="22"/>
        </w:rPr>
        <w:t> </w:t>
      </w:r>
      <w:r>
        <w:rPr>
          <w:sz w:val="22"/>
        </w:rPr>
        <w:t>expert</w:t>
      </w:r>
      <w:r>
        <w:rPr>
          <w:spacing w:val="40"/>
          <w:sz w:val="22"/>
        </w:rPr>
        <w:t> </w:t>
      </w:r>
      <w:r>
        <w:rPr>
          <w:sz w:val="22"/>
        </w:rPr>
        <w:t>consensus</w:t>
      </w:r>
      <w:r>
        <w:rPr>
          <w:spacing w:val="40"/>
          <w:sz w:val="22"/>
        </w:rPr>
        <w:t> </w:t>
      </w:r>
      <w:r>
        <w:rPr>
          <w:sz w:val="22"/>
        </w:rPr>
        <w:t>paper</w:t>
      </w:r>
      <w:r>
        <w:rPr>
          <w:spacing w:val="40"/>
          <w:sz w:val="22"/>
        </w:rPr>
        <w:t> </w:t>
      </w:r>
      <w:r>
        <w:rPr>
          <w:sz w:val="22"/>
        </w:rPr>
        <w:t>endorsed</w:t>
      </w:r>
      <w:r>
        <w:rPr>
          <w:spacing w:val="40"/>
          <w:sz w:val="22"/>
        </w:rPr>
        <w:t> </w:t>
      </w:r>
      <w:r>
        <w:rPr>
          <w:sz w:val="22"/>
        </w:rPr>
        <w:t>by</w:t>
      </w:r>
      <w:r>
        <w:rPr>
          <w:spacing w:val="40"/>
          <w:sz w:val="22"/>
        </w:rPr>
        <w:t> </w:t>
      </w:r>
      <w:r>
        <w:rPr>
          <w:sz w:val="22"/>
        </w:rPr>
        <w:t>the</w:t>
      </w:r>
      <w:r>
        <w:rPr>
          <w:spacing w:val="40"/>
          <w:sz w:val="22"/>
        </w:rPr>
        <w:t> </w:t>
      </w:r>
      <w:r>
        <w:rPr>
          <w:sz w:val="22"/>
        </w:rPr>
        <w:t>European</w:t>
      </w:r>
      <w:r>
        <w:rPr>
          <w:spacing w:val="40"/>
          <w:sz w:val="22"/>
        </w:rPr>
        <w:t> </w:t>
      </w:r>
      <w:r>
        <w:rPr>
          <w:sz w:val="22"/>
        </w:rPr>
        <w:t>Society</w:t>
      </w:r>
      <w:r>
        <w:rPr>
          <w:spacing w:val="40"/>
          <w:sz w:val="22"/>
        </w:rPr>
        <w:t> </w:t>
      </w:r>
      <w:r>
        <w:rPr>
          <w:sz w:val="22"/>
        </w:rPr>
        <w:t>for</w:t>
      </w:r>
      <w:r>
        <w:rPr>
          <w:spacing w:val="40"/>
          <w:sz w:val="22"/>
        </w:rPr>
        <w:t> </w:t>
      </w:r>
      <w:r>
        <w:rPr>
          <w:sz w:val="22"/>
        </w:rPr>
        <w:t>Clinical</w:t>
      </w:r>
      <w:r>
        <w:rPr>
          <w:spacing w:val="40"/>
          <w:sz w:val="22"/>
        </w:rPr>
        <w:t> </w:t>
      </w:r>
      <w:r>
        <w:rPr>
          <w:sz w:val="22"/>
        </w:rPr>
        <w:t>and</w:t>
      </w:r>
      <w:r>
        <w:rPr>
          <w:spacing w:val="40"/>
          <w:sz w:val="22"/>
        </w:rPr>
        <w:t> </w:t>
      </w:r>
      <w:r>
        <w:rPr>
          <w:sz w:val="22"/>
        </w:rPr>
        <w:t>Economical</w:t>
      </w:r>
    </w:p>
    <w:p>
      <w:pPr>
        <w:pStyle w:val="ListParagraph"/>
        <w:spacing w:after="0" w:line="256" w:lineRule="auto"/>
        <w:jc w:val="both"/>
        <w:rPr>
          <w:sz w:val="22"/>
        </w:rPr>
        <w:sectPr>
          <w:pgSz w:w="12240" w:h="15840"/>
          <w:pgMar w:top="1360" w:bottom="280" w:left="1440" w:right="1440"/>
        </w:sectPr>
      </w:pPr>
    </w:p>
    <w:p>
      <w:pPr>
        <w:spacing w:line="256" w:lineRule="auto" w:before="84"/>
        <w:ind w:left="718" w:right="103" w:firstLine="0"/>
        <w:jc w:val="both"/>
        <w:rPr>
          <w:sz w:val="22"/>
        </w:rPr>
      </w:pPr>
      <w:r>
        <w:rPr>
          <w:sz w:val="22"/>
        </w:rPr>
        <w:t>Aspects of Osteoporosis, Osteoarthritis, and Musculoskeletal Diseases and by the </w:t>
      </w:r>
      <w:r>
        <w:rPr>
          <w:sz w:val="22"/>
        </w:rPr>
        <w:t>International Osteoporosis Foundation. </w:t>
      </w:r>
      <w:r>
        <w:rPr>
          <w:i/>
          <w:sz w:val="22"/>
        </w:rPr>
        <w:t>Osteoporos Int</w:t>
      </w:r>
      <w:r>
        <w:rPr>
          <w:sz w:val="22"/>
        </w:rPr>
        <w:t>. 2018;29:1933-1948.</w:t>
      </w:r>
    </w:p>
    <w:p>
      <w:pPr>
        <w:pStyle w:val="ListParagraph"/>
        <w:numPr>
          <w:ilvl w:val="0"/>
          <w:numId w:val="8"/>
        </w:numPr>
        <w:tabs>
          <w:tab w:pos="709" w:val="left" w:leader="none"/>
          <w:tab w:pos="718" w:val="left" w:leader="none"/>
        </w:tabs>
        <w:spacing w:line="256" w:lineRule="auto" w:before="0" w:after="0"/>
        <w:ind w:left="718" w:right="104" w:hanging="507"/>
        <w:jc w:val="both"/>
        <w:rPr>
          <w:sz w:val="22"/>
        </w:rPr>
      </w:pPr>
      <w:r>
        <w:rPr>
          <w:sz w:val="22"/>
        </w:rPr>
        <w:t>Lloyd T, Andon MB, Rollings N, et al. Calcium supplementation and bone mineral density in adolescent girls. </w:t>
      </w:r>
      <w:r>
        <w:rPr>
          <w:i/>
          <w:sz w:val="22"/>
        </w:rPr>
        <w:t>JAMA</w:t>
      </w:r>
      <w:r>
        <w:rPr>
          <w:sz w:val="22"/>
        </w:rPr>
        <w:t>. 1993;270:841.</w:t>
      </w:r>
    </w:p>
    <w:p>
      <w:pPr>
        <w:pStyle w:val="ListParagraph"/>
        <w:numPr>
          <w:ilvl w:val="0"/>
          <w:numId w:val="8"/>
        </w:numPr>
        <w:tabs>
          <w:tab w:pos="709" w:val="left" w:leader="none"/>
          <w:tab w:pos="718" w:val="left" w:leader="none"/>
        </w:tabs>
        <w:spacing w:line="256" w:lineRule="auto" w:before="0" w:after="0"/>
        <w:ind w:left="718" w:right="98" w:hanging="507"/>
        <w:jc w:val="both"/>
        <w:rPr>
          <w:sz w:val="22"/>
        </w:rPr>
      </w:pPr>
      <w:r>
        <w:rPr>
          <w:sz w:val="22"/>
        </w:rPr>
        <w:t>Cadogan J, Eastell R, Jones N, Barker ME. Milk intake and bone mineral acquisition </w:t>
      </w:r>
      <w:r>
        <w:rPr>
          <w:sz w:val="22"/>
        </w:rPr>
        <w:t>in adolescent girls: randomised, controlled intervention trial. </w:t>
      </w:r>
      <w:r>
        <w:rPr>
          <w:i/>
          <w:sz w:val="22"/>
        </w:rPr>
        <w:t>Br Med J</w:t>
      </w:r>
      <w:r>
        <w:rPr>
          <w:sz w:val="22"/>
        </w:rPr>
        <w:t>. 1997;315:1255.</w:t>
      </w:r>
    </w:p>
    <w:p>
      <w:pPr>
        <w:pStyle w:val="ListParagraph"/>
        <w:numPr>
          <w:ilvl w:val="0"/>
          <w:numId w:val="8"/>
        </w:numPr>
        <w:tabs>
          <w:tab w:pos="709" w:val="left" w:leader="none"/>
          <w:tab w:pos="718" w:val="left" w:leader="none"/>
        </w:tabs>
        <w:spacing w:line="256" w:lineRule="auto" w:before="0" w:after="0"/>
        <w:ind w:left="718" w:right="98" w:hanging="507"/>
        <w:jc w:val="both"/>
        <w:rPr>
          <w:sz w:val="22"/>
        </w:rPr>
      </w:pPr>
      <w:r>
        <w:rPr>
          <w:sz w:val="22"/>
        </w:rPr>
        <w:t>Ross AC, Manson JE, Abrams SA, et al. The 2011 report on dietary reference intakes for</w:t>
      </w:r>
      <w:r>
        <w:rPr>
          <w:spacing w:val="40"/>
          <w:sz w:val="22"/>
        </w:rPr>
        <w:t> </w:t>
      </w:r>
      <w:r>
        <w:rPr>
          <w:sz w:val="22"/>
        </w:rPr>
        <w:t>calcium and vitamin D from the Institute of Medicine: what clinicians need to know. </w:t>
      </w:r>
      <w:r>
        <w:rPr>
          <w:i/>
          <w:sz w:val="22"/>
        </w:rPr>
        <w:t>J Clin</w:t>
      </w:r>
      <w:r>
        <w:rPr>
          <w:i/>
          <w:sz w:val="22"/>
        </w:rPr>
        <w:t> Endocrinol Metab</w:t>
      </w:r>
      <w:r>
        <w:rPr>
          <w:sz w:val="22"/>
        </w:rPr>
        <w:t>. 2011;96(1):53.</w:t>
      </w:r>
    </w:p>
    <w:p>
      <w:pPr>
        <w:pStyle w:val="ListParagraph"/>
        <w:numPr>
          <w:ilvl w:val="0"/>
          <w:numId w:val="8"/>
        </w:numPr>
        <w:tabs>
          <w:tab w:pos="710" w:val="left" w:leader="none"/>
        </w:tabs>
        <w:spacing w:line="251" w:lineRule="exact" w:before="0" w:after="0"/>
        <w:ind w:left="710" w:right="0" w:hanging="498"/>
        <w:jc w:val="both"/>
        <w:rPr>
          <w:sz w:val="22"/>
        </w:rPr>
      </w:pPr>
      <w:r>
        <w:rPr>
          <w:sz w:val="22"/>
        </w:rPr>
        <w:t>Ross</w:t>
      </w:r>
      <w:r>
        <w:rPr>
          <w:spacing w:val="10"/>
          <w:sz w:val="22"/>
        </w:rPr>
        <w:t> </w:t>
      </w:r>
      <w:r>
        <w:rPr>
          <w:sz w:val="22"/>
        </w:rPr>
        <w:t>EA,</w:t>
      </w:r>
      <w:r>
        <w:rPr>
          <w:spacing w:val="10"/>
          <w:sz w:val="22"/>
        </w:rPr>
        <w:t> </w:t>
      </w:r>
      <w:r>
        <w:rPr>
          <w:sz w:val="22"/>
        </w:rPr>
        <w:t>Szabo</w:t>
      </w:r>
      <w:r>
        <w:rPr>
          <w:spacing w:val="10"/>
          <w:sz w:val="22"/>
        </w:rPr>
        <w:t> </w:t>
      </w:r>
      <w:r>
        <w:rPr>
          <w:sz w:val="22"/>
        </w:rPr>
        <w:t>NJ,</w:t>
      </w:r>
      <w:r>
        <w:rPr>
          <w:spacing w:val="10"/>
          <w:sz w:val="22"/>
        </w:rPr>
        <w:t> </w:t>
      </w:r>
      <w:r>
        <w:rPr>
          <w:sz w:val="22"/>
        </w:rPr>
        <w:t>Tebbett</w:t>
      </w:r>
      <w:r>
        <w:rPr>
          <w:spacing w:val="10"/>
          <w:sz w:val="22"/>
        </w:rPr>
        <w:t> </w:t>
      </w:r>
      <w:r>
        <w:rPr>
          <w:sz w:val="22"/>
        </w:rPr>
        <w:t>IR.</w:t>
      </w:r>
      <w:r>
        <w:rPr>
          <w:spacing w:val="10"/>
          <w:sz w:val="22"/>
        </w:rPr>
        <w:t> </w:t>
      </w:r>
      <w:r>
        <w:rPr>
          <w:sz w:val="22"/>
        </w:rPr>
        <w:t>Lead</w:t>
      </w:r>
      <w:r>
        <w:rPr>
          <w:spacing w:val="10"/>
          <w:sz w:val="22"/>
        </w:rPr>
        <w:t> </w:t>
      </w:r>
      <w:r>
        <w:rPr>
          <w:sz w:val="22"/>
        </w:rPr>
        <w:t>content</w:t>
      </w:r>
      <w:r>
        <w:rPr>
          <w:spacing w:val="10"/>
          <w:sz w:val="22"/>
        </w:rPr>
        <w:t> </w:t>
      </w:r>
      <w:r>
        <w:rPr>
          <w:sz w:val="22"/>
        </w:rPr>
        <w:t>of</w:t>
      </w:r>
      <w:r>
        <w:rPr>
          <w:spacing w:val="10"/>
          <w:sz w:val="22"/>
        </w:rPr>
        <w:t> </w:t>
      </w:r>
      <w:r>
        <w:rPr>
          <w:sz w:val="22"/>
        </w:rPr>
        <w:t>calcium</w:t>
      </w:r>
      <w:r>
        <w:rPr>
          <w:spacing w:val="10"/>
          <w:sz w:val="22"/>
        </w:rPr>
        <w:t> </w:t>
      </w:r>
      <w:r>
        <w:rPr>
          <w:sz w:val="22"/>
        </w:rPr>
        <w:t>supplements.</w:t>
      </w:r>
      <w:r>
        <w:rPr>
          <w:spacing w:val="10"/>
          <w:sz w:val="22"/>
        </w:rPr>
        <w:t> </w:t>
      </w:r>
      <w:r>
        <w:rPr>
          <w:i/>
          <w:sz w:val="22"/>
        </w:rPr>
        <w:t>JAMA</w:t>
      </w:r>
      <w:r>
        <w:rPr>
          <w:sz w:val="22"/>
        </w:rPr>
        <w:t>.</w:t>
      </w:r>
      <w:r>
        <w:rPr>
          <w:spacing w:val="10"/>
          <w:sz w:val="22"/>
        </w:rPr>
        <w:t> </w:t>
      </w:r>
      <w:r>
        <w:rPr>
          <w:spacing w:val="-2"/>
          <w:sz w:val="22"/>
        </w:rPr>
        <w:t>2000;284:1425.</w:t>
      </w:r>
    </w:p>
    <w:p>
      <w:pPr>
        <w:pStyle w:val="ListParagraph"/>
        <w:numPr>
          <w:ilvl w:val="0"/>
          <w:numId w:val="8"/>
        </w:numPr>
        <w:tabs>
          <w:tab w:pos="709" w:val="left" w:leader="none"/>
          <w:tab w:pos="718" w:val="left" w:leader="none"/>
        </w:tabs>
        <w:spacing w:line="256" w:lineRule="auto" w:before="13" w:after="0"/>
        <w:ind w:left="718" w:right="101" w:hanging="507"/>
        <w:jc w:val="both"/>
        <w:rPr>
          <w:sz w:val="22"/>
        </w:rPr>
      </w:pPr>
      <w:r>
        <w:rPr>
          <w:sz w:val="22"/>
        </w:rPr>
        <w:t>Curhan GC, Willett WC, Speizer FE, Spiegelman D, Stampfer MJ. Comparison of dietary calcium with supplemental calcium and other nutrients as factors affecting the risk for kidney stones in women. </w:t>
      </w:r>
      <w:r>
        <w:rPr>
          <w:i/>
          <w:sz w:val="22"/>
        </w:rPr>
        <w:t>Ann Intern Med</w:t>
      </w:r>
      <w:r>
        <w:rPr>
          <w:sz w:val="22"/>
        </w:rPr>
        <w:t>. 1997;126:497.</w:t>
      </w:r>
    </w:p>
    <w:p>
      <w:pPr>
        <w:pStyle w:val="ListParagraph"/>
        <w:numPr>
          <w:ilvl w:val="0"/>
          <w:numId w:val="8"/>
        </w:numPr>
        <w:tabs>
          <w:tab w:pos="709" w:val="left" w:leader="none"/>
          <w:tab w:pos="718" w:val="left" w:leader="none"/>
        </w:tabs>
        <w:spacing w:line="256" w:lineRule="auto" w:before="0" w:after="0"/>
        <w:ind w:left="718" w:right="102" w:hanging="507"/>
        <w:jc w:val="both"/>
        <w:rPr>
          <w:sz w:val="22"/>
        </w:rPr>
      </w:pPr>
      <w:r>
        <w:rPr>
          <w:sz w:val="22"/>
        </w:rPr>
        <w:t>Lips P. Vitamin D deficiency and secondary hyperparathyroidism in the elderly: consequences for bone loss and fractures and therapeutic implications. </w:t>
      </w:r>
      <w:r>
        <w:rPr>
          <w:i/>
          <w:sz w:val="22"/>
        </w:rPr>
        <w:t>Endocr Rev</w:t>
      </w:r>
      <w:r>
        <w:rPr>
          <w:sz w:val="22"/>
        </w:rPr>
        <w:t>. 2001;22:477.</w:t>
      </w:r>
    </w:p>
    <w:p>
      <w:pPr>
        <w:pStyle w:val="ListParagraph"/>
        <w:numPr>
          <w:ilvl w:val="0"/>
          <w:numId w:val="8"/>
        </w:numPr>
        <w:tabs>
          <w:tab w:pos="710" w:val="left" w:leader="none"/>
        </w:tabs>
        <w:spacing w:line="252" w:lineRule="exact" w:before="0" w:after="0"/>
        <w:ind w:left="710" w:right="0" w:hanging="498"/>
        <w:jc w:val="both"/>
        <w:rPr>
          <w:sz w:val="22"/>
        </w:rPr>
      </w:pPr>
      <w:r>
        <w:rPr>
          <w:sz w:val="22"/>
        </w:rPr>
        <w:t>Holick</w:t>
      </w:r>
      <w:r>
        <w:rPr>
          <w:spacing w:val="4"/>
          <w:sz w:val="22"/>
        </w:rPr>
        <w:t> </w:t>
      </w:r>
      <w:r>
        <w:rPr>
          <w:sz w:val="22"/>
        </w:rPr>
        <w:t>MF.</w:t>
      </w:r>
      <w:r>
        <w:rPr>
          <w:spacing w:val="4"/>
          <w:sz w:val="22"/>
        </w:rPr>
        <w:t> </w:t>
      </w:r>
      <w:r>
        <w:rPr>
          <w:sz w:val="22"/>
        </w:rPr>
        <w:t>Vitamin</w:t>
      </w:r>
      <w:r>
        <w:rPr>
          <w:spacing w:val="4"/>
          <w:sz w:val="22"/>
        </w:rPr>
        <w:t> </w:t>
      </w:r>
      <w:r>
        <w:rPr>
          <w:sz w:val="22"/>
        </w:rPr>
        <w:t>D</w:t>
      </w:r>
      <w:r>
        <w:rPr>
          <w:spacing w:val="5"/>
          <w:sz w:val="22"/>
        </w:rPr>
        <w:t> </w:t>
      </w:r>
      <w:r>
        <w:rPr>
          <w:sz w:val="22"/>
        </w:rPr>
        <w:t>deficiency.</w:t>
      </w:r>
      <w:r>
        <w:rPr>
          <w:spacing w:val="4"/>
          <w:sz w:val="22"/>
        </w:rPr>
        <w:t> </w:t>
      </w:r>
      <w:r>
        <w:rPr>
          <w:i/>
          <w:sz w:val="22"/>
        </w:rPr>
        <w:t>N</w:t>
      </w:r>
      <w:r>
        <w:rPr>
          <w:i/>
          <w:spacing w:val="4"/>
          <w:sz w:val="22"/>
        </w:rPr>
        <w:t> </w:t>
      </w:r>
      <w:r>
        <w:rPr>
          <w:i/>
          <w:sz w:val="22"/>
        </w:rPr>
        <w:t>Engl</w:t>
      </w:r>
      <w:r>
        <w:rPr>
          <w:i/>
          <w:spacing w:val="5"/>
          <w:sz w:val="22"/>
        </w:rPr>
        <w:t> </w:t>
      </w:r>
      <w:r>
        <w:rPr>
          <w:i/>
          <w:sz w:val="22"/>
        </w:rPr>
        <w:t>J</w:t>
      </w:r>
      <w:r>
        <w:rPr>
          <w:i/>
          <w:spacing w:val="4"/>
          <w:sz w:val="22"/>
        </w:rPr>
        <w:t> </w:t>
      </w:r>
      <w:r>
        <w:rPr>
          <w:i/>
          <w:sz w:val="22"/>
        </w:rPr>
        <w:t>Med</w:t>
      </w:r>
      <w:r>
        <w:rPr>
          <w:sz w:val="22"/>
        </w:rPr>
        <w:t>.</w:t>
      </w:r>
      <w:r>
        <w:rPr>
          <w:spacing w:val="4"/>
          <w:sz w:val="22"/>
        </w:rPr>
        <w:t> </w:t>
      </w:r>
      <w:r>
        <w:rPr>
          <w:spacing w:val="-2"/>
          <w:sz w:val="22"/>
        </w:rPr>
        <w:t>2007;357:266.</w:t>
      </w:r>
    </w:p>
    <w:p>
      <w:pPr>
        <w:pStyle w:val="ListParagraph"/>
        <w:numPr>
          <w:ilvl w:val="0"/>
          <w:numId w:val="8"/>
        </w:numPr>
        <w:tabs>
          <w:tab w:pos="709" w:val="left" w:leader="none"/>
          <w:tab w:pos="718" w:val="left" w:leader="none"/>
        </w:tabs>
        <w:spacing w:line="300" w:lineRule="auto" w:before="15" w:after="0"/>
        <w:ind w:left="718" w:right="107" w:hanging="507"/>
        <w:jc w:val="both"/>
        <w:rPr>
          <w:sz w:val="22"/>
        </w:rPr>
      </w:pPr>
      <w:r>
        <w:rPr>
          <w:sz w:val="22"/>
        </w:rPr>
        <w:t>Armas LA, Hollis BW, Heaney RP. Vitamin D</w:t>
      </w:r>
      <w:r>
        <w:rPr>
          <w:sz w:val="22"/>
          <w:vertAlign w:val="subscript"/>
        </w:rPr>
        <w:t>2</w:t>
      </w:r>
      <w:r>
        <w:rPr>
          <w:sz w:val="22"/>
          <w:vertAlign w:val="baseline"/>
        </w:rPr>
        <w:t> is much less effective than vitamin D</w:t>
      </w:r>
      <w:r>
        <w:rPr>
          <w:sz w:val="22"/>
          <w:vertAlign w:val="subscript"/>
        </w:rPr>
        <w:t>3</w:t>
      </w:r>
      <w:r>
        <w:rPr>
          <w:sz w:val="22"/>
          <w:vertAlign w:val="baseline"/>
        </w:rPr>
        <w:t> in humans. </w:t>
      </w:r>
      <w:r>
        <w:rPr>
          <w:i/>
          <w:sz w:val="22"/>
          <w:vertAlign w:val="baseline"/>
        </w:rPr>
        <w:t>J Clin Endocrinol Metab</w:t>
      </w:r>
      <w:r>
        <w:rPr>
          <w:sz w:val="22"/>
          <w:vertAlign w:val="baseline"/>
        </w:rPr>
        <w:t>. 2004;89:5387.</w:t>
      </w:r>
    </w:p>
    <w:p>
      <w:pPr>
        <w:pStyle w:val="ListParagraph"/>
        <w:numPr>
          <w:ilvl w:val="0"/>
          <w:numId w:val="8"/>
        </w:numPr>
        <w:tabs>
          <w:tab w:pos="710" w:val="left" w:leader="none"/>
        </w:tabs>
        <w:spacing w:line="206" w:lineRule="exact" w:before="0" w:after="0"/>
        <w:ind w:left="710" w:right="0" w:hanging="498"/>
        <w:jc w:val="both"/>
        <w:rPr>
          <w:sz w:val="22"/>
        </w:rPr>
      </w:pPr>
      <w:r>
        <w:rPr>
          <w:sz w:val="22"/>
        </w:rPr>
        <w:t>Boonen</w:t>
      </w:r>
      <w:r>
        <w:rPr>
          <w:spacing w:val="13"/>
          <w:sz w:val="22"/>
        </w:rPr>
        <w:t> </w:t>
      </w:r>
      <w:r>
        <w:rPr>
          <w:sz w:val="22"/>
        </w:rPr>
        <w:t>S,</w:t>
      </w:r>
      <w:r>
        <w:rPr>
          <w:spacing w:val="13"/>
          <w:sz w:val="22"/>
        </w:rPr>
        <w:t> </w:t>
      </w:r>
      <w:r>
        <w:rPr>
          <w:sz w:val="22"/>
        </w:rPr>
        <w:t>Lips</w:t>
      </w:r>
      <w:r>
        <w:rPr>
          <w:spacing w:val="13"/>
          <w:sz w:val="22"/>
        </w:rPr>
        <w:t> </w:t>
      </w:r>
      <w:r>
        <w:rPr>
          <w:sz w:val="22"/>
        </w:rPr>
        <w:t>P,</w:t>
      </w:r>
      <w:r>
        <w:rPr>
          <w:spacing w:val="13"/>
          <w:sz w:val="22"/>
        </w:rPr>
        <w:t> </w:t>
      </w:r>
      <w:r>
        <w:rPr>
          <w:sz w:val="22"/>
        </w:rPr>
        <w:t>Bouillon</w:t>
      </w:r>
      <w:r>
        <w:rPr>
          <w:spacing w:val="14"/>
          <w:sz w:val="22"/>
        </w:rPr>
        <w:t> </w:t>
      </w:r>
      <w:r>
        <w:rPr>
          <w:sz w:val="22"/>
        </w:rPr>
        <w:t>R,</w:t>
      </w:r>
      <w:r>
        <w:rPr>
          <w:spacing w:val="13"/>
          <w:sz w:val="22"/>
        </w:rPr>
        <w:t> </w:t>
      </w:r>
      <w:r>
        <w:rPr>
          <w:sz w:val="22"/>
        </w:rPr>
        <w:t>Bischoff-Ferrari</w:t>
      </w:r>
      <w:r>
        <w:rPr>
          <w:spacing w:val="13"/>
          <w:sz w:val="22"/>
        </w:rPr>
        <w:t> </w:t>
      </w:r>
      <w:r>
        <w:rPr>
          <w:sz w:val="22"/>
        </w:rPr>
        <w:t>HA,</w:t>
      </w:r>
      <w:r>
        <w:rPr>
          <w:spacing w:val="13"/>
          <w:sz w:val="22"/>
        </w:rPr>
        <w:t> </w:t>
      </w:r>
      <w:r>
        <w:rPr>
          <w:sz w:val="22"/>
        </w:rPr>
        <w:t>Vanderschueren</w:t>
      </w:r>
      <w:r>
        <w:rPr>
          <w:spacing w:val="14"/>
          <w:sz w:val="22"/>
        </w:rPr>
        <w:t> </w:t>
      </w:r>
      <w:r>
        <w:rPr>
          <w:sz w:val="22"/>
        </w:rPr>
        <w:t>D,</w:t>
      </w:r>
      <w:r>
        <w:rPr>
          <w:spacing w:val="13"/>
          <w:sz w:val="22"/>
        </w:rPr>
        <w:t> </w:t>
      </w:r>
      <w:r>
        <w:rPr>
          <w:sz w:val="22"/>
        </w:rPr>
        <w:t>Haentjens</w:t>
      </w:r>
      <w:r>
        <w:rPr>
          <w:spacing w:val="13"/>
          <w:sz w:val="22"/>
        </w:rPr>
        <w:t> </w:t>
      </w:r>
      <w:r>
        <w:rPr>
          <w:sz w:val="22"/>
        </w:rPr>
        <w:t>P.</w:t>
      </w:r>
      <w:r>
        <w:rPr>
          <w:spacing w:val="13"/>
          <w:sz w:val="22"/>
        </w:rPr>
        <w:t> </w:t>
      </w:r>
      <w:r>
        <w:rPr>
          <w:sz w:val="22"/>
        </w:rPr>
        <w:t>Need</w:t>
      </w:r>
      <w:r>
        <w:rPr>
          <w:spacing w:val="6"/>
          <w:sz w:val="22"/>
        </w:rPr>
        <w:t> </w:t>
      </w:r>
      <w:r>
        <w:rPr>
          <w:spacing w:val="-5"/>
          <w:sz w:val="22"/>
        </w:rPr>
        <w:t>for</w:t>
      </w:r>
    </w:p>
    <w:p>
      <w:pPr>
        <w:spacing w:line="256" w:lineRule="auto" w:before="17"/>
        <w:ind w:left="718" w:right="105" w:firstLine="0"/>
        <w:jc w:val="both"/>
        <w:rPr>
          <w:sz w:val="22"/>
        </w:rPr>
      </w:pPr>
      <w:r>
        <w:rPr>
          <w:sz w:val="22"/>
        </w:rPr>
        <w:t>additional calcium to reduce the risk of hip fracture with vitamin D supplementation: evidence from a comparative metaanalysis of randomized controlled trials. </w:t>
      </w:r>
      <w:r>
        <w:rPr>
          <w:i/>
          <w:sz w:val="22"/>
        </w:rPr>
        <w:t>J Clin Endocrinol Metab</w:t>
      </w:r>
      <w:r>
        <w:rPr>
          <w:sz w:val="22"/>
        </w:rPr>
        <w:t>. </w:t>
      </w:r>
      <w:r>
        <w:rPr>
          <w:spacing w:val="-2"/>
          <w:sz w:val="22"/>
        </w:rPr>
        <w:t>2007;92:1415.</w:t>
      </w:r>
    </w:p>
    <w:p>
      <w:pPr>
        <w:pStyle w:val="ListParagraph"/>
        <w:numPr>
          <w:ilvl w:val="0"/>
          <w:numId w:val="8"/>
        </w:numPr>
        <w:tabs>
          <w:tab w:pos="709" w:val="left" w:leader="none"/>
          <w:tab w:pos="718" w:val="left" w:leader="none"/>
        </w:tabs>
        <w:spacing w:line="256" w:lineRule="auto" w:before="0" w:after="0"/>
        <w:ind w:left="718" w:right="102" w:hanging="507"/>
        <w:jc w:val="both"/>
        <w:rPr>
          <w:sz w:val="22"/>
        </w:rPr>
      </w:pPr>
      <w:r>
        <w:rPr>
          <w:sz w:val="22"/>
        </w:rPr>
        <w:t>The DIPART (vitamin D individual Patient Analysis of Randomized Trials) Group. </w:t>
      </w:r>
      <w:r>
        <w:rPr>
          <w:sz w:val="22"/>
        </w:rPr>
        <w:t>Patient</w:t>
      </w:r>
      <w:r>
        <w:rPr>
          <w:spacing w:val="80"/>
          <w:sz w:val="22"/>
        </w:rPr>
        <w:t> </w:t>
      </w:r>
      <w:r>
        <w:rPr>
          <w:sz w:val="22"/>
        </w:rPr>
        <w:t>level pooled analysis of 68,500 patients from seven major vitamin D fracture trials in US and Europe. </w:t>
      </w:r>
      <w:r>
        <w:rPr>
          <w:i/>
          <w:sz w:val="22"/>
        </w:rPr>
        <w:t>Br Med J</w:t>
      </w:r>
      <w:r>
        <w:rPr>
          <w:sz w:val="22"/>
        </w:rPr>
        <w:t>. 2010;340:b5463.</w:t>
      </w:r>
    </w:p>
    <w:p>
      <w:pPr>
        <w:pStyle w:val="ListParagraph"/>
        <w:numPr>
          <w:ilvl w:val="0"/>
          <w:numId w:val="8"/>
        </w:numPr>
        <w:tabs>
          <w:tab w:pos="709" w:val="left" w:leader="none"/>
          <w:tab w:pos="718" w:val="left" w:leader="none"/>
        </w:tabs>
        <w:spacing w:line="256" w:lineRule="auto" w:before="0" w:after="0"/>
        <w:ind w:left="718" w:right="104" w:hanging="507"/>
        <w:jc w:val="both"/>
        <w:rPr>
          <w:sz w:val="22"/>
        </w:rPr>
      </w:pPr>
      <w:r>
        <w:rPr>
          <w:sz w:val="22"/>
        </w:rPr>
        <w:t>Rosen</w:t>
      </w:r>
      <w:r>
        <w:rPr>
          <w:spacing w:val="40"/>
          <w:sz w:val="22"/>
        </w:rPr>
        <w:t> </w:t>
      </w:r>
      <w:r>
        <w:rPr>
          <w:sz w:val="22"/>
        </w:rPr>
        <w:t>CJ,</w:t>
      </w:r>
      <w:r>
        <w:rPr>
          <w:spacing w:val="40"/>
          <w:sz w:val="22"/>
        </w:rPr>
        <w:t> </w:t>
      </w:r>
      <w:r>
        <w:rPr>
          <w:sz w:val="22"/>
        </w:rPr>
        <w:t>Morrison</w:t>
      </w:r>
      <w:r>
        <w:rPr>
          <w:spacing w:val="40"/>
          <w:sz w:val="22"/>
        </w:rPr>
        <w:t> </w:t>
      </w:r>
      <w:r>
        <w:rPr>
          <w:sz w:val="22"/>
        </w:rPr>
        <w:t>A,</w:t>
      </w:r>
      <w:r>
        <w:rPr>
          <w:spacing w:val="40"/>
          <w:sz w:val="22"/>
        </w:rPr>
        <w:t> </w:t>
      </w:r>
      <w:r>
        <w:rPr>
          <w:sz w:val="22"/>
        </w:rPr>
        <w:t>Zhou</w:t>
      </w:r>
      <w:r>
        <w:rPr>
          <w:spacing w:val="40"/>
          <w:sz w:val="22"/>
        </w:rPr>
        <w:t> </w:t>
      </w:r>
      <w:r>
        <w:rPr>
          <w:sz w:val="22"/>
        </w:rPr>
        <w:t>H,</w:t>
      </w:r>
      <w:r>
        <w:rPr>
          <w:spacing w:val="40"/>
          <w:sz w:val="22"/>
        </w:rPr>
        <w:t> </w:t>
      </w:r>
      <w:r>
        <w:rPr>
          <w:sz w:val="22"/>
        </w:rPr>
        <w:t>et</w:t>
      </w:r>
      <w:r>
        <w:rPr>
          <w:spacing w:val="40"/>
          <w:sz w:val="22"/>
        </w:rPr>
        <w:t> </w:t>
      </w:r>
      <w:r>
        <w:rPr>
          <w:sz w:val="22"/>
        </w:rPr>
        <w:t>al.</w:t>
      </w:r>
      <w:r>
        <w:rPr>
          <w:spacing w:val="40"/>
          <w:sz w:val="22"/>
        </w:rPr>
        <w:t> </w:t>
      </w:r>
      <w:r>
        <w:rPr>
          <w:sz w:val="22"/>
        </w:rPr>
        <w:t>Elderly</w:t>
      </w:r>
      <w:r>
        <w:rPr>
          <w:spacing w:val="40"/>
          <w:sz w:val="22"/>
        </w:rPr>
        <w:t> </w:t>
      </w:r>
      <w:r>
        <w:rPr>
          <w:sz w:val="22"/>
        </w:rPr>
        <w:t>women</w:t>
      </w:r>
      <w:r>
        <w:rPr>
          <w:spacing w:val="40"/>
          <w:sz w:val="22"/>
        </w:rPr>
        <w:t> </w:t>
      </w:r>
      <w:r>
        <w:rPr>
          <w:sz w:val="22"/>
        </w:rPr>
        <w:t>in</w:t>
      </w:r>
      <w:r>
        <w:rPr>
          <w:spacing w:val="40"/>
          <w:sz w:val="22"/>
        </w:rPr>
        <w:t> </w:t>
      </w:r>
      <w:r>
        <w:rPr>
          <w:sz w:val="22"/>
        </w:rPr>
        <w:t>northern</w:t>
      </w:r>
      <w:r>
        <w:rPr>
          <w:spacing w:val="40"/>
          <w:sz w:val="22"/>
        </w:rPr>
        <w:t> </w:t>
      </w:r>
      <w:r>
        <w:rPr>
          <w:sz w:val="22"/>
        </w:rPr>
        <w:t>New</w:t>
      </w:r>
      <w:r>
        <w:rPr>
          <w:spacing w:val="40"/>
          <w:sz w:val="22"/>
        </w:rPr>
        <w:t> </w:t>
      </w:r>
      <w:r>
        <w:rPr>
          <w:sz w:val="22"/>
        </w:rPr>
        <w:t>England</w:t>
      </w:r>
      <w:r>
        <w:rPr>
          <w:spacing w:val="40"/>
          <w:sz w:val="22"/>
        </w:rPr>
        <w:t> </w:t>
      </w:r>
      <w:r>
        <w:rPr>
          <w:sz w:val="22"/>
        </w:rPr>
        <w:t>exhibit seasonal changes in bone mineral density and calciotropic hormones. </w:t>
      </w:r>
      <w:r>
        <w:rPr>
          <w:i/>
          <w:sz w:val="22"/>
        </w:rPr>
        <w:t>Bone Miner</w:t>
      </w:r>
      <w:r>
        <w:rPr>
          <w:sz w:val="22"/>
        </w:rPr>
        <w:t>. </w:t>
      </w:r>
      <w:r>
        <w:rPr>
          <w:sz w:val="22"/>
        </w:rPr>
        <w:t>1994;25:83.</w:t>
      </w:r>
    </w:p>
    <w:p>
      <w:pPr>
        <w:pStyle w:val="ListParagraph"/>
        <w:numPr>
          <w:ilvl w:val="0"/>
          <w:numId w:val="8"/>
        </w:numPr>
        <w:tabs>
          <w:tab w:pos="709" w:val="left" w:leader="none"/>
          <w:tab w:pos="718" w:val="left" w:leader="none"/>
        </w:tabs>
        <w:spacing w:line="256" w:lineRule="auto" w:before="0" w:after="0"/>
        <w:ind w:left="718" w:right="101" w:hanging="507"/>
        <w:jc w:val="both"/>
        <w:rPr>
          <w:sz w:val="22"/>
        </w:rPr>
      </w:pPr>
      <w:r>
        <w:rPr>
          <w:sz w:val="22"/>
        </w:rPr>
        <w:t>Gonzalez</w:t>
      </w:r>
      <w:r>
        <w:rPr>
          <w:spacing w:val="22"/>
          <w:sz w:val="22"/>
        </w:rPr>
        <w:t> </w:t>
      </w:r>
      <w:r>
        <w:rPr>
          <w:sz w:val="22"/>
        </w:rPr>
        <w:t>G,</w:t>
      </w:r>
      <w:r>
        <w:rPr>
          <w:spacing w:val="22"/>
          <w:sz w:val="22"/>
        </w:rPr>
        <w:t> </w:t>
      </w:r>
      <w:r>
        <w:rPr>
          <w:sz w:val="22"/>
        </w:rPr>
        <w:t>Alvarado</w:t>
      </w:r>
      <w:r>
        <w:rPr>
          <w:spacing w:val="22"/>
          <w:sz w:val="22"/>
        </w:rPr>
        <w:t> </w:t>
      </w:r>
      <w:r>
        <w:rPr>
          <w:sz w:val="22"/>
        </w:rPr>
        <w:t>JN,</w:t>
      </w:r>
      <w:r>
        <w:rPr>
          <w:spacing w:val="22"/>
          <w:sz w:val="22"/>
        </w:rPr>
        <w:t> </w:t>
      </w:r>
      <w:r>
        <w:rPr>
          <w:sz w:val="22"/>
        </w:rPr>
        <w:t>Rojas</w:t>
      </w:r>
      <w:r>
        <w:rPr>
          <w:spacing w:val="22"/>
          <w:sz w:val="22"/>
        </w:rPr>
        <w:t> </w:t>
      </w:r>
      <w:r>
        <w:rPr>
          <w:sz w:val="22"/>
        </w:rPr>
        <w:t>A,</w:t>
      </w:r>
      <w:r>
        <w:rPr>
          <w:spacing w:val="22"/>
          <w:sz w:val="22"/>
        </w:rPr>
        <w:t> </w:t>
      </w:r>
      <w:r>
        <w:rPr>
          <w:sz w:val="22"/>
        </w:rPr>
        <w:t>Navarrete</w:t>
      </w:r>
      <w:r>
        <w:rPr>
          <w:spacing w:val="22"/>
          <w:sz w:val="22"/>
        </w:rPr>
        <w:t> </w:t>
      </w:r>
      <w:r>
        <w:rPr>
          <w:sz w:val="22"/>
        </w:rPr>
        <w:t>C,</w:t>
      </w:r>
      <w:r>
        <w:rPr>
          <w:spacing w:val="22"/>
          <w:sz w:val="22"/>
        </w:rPr>
        <w:t> </w:t>
      </w:r>
      <w:r>
        <w:rPr>
          <w:sz w:val="22"/>
        </w:rPr>
        <w:t>Velasquez</w:t>
      </w:r>
      <w:r>
        <w:rPr>
          <w:spacing w:val="22"/>
          <w:sz w:val="22"/>
        </w:rPr>
        <w:t> </w:t>
      </w:r>
      <w:r>
        <w:rPr>
          <w:sz w:val="22"/>
        </w:rPr>
        <w:t>CG,</w:t>
      </w:r>
      <w:r>
        <w:rPr>
          <w:spacing w:val="22"/>
          <w:sz w:val="22"/>
        </w:rPr>
        <w:t> </w:t>
      </w:r>
      <w:r>
        <w:rPr>
          <w:sz w:val="22"/>
        </w:rPr>
        <w:t>Arteaga</w:t>
      </w:r>
      <w:r>
        <w:rPr>
          <w:spacing w:val="22"/>
          <w:sz w:val="22"/>
        </w:rPr>
        <w:t> </w:t>
      </w:r>
      <w:r>
        <w:rPr>
          <w:sz w:val="22"/>
        </w:rPr>
        <w:t>E.</w:t>
      </w:r>
      <w:r>
        <w:rPr>
          <w:spacing w:val="22"/>
          <w:sz w:val="22"/>
        </w:rPr>
        <w:t> </w:t>
      </w:r>
      <w:r>
        <w:rPr>
          <w:sz w:val="22"/>
        </w:rPr>
        <w:t>High</w:t>
      </w:r>
      <w:r>
        <w:rPr>
          <w:spacing w:val="25"/>
          <w:sz w:val="22"/>
        </w:rPr>
        <w:t> </w:t>
      </w:r>
      <w:r>
        <w:rPr>
          <w:sz w:val="22"/>
        </w:rPr>
        <w:t>prevalence of vitamin D deficiency in Chilean healthy postmenopausal women with normal sun </w:t>
      </w:r>
      <w:r>
        <w:rPr>
          <w:sz w:val="22"/>
        </w:rPr>
        <w:t>exposure: additional evidence for a worldwide concern. </w:t>
      </w:r>
      <w:r>
        <w:rPr>
          <w:i/>
          <w:sz w:val="22"/>
        </w:rPr>
        <w:t>Menopause</w:t>
      </w:r>
      <w:r>
        <w:rPr>
          <w:sz w:val="22"/>
        </w:rPr>
        <w:t>. 2007;14:455.</w:t>
      </w:r>
    </w:p>
    <w:p>
      <w:pPr>
        <w:pStyle w:val="ListParagraph"/>
        <w:numPr>
          <w:ilvl w:val="0"/>
          <w:numId w:val="8"/>
        </w:numPr>
        <w:tabs>
          <w:tab w:pos="709" w:val="left" w:leader="none"/>
          <w:tab w:pos="718" w:val="left" w:leader="none"/>
        </w:tabs>
        <w:spacing w:line="256" w:lineRule="auto" w:before="0" w:after="0"/>
        <w:ind w:left="718" w:right="104" w:hanging="507"/>
        <w:jc w:val="both"/>
        <w:rPr>
          <w:sz w:val="22"/>
        </w:rPr>
      </w:pPr>
      <w:r>
        <w:rPr>
          <w:sz w:val="22"/>
        </w:rPr>
        <w:t>Ginde AA, Liu MC, Camargo CA Jr. Demographic differences and trends of vitamin D insufficiency in the US population, 1988-2004. </w:t>
      </w:r>
      <w:r>
        <w:rPr>
          <w:i/>
          <w:sz w:val="22"/>
        </w:rPr>
        <w:t>Arch Intern Med</w:t>
      </w:r>
      <w:r>
        <w:rPr>
          <w:sz w:val="22"/>
        </w:rPr>
        <w:t>. 2009;169:626.</w:t>
      </w:r>
    </w:p>
    <w:p>
      <w:pPr>
        <w:pStyle w:val="ListParagraph"/>
        <w:numPr>
          <w:ilvl w:val="0"/>
          <w:numId w:val="8"/>
        </w:numPr>
        <w:tabs>
          <w:tab w:pos="710" w:val="left" w:leader="none"/>
        </w:tabs>
        <w:spacing w:line="252" w:lineRule="exact" w:before="0" w:after="0"/>
        <w:ind w:left="710" w:right="0" w:hanging="498"/>
        <w:jc w:val="both"/>
        <w:rPr>
          <w:sz w:val="22"/>
        </w:rPr>
      </w:pPr>
      <w:r>
        <w:rPr>
          <w:sz w:val="22"/>
        </w:rPr>
        <w:t>Thomas</w:t>
      </w:r>
      <w:r>
        <w:rPr>
          <w:spacing w:val="24"/>
          <w:sz w:val="22"/>
        </w:rPr>
        <w:t> </w:t>
      </w:r>
      <w:r>
        <w:rPr>
          <w:sz w:val="22"/>
        </w:rPr>
        <w:t>MK,</w:t>
      </w:r>
      <w:r>
        <w:rPr>
          <w:spacing w:val="25"/>
          <w:sz w:val="22"/>
        </w:rPr>
        <w:t> </w:t>
      </w:r>
      <w:r>
        <w:rPr>
          <w:sz w:val="22"/>
        </w:rPr>
        <w:t>Lloyd-Jones</w:t>
      </w:r>
      <w:r>
        <w:rPr>
          <w:spacing w:val="25"/>
          <w:sz w:val="22"/>
        </w:rPr>
        <w:t> </w:t>
      </w:r>
      <w:r>
        <w:rPr>
          <w:sz w:val="22"/>
        </w:rPr>
        <w:t>DM,</w:t>
      </w:r>
      <w:r>
        <w:rPr>
          <w:spacing w:val="25"/>
          <w:sz w:val="22"/>
        </w:rPr>
        <w:t> </w:t>
      </w:r>
      <w:r>
        <w:rPr>
          <w:sz w:val="22"/>
        </w:rPr>
        <w:t>Thadhani</w:t>
      </w:r>
      <w:r>
        <w:rPr>
          <w:spacing w:val="25"/>
          <w:sz w:val="22"/>
        </w:rPr>
        <w:t> </w:t>
      </w:r>
      <w:r>
        <w:rPr>
          <w:sz w:val="22"/>
        </w:rPr>
        <w:t>RI,</w:t>
      </w:r>
      <w:r>
        <w:rPr>
          <w:spacing w:val="25"/>
          <w:sz w:val="22"/>
        </w:rPr>
        <w:t> </w:t>
      </w:r>
      <w:r>
        <w:rPr>
          <w:sz w:val="22"/>
        </w:rPr>
        <w:t>et</w:t>
      </w:r>
      <w:r>
        <w:rPr>
          <w:spacing w:val="25"/>
          <w:sz w:val="22"/>
        </w:rPr>
        <w:t> </w:t>
      </w:r>
      <w:r>
        <w:rPr>
          <w:sz w:val="22"/>
        </w:rPr>
        <w:t>al.</w:t>
      </w:r>
      <w:r>
        <w:rPr>
          <w:spacing w:val="25"/>
          <w:sz w:val="22"/>
        </w:rPr>
        <w:t> </w:t>
      </w:r>
      <w:r>
        <w:rPr>
          <w:sz w:val="22"/>
        </w:rPr>
        <w:t>Hypovitaminosis</w:t>
      </w:r>
      <w:r>
        <w:rPr>
          <w:spacing w:val="27"/>
          <w:sz w:val="22"/>
        </w:rPr>
        <w:t> </w:t>
      </w:r>
      <w:r>
        <w:rPr>
          <w:sz w:val="22"/>
        </w:rPr>
        <w:t>D</w:t>
      </w:r>
      <w:r>
        <w:rPr>
          <w:spacing w:val="27"/>
          <w:sz w:val="22"/>
        </w:rPr>
        <w:t> </w:t>
      </w:r>
      <w:r>
        <w:rPr>
          <w:sz w:val="22"/>
        </w:rPr>
        <w:t>in</w:t>
      </w:r>
      <w:r>
        <w:rPr>
          <w:spacing w:val="28"/>
          <w:sz w:val="22"/>
        </w:rPr>
        <w:t> </w:t>
      </w:r>
      <w:r>
        <w:rPr>
          <w:sz w:val="22"/>
        </w:rPr>
        <w:t>medical</w:t>
      </w:r>
      <w:r>
        <w:rPr>
          <w:spacing w:val="27"/>
          <w:sz w:val="22"/>
        </w:rPr>
        <w:t> </w:t>
      </w:r>
      <w:r>
        <w:rPr>
          <w:spacing w:val="-2"/>
          <w:sz w:val="22"/>
        </w:rPr>
        <w:t>inpatients.</w:t>
      </w:r>
    </w:p>
    <w:p>
      <w:pPr>
        <w:spacing w:before="10"/>
        <w:ind w:left="718" w:right="0" w:firstLine="0"/>
        <w:jc w:val="both"/>
        <w:rPr>
          <w:sz w:val="22"/>
        </w:rPr>
      </w:pPr>
      <w:r>
        <w:rPr>
          <w:i/>
          <w:sz w:val="22"/>
        </w:rPr>
        <w:t>N</w:t>
      </w:r>
      <w:r>
        <w:rPr>
          <w:i/>
          <w:spacing w:val="6"/>
          <w:sz w:val="22"/>
        </w:rPr>
        <w:t> </w:t>
      </w:r>
      <w:r>
        <w:rPr>
          <w:i/>
          <w:sz w:val="22"/>
        </w:rPr>
        <w:t>Engl</w:t>
      </w:r>
      <w:r>
        <w:rPr>
          <w:i/>
          <w:spacing w:val="6"/>
          <w:sz w:val="22"/>
        </w:rPr>
        <w:t> </w:t>
      </w:r>
      <w:r>
        <w:rPr>
          <w:i/>
          <w:sz w:val="22"/>
        </w:rPr>
        <w:t>J</w:t>
      </w:r>
      <w:r>
        <w:rPr>
          <w:i/>
          <w:spacing w:val="6"/>
          <w:sz w:val="22"/>
        </w:rPr>
        <w:t> </w:t>
      </w:r>
      <w:r>
        <w:rPr>
          <w:i/>
          <w:sz w:val="22"/>
        </w:rPr>
        <w:t>Med</w:t>
      </w:r>
      <w:r>
        <w:rPr>
          <w:sz w:val="22"/>
        </w:rPr>
        <w:t>.</w:t>
      </w:r>
      <w:r>
        <w:rPr>
          <w:spacing w:val="7"/>
          <w:sz w:val="22"/>
        </w:rPr>
        <w:t> </w:t>
      </w:r>
      <w:r>
        <w:rPr>
          <w:spacing w:val="-2"/>
          <w:sz w:val="22"/>
        </w:rPr>
        <w:t>1998;338:777.</w:t>
      </w:r>
    </w:p>
    <w:p>
      <w:pPr>
        <w:pStyle w:val="ListParagraph"/>
        <w:numPr>
          <w:ilvl w:val="0"/>
          <w:numId w:val="8"/>
        </w:numPr>
        <w:tabs>
          <w:tab w:pos="709" w:val="left" w:leader="none"/>
          <w:tab w:pos="718" w:val="left" w:leader="none"/>
        </w:tabs>
        <w:spacing w:line="256" w:lineRule="auto" w:before="17" w:after="0"/>
        <w:ind w:left="718" w:right="97" w:hanging="507"/>
        <w:jc w:val="both"/>
        <w:rPr>
          <w:sz w:val="22"/>
        </w:rPr>
      </w:pPr>
      <w:r>
        <w:rPr>
          <w:sz w:val="22"/>
        </w:rPr>
        <w:t>Feskanich D, Singh V, Willett WC, Colditz GA. Vitamin A intake and hip fractures </w:t>
      </w:r>
      <w:r>
        <w:rPr>
          <w:sz w:val="22"/>
        </w:rPr>
        <w:t>among postmenopausal women. </w:t>
      </w:r>
      <w:r>
        <w:rPr>
          <w:i/>
          <w:sz w:val="22"/>
        </w:rPr>
        <w:t>JAMA</w:t>
      </w:r>
      <w:r>
        <w:rPr>
          <w:sz w:val="22"/>
        </w:rPr>
        <w:t>. 2002;287:47.</w:t>
      </w:r>
    </w:p>
    <w:p>
      <w:pPr>
        <w:pStyle w:val="ListParagraph"/>
        <w:numPr>
          <w:ilvl w:val="0"/>
          <w:numId w:val="8"/>
        </w:numPr>
        <w:tabs>
          <w:tab w:pos="709" w:val="left" w:leader="none"/>
          <w:tab w:pos="718" w:val="left" w:leader="none"/>
        </w:tabs>
        <w:spacing w:line="256" w:lineRule="auto" w:before="0" w:after="0"/>
        <w:ind w:left="718" w:right="111" w:hanging="507"/>
        <w:jc w:val="both"/>
        <w:rPr>
          <w:sz w:val="22"/>
        </w:rPr>
      </w:pPr>
      <w:r>
        <w:rPr>
          <w:sz w:val="22"/>
        </w:rPr>
        <w:t>Whiting SJ, Lemke B. Excess retinol intake may explain the high incidence of osteoporosis </w:t>
      </w:r>
      <w:r>
        <w:rPr>
          <w:sz w:val="22"/>
        </w:rPr>
        <w:t>in northern Europe. </w:t>
      </w:r>
      <w:r>
        <w:rPr>
          <w:i/>
          <w:sz w:val="22"/>
        </w:rPr>
        <w:t>Nutr Rev</w:t>
      </w:r>
      <w:r>
        <w:rPr>
          <w:sz w:val="22"/>
        </w:rPr>
        <w:t>. 1999;57:191.</w:t>
      </w:r>
    </w:p>
    <w:p>
      <w:pPr>
        <w:pStyle w:val="ListParagraph"/>
        <w:numPr>
          <w:ilvl w:val="0"/>
          <w:numId w:val="8"/>
        </w:numPr>
        <w:tabs>
          <w:tab w:pos="709" w:val="left" w:leader="none"/>
          <w:tab w:pos="718" w:val="left" w:leader="none"/>
        </w:tabs>
        <w:spacing w:line="256" w:lineRule="auto" w:before="0" w:after="0"/>
        <w:ind w:left="718" w:right="106" w:hanging="507"/>
        <w:jc w:val="both"/>
        <w:rPr>
          <w:sz w:val="22"/>
        </w:rPr>
      </w:pPr>
      <w:r>
        <w:rPr>
          <w:sz w:val="22"/>
        </w:rPr>
        <w:t>Jackson</w:t>
      </w:r>
      <w:r>
        <w:rPr>
          <w:spacing w:val="39"/>
          <w:sz w:val="22"/>
        </w:rPr>
        <w:t> </w:t>
      </w:r>
      <w:r>
        <w:rPr>
          <w:sz w:val="22"/>
        </w:rPr>
        <w:t>RD,</w:t>
      </w:r>
      <w:r>
        <w:rPr>
          <w:spacing w:val="39"/>
          <w:sz w:val="22"/>
        </w:rPr>
        <w:t> </w:t>
      </w:r>
      <w:r>
        <w:rPr>
          <w:sz w:val="22"/>
        </w:rPr>
        <w:t>LaCroix</w:t>
      </w:r>
      <w:r>
        <w:rPr>
          <w:spacing w:val="39"/>
          <w:sz w:val="22"/>
        </w:rPr>
        <w:t> </w:t>
      </w:r>
      <w:r>
        <w:rPr>
          <w:sz w:val="22"/>
        </w:rPr>
        <w:t>AZ,</w:t>
      </w:r>
      <w:r>
        <w:rPr>
          <w:spacing w:val="39"/>
          <w:sz w:val="22"/>
        </w:rPr>
        <w:t> </w:t>
      </w:r>
      <w:r>
        <w:rPr>
          <w:sz w:val="22"/>
        </w:rPr>
        <w:t>Gass</w:t>
      </w:r>
      <w:r>
        <w:rPr>
          <w:spacing w:val="39"/>
          <w:sz w:val="22"/>
        </w:rPr>
        <w:t> </w:t>
      </w:r>
      <w:r>
        <w:rPr>
          <w:sz w:val="22"/>
        </w:rPr>
        <w:t>M,</w:t>
      </w:r>
      <w:r>
        <w:rPr>
          <w:spacing w:val="39"/>
          <w:sz w:val="22"/>
        </w:rPr>
        <w:t> </w:t>
      </w:r>
      <w:r>
        <w:rPr>
          <w:sz w:val="22"/>
        </w:rPr>
        <w:t>et</w:t>
      </w:r>
      <w:r>
        <w:rPr>
          <w:spacing w:val="39"/>
          <w:sz w:val="22"/>
        </w:rPr>
        <w:t> </w:t>
      </w:r>
      <w:r>
        <w:rPr>
          <w:sz w:val="22"/>
        </w:rPr>
        <w:t>al;</w:t>
      </w:r>
      <w:r>
        <w:rPr>
          <w:spacing w:val="39"/>
          <w:sz w:val="22"/>
        </w:rPr>
        <w:t> </w:t>
      </w:r>
      <w:r>
        <w:rPr>
          <w:sz w:val="22"/>
        </w:rPr>
        <w:t>Women’s</w:t>
      </w:r>
      <w:r>
        <w:rPr>
          <w:spacing w:val="39"/>
          <w:sz w:val="22"/>
        </w:rPr>
        <w:t> </w:t>
      </w:r>
      <w:r>
        <w:rPr>
          <w:sz w:val="22"/>
        </w:rPr>
        <w:t>Health</w:t>
      </w:r>
      <w:r>
        <w:rPr>
          <w:spacing w:val="39"/>
          <w:sz w:val="22"/>
        </w:rPr>
        <w:t> </w:t>
      </w:r>
      <w:r>
        <w:rPr>
          <w:sz w:val="22"/>
        </w:rPr>
        <w:t>Initiative</w:t>
      </w:r>
      <w:r>
        <w:rPr>
          <w:spacing w:val="39"/>
          <w:sz w:val="22"/>
        </w:rPr>
        <w:t> </w:t>
      </w:r>
      <w:r>
        <w:rPr>
          <w:sz w:val="22"/>
        </w:rPr>
        <w:t>Investigators.</w:t>
      </w:r>
      <w:r>
        <w:rPr>
          <w:spacing w:val="39"/>
          <w:sz w:val="22"/>
        </w:rPr>
        <w:t> </w:t>
      </w:r>
      <w:r>
        <w:rPr>
          <w:sz w:val="22"/>
        </w:rPr>
        <w:t>Calcium plus vitamin D supplementation and the risk of fractures. </w:t>
      </w:r>
      <w:r>
        <w:rPr>
          <w:i/>
          <w:sz w:val="22"/>
        </w:rPr>
        <w:t>N Engl J Med</w:t>
      </w:r>
      <w:r>
        <w:rPr>
          <w:sz w:val="22"/>
        </w:rPr>
        <w:t>. 2006;354:669.</w:t>
      </w:r>
    </w:p>
    <w:p>
      <w:pPr>
        <w:pStyle w:val="ListParagraph"/>
        <w:numPr>
          <w:ilvl w:val="0"/>
          <w:numId w:val="8"/>
        </w:numPr>
        <w:tabs>
          <w:tab w:pos="709" w:val="left" w:leader="none"/>
          <w:tab w:pos="718" w:val="left" w:leader="none"/>
        </w:tabs>
        <w:spacing w:line="256" w:lineRule="auto" w:before="0" w:after="0"/>
        <w:ind w:left="718" w:right="106" w:hanging="507"/>
        <w:jc w:val="both"/>
        <w:rPr>
          <w:sz w:val="22"/>
        </w:rPr>
      </w:pPr>
      <w:r>
        <w:rPr>
          <w:sz w:val="22"/>
        </w:rPr>
        <w:t>Chlebowski RT, Johnson KC, Kooperberg CL, et al; Women’s Health Initiative Investigators. Calcium plus vitamin D supplementation and the risk of breast cancer. </w:t>
      </w:r>
      <w:r>
        <w:rPr>
          <w:i/>
          <w:sz w:val="22"/>
        </w:rPr>
        <w:t>J Natl Cancer Inst</w:t>
      </w:r>
      <w:r>
        <w:rPr>
          <w:sz w:val="22"/>
        </w:rPr>
        <w:t>. </w:t>
      </w:r>
      <w:r>
        <w:rPr>
          <w:spacing w:val="-2"/>
          <w:sz w:val="22"/>
        </w:rPr>
        <w:t>2008;100:1581.</w:t>
      </w:r>
    </w:p>
    <w:p>
      <w:pPr>
        <w:pStyle w:val="ListParagraph"/>
        <w:numPr>
          <w:ilvl w:val="0"/>
          <w:numId w:val="8"/>
        </w:numPr>
        <w:tabs>
          <w:tab w:pos="699" w:val="left" w:leader="none"/>
          <w:tab w:pos="718" w:val="left" w:leader="none"/>
        </w:tabs>
        <w:spacing w:line="256" w:lineRule="auto" w:before="0" w:after="0"/>
        <w:ind w:left="718" w:right="101" w:hanging="507"/>
        <w:jc w:val="both"/>
        <w:rPr>
          <w:sz w:val="22"/>
        </w:rPr>
      </w:pPr>
      <w:r>
        <w:rPr>
          <w:sz w:val="22"/>
        </w:rPr>
        <w:t>Brunner</w:t>
      </w:r>
      <w:r>
        <w:rPr>
          <w:spacing w:val="40"/>
          <w:sz w:val="22"/>
        </w:rPr>
        <w:t> </w:t>
      </w:r>
      <w:r>
        <w:rPr>
          <w:sz w:val="22"/>
        </w:rPr>
        <w:t>RL,</w:t>
      </w:r>
      <w:r>
        <w:rPr>
          <w:spacing w:val="40"/>
          <w:sz w:val="22"/>
        </w:rPr>
        <w:t> </w:t>
      </w:r>
      <w:r>
        <w:rPr>
          <w:sz w:val="22"/>
        </w:rPr>
        <w:t>Cochrane</w:t>
      </w:r>
      <w:r>
        <w:rPr>
          <w:spacing w:val="40"/>
          <w:sz w:val="22"/>
        </w:rPr>
        <w:t> </w:t>
      </w:r>
      <w:r>
        <w:rPr>
          <w:sz w:val="22"/>
        </w:rPr>
        <w:t>B,</w:t>
      </w:r>
      <w:r>
        <w:rPr>
          <w:spacing w:val="40"/>
          <w:sz w:val="22"/>
        </w:rPr>
        <w:t> </w:t>
      </w:r>
      <w:r>
        <w:rPr>
          <w:sz w:val="22"/>
        </w:rPr>
        <w:t>Jackson</w:t>
      </w:r>
      <w:r>
        <w:rPr>
          <w:spacing w:val="40"/>
          <w:sz w:val="22"/>
        </w:rPr>
        <w:t> </w:t>
      </w:r>
      <w:r>
        <w:rPr>
          <w:sz w:val="22"/>
        </w:rPr>
        <w:t>RD,</w:t>
      </w:r>
      <w:r>
        <w:rPr>
          <w:spacing w:val="40"/>
          <w:sz w:val="22"/>
        </w:rPr>
        <w:t> </w:t>
      </w:r>
      <w:r>
        <w:rPr>
          <w:sz w:val="22"/>
        </w:rPr>
        <w:t>et</w:t>
      </w:r>
      <w:r>
        <w:rPr>
          <w:spacing w:val="40"/>
          <w:sz w:val="22"/>
        </w:rPr>
        <w:t> </w:t>
      </w:r>
      <w:r>
        <w:rPr>
          <w:sz w:val="22"/>
        </w:rPr>
        <w:t>al;</w:t>
      </w:r>
      <w:r>
        <w:rPr>
          <w:spacing w:val="40"/>
          <w:sz w:val="22"/>
        </w:rPr>
        <w:t> </w:t>
      </w:r>
      <w:r>
        <w:rPr>
          <w:sz w:val="22"/>
        </w:rPr>
        <w:t>Women’s</w:t>
      </w:r>
      <w:r>
        <w:rPr>
          <w:spacing w:val="40"/>
          <w:sz w:val="22"/>
        </w:rPr>
        <w:t> </w:t>
      </w:r>
      <w:r>
        <w:rPr>
          <w:sz w:val="22"/>
        </w:rPr>
        <w:t>Health</w:t>
      </w:r>
      <w:r>
        <w:rPr>
          <w:spacing w:val="40"/>
          <w:sz w:val="22"/>
        </w:rPr>
        <w:t> </w:t>
      </w:r>
      <w:r>
        <w:rPr>
          <w:sz w:val="22"/>
        </w:rPr>
        <w:t>Initiative</w:t>
      </w:r>
      <w:r>
        <w:rPr>
          <w:spacing w:val="40"/>
          <w:sz w:val="22"/>
        </w:rPr>
        <w:t> </w:t>
      </w:r>
      <w:r>
        <w:rPr>
          <w:sz w:val="22"/>
        </w:rPr>
        <w:t>Investigators. Calcium,</w:t>
      </w:r>
      <w:r>
        <w:rPr>
          <w:spacing w:val="21"/>
          <w:sz w:val="22"/>
        </w:rPr>
        <w:t> </w:t>
      </w:r>
      <w:r>
        <w:rPr>
          <w:sz w:val="22"/>
        </w:rPr>
        <w:t>vitamin</w:t>
      </w:r>
      <w:r>
        <w:rPr>
          <w:spacing w:val="21"/>
          <w:sz w:val="22"/>
        </w:rPr>
        <w:t> </w:t>
      </w:r>
      <w:r>
        <w:rPr>
          <w:sz w:val="22"/>
        </w:rPr>
        <w:t>D</w:t>
      </w:r>
      <w:r>
        <w:rPr>
          <w:spacing w:val="21"/>
          <w:sz w:val="22"/>
        </w:rPr>
        <w:t> </w:t>
      </w:r>
      <w:r>
        <w:rPr>
          <w:sz w:val="22"/>
        </w:rPr>
        <w:t>supplementation,</w:t>
      </w:r>
      <w:r>
        <w:rPr>
          <w:spacing w:val="21"/>
          <w:sz w:val="22"/>
        </w:rPr>
        <w:t> </w:t>
      </w:r>
      <w:r>
        <w:rPr>
          <w:sz w:val="22"/>
        </w:rPr>
        <w:t>and</w:t>
      </w:r>
      <w:r>
        <w:rPr>
          <w:spacing w:val="21"/>
          <w:sz w:val="22"/>
        </w:rPr>
        <w:t> </w:t>
      </w:r>
      <w:r>
        <w:rPr>
          <w:sz w:val="22"/>
        </w:rPr>
        <w:t>physical</w:t>
      </w:r>
      <w:r>
        <w:rPr>
          <w:spacing w:val="21"/>
          <w:sz w:val="22"/>
        </w:rPr>
        <w:t> </w:t>
      </w:r>
      <w:r>
        <w:rPr>
          <w:sz w:val="22"/>
        </w:rPr>
        <w:t>function</w:t>
      </w:r>
      <w:r>
        <w:rPr>
          <w:spacing w:val="21"/>
          <w:sz w:val="22"/>
        </w:rPr>
        <w:t> </w:t>
      </w:r>
      <w:r>
        <w:rPr>
          <w:sz w:val="22"/>
        </w:rPr>
        <w:t>in</w:t>
      </w:r>
      <w:r>
        <w:rPr>
          <w:spacing w:val="21"/>
          <w:sz w:val="22"/>
        </w:rPr>
        <w:t> </w:t>
      </w:r>
      <w:r>
        <w:rPr>
          <w:sz w:val="22"/>
        </w:rPr>
        <w:t>the</w:t>
      </w:r>
      <w:r>
        <w:rPr>
          <w:spacing w:val="21"/>
          <w:sz w:val="22"/>
        </w:rPr>
        <w:t> </w:t>
      </w:r>
      <w:r>
        <w:rPr>
          <w:sz w:val="22"/>
        </w:rPr>
        <w:t>Women’s</w:t>
      </w:r>
      <w:r>
        <w:rPr>
          <w:spacing w:val="21"/>
          <w:sz w:val="22"/>
        </w:rPr>
        <w:t> </w:t>
      </w:r>
      <w:r>
        <w:rPr>
          <w:sz w:val="22"/>
        </w:rPr>
        <w:t>Health</w:t>
      </w:r>
      <w:r>
        <w:rPr>
          <w:spacing w:val="21"/>
          <w:sz w:val="22"/>
        </w:rPr>
        <w:t> </w:t>
      </w:r>
      <w:r>
        <w:rPr>
          <w:sz w:val="22"/>
        </w:rPr>
        <w:t>Initiative. </w:t>
      </w:r>
      <w:r>
        <w:rPr>
          <w:i/>
          <w:sz w:val="22"/>
        </w:rPr>
        <w:t>J Am Diet Assoc</w:t>
      </w:r>
      <w:r>
        <w:rPr>
          <w:sz w:val="22"/>
        </w:rPr>
        <w:t>. 2008;108:1472.</w:t>
      </w:r>
    </w:p>
    <w:p>
      <w:pPr>
        <w:pStyle w:val="ListParagraph"/>
        <w:spacing w:after="0" w:line="256" w:lineRule="auto"/>
        <w:jc w:val="both"/>
        <w:rPr>
          <w:sz w:val="22"/>
        </w:rPr>
        <w:sectPr>
          <w:pgSz w:w="12240" w:h="15840"/>
          <w:pgMar w:top="1360" w:bottom="280" w:left="1440" w:right="1440"/>
        </w:sectPr>
      </w:pPr>
    </w:p>
    <w:p>
      <w:pPr>
        <w:pStyle w:val="ListParagraph"/>
        <w:numPr>
          <w:ilvl w:val="0"/>
          <w:numId w:val="8"/>
        </w:numPr>
        <w:tabs>
          <w:tab w:pos="709" w:val="left" w:leader="none"/>
          <w:tab w:pos="718" w:val="left" w:leader="none"/>
        </w:tabs>
        <w:spacing w:line="256" w:lineRule="auto" w:before="84" w:after="0"/>
        <w:ind w:left="718" w:right="100" w:hanging="507"/>
        <w:jc w:val="both"/>
        <w:rPr>
          <w:sz w:val="22"/>
        </w:rPr>
      </w:pPr>
      <w:r>
        <w:rPr>
          <w:sz w:val="22"/>
        </w:rPr>
        <w:t>de</w:t>
      </w:r>
      <w:r>
        <w:rPr>
          <w:spacing w:val="33"/>
          <w:sz w:val="22"/>
        </w:rPr>
        <w:t> </w:t>
      </w:r>
      <w:r>
        <w:rPr>
          <w:sz w:val="22"/>
        </w:rPr>
        <w:t>Boer</w:t>
      </w:r>
      <w:r>
        <w:rPr>
          <w:spacing w:val="33"/>
          <w:sz w:val="22"/>
        </w:rPr>
        <w:t> </w:t>
      </w:r>
      <w:r>
        <w:rPr>
          <w:sz w:val="22"/>
        </w:rPr>
        <w:t>IH,</w:t>
      </w:r>
      <w:r>
        <w:rPr>
          <w:spacing w:val="33"/>
          <w:sz w:val="22"/>
        </w:rPr>
        <w:t> </w:t>
      </w:r>
      <w:r>
        <w:rPr>
          <w:sz w:val="22"/>
        </w:rPr>
        <w:t>Tinker</w:t>
      </w:r>
      <w:r>
        <w:rPr>
          <w:spacing w:val="33"/>
          <w:sz w:val="22"/>
        </w:rPr>
        <w:t> </w:t>
      </w:r>
      <w:r>
        <w:rPr>
          <w:sz w:val="22"/>
        </w:rPr>
        <w:t>LF,</w:t>
      </w:r>
      <w:r>
        <w:rPr>
          <w:spacing w:val="33"/>
          <w:sz w:val="22"/>
        </w:rPr>
        <w:t> </w:t>
      </w:r>
      <w:r>
        <w:rPr>
          <w:sz w:val="22"/>
        </w:rPr>
        <w:t>Connelly</w:t>
      </w:r>
      <w:r>
        <w:rPr>
          <w:spacing w:val="33"/>
          <w:sz w:val="22"/>
        </w:rPr>
        <w:t> </w:t>
      </w:r>
      <w:r>
        <w:rPr>
          <w:sz w:val="22"/>
        </w:rPr>
        <w:t>S,</w:t>
      </w:r>
      <w:r>
        <w:rPr>
          <w:spacing w:val="33"/>
          <w:sz w:val="22"/>
        </w:rPr>
        <w:t> </w:t>
      </w:r>
      <w:r>
        <w:rPr>
          <w:sz w:val="22"/>
        </w:rPr>
        <w:t>et</w:t>
      </w:r>
      <w:r>
        <w:rPr>
          <w:spacing w:val="33"/>
          <w:sz w:val="22"/>
        </w:rPr>
        <w:t> </w:t>
      </w:r>
      <w:r>
        <w:rPr>
          <w:sz w:val="22"/>
        </w:rPr>
        <w:t>al;</w:t>
      </w:r>
      <w:r>
        <w:rPr>
          <w:spacing w:val="33"/>
          <w:sz w:val="22"/>
        </w:rPr>
        <w:t> </w:t>
      </w:r>
      <w:r>
        <w:rPr>
          <w:sz w:val="22"/>
        </w:rPr>
        <w:t>Women’s</w:t>
      </w:r>
      <w:r>
        <w:rPr>
          <w:spacing w:val="33"/>
          <w:sz w:val="22"/>
        </w:rPr>
        <w:t> </w:t>
      </w:r>
      <w:r>
        <w:rPr>
          <w:sz w:val="22"/>
        </w:rPr>
        <w:t>Health</w:t>
      </w:r>
      <w:r>
        <w:rPr>
          <w:spacing w:val="33"/>
          <w:sz w:val="22"/>
        </w:rPr>
        <w:t> </w:t>
      </w:r>
      <w:r>
        <w:rPr>
          <w:sz w:val="22"/>
        </w:rPr>
        <w:t>Initiative</w:t>
      </w:r>
      <w:r>
        <w:rPr>
          <w:spacing w:val="33"/>
          <w:sz w:val="22"/>
        </w:rPr>
        <w:t> </w:t>
      </w:r>
      <w:r>
        <w:rPr>
          <w:sz w:val="22"/>
        </w:rPr>
        <w:t>Investigators.</w:t>
      </w:r>
      <w:r>
        <w:rPr>
          <w:spacing w:val="33"/>
          <w:sz w:val="22"/>
        </w:rPr>
        <w:t> </w:t>
      </w:r>
      <w:r>
        <w:rPr>
          <w:sz w:val="22"/>
        </w:rPr>
        <w:t>Calcium plus vitamin D supplementation and the risk of incident diabetes in the Women’s Health Initiative. </w:t>
      </w:r>
      <w:r>
        <w:rPr>
          <w:i/>
          <w:sz w:val="22"/>
        </w:rPr>
        <w:t>Diabetes Care</w:t>
      </w:r>
      <w:r>
        <w:rPr>
          <w:sz w:val="22"/>
        </w:rPr>
        <w:t>. 2008;31:701.</w:t>
      </w:r>
    </w:p>
    <w:p>
      <w:pPr>
        <w:pStyle w:val="ListParagraph"/>
        <w:numPr>
          <w:ilvl w:val="0"/>
          <w:numId w:val="8"/>
        </w:numPr>
        <w:tabs>
          <w:tab w:pos="709" w:val="left" w:leader="none"/>
          <w:tab w:pos="718" w:val="left" w:leader="none"/>
        </w:tabs>
        <w:spacing w:line="256" w:lineRule="auto" w:before="0" w:after="0"/>
        <w:ind w:left="718" w:right="102" w:hanging="507"/>
        <w:jc w:val="both"/>
        <w:rPr>
          <w:sz w:val="22"/>
        </w:rPr>
      </w:pPr>
      <w:r>
        <w:rPr>
          <w:sz w:val="22"/>
        </w:rPr>
        <w:t>Hsia J, Heiss G, Ren H, et al; Women’s Health Initiative Investigators. Calcium/vitamin D supplementation and cardiovascular events. </w:t>
      </w:r>
      <w:r>
        <w:rPr>
          <w:i/>
          <w:sz w:val="22"/>
        </w:rPr>
        <w:t>Circulation</w:t>
      </w:r>
      <w:r>
        <w:rPr>
          <w:sz w:val="22"/>
        </w:rPr>
        <w:t>. 2007;115:846.</w:t>
      </w:r>
    </w:p>
    <w:p>
      <w:pPr>
        <w:pStyle w:val="ListParagraph"/>
        <w:numPr>
          <w:ilvl w:val="0"/>
          <w:numId w:val="8"/>
        </w:numPr>
        <w:tabs>
          <w:tab w:pos="709" w:val="left" w:leader="none"/>
          <w:tab w:pos="718" w:val="left" w:leader="none"/>
        </w:tabs>
        <w:spacing w:line="256" w:lineRule="auto" w:before="0" w:after="0"/>
        <w:ind w:left="718" w:right="100" w:hanging="507"/>
        <w:jc w:val="both"/>
        <w:rPr>
          <w:sz w:val="22"/>
        </w:rPr>
      </w:pPr>
      <w:r>
        <w:rPr>
          <w:sz w:val="22"/>
        </w:rPr>
        <w:t>Margolis KL, Ray RM, Van Horn L, et al; Women’s Health Initiative Investigators. Effect of calcium and vitamin D supplementation on blood pressure: the Women’s Health Initiative randomized trial. </w:t>
      </w:r>
      <w:r>
        <w:rPr>
          <w:i/>
          <w:sz w:val="22"/>
        </w:rPr>
        <w:t>Hypertension</w:t>
      </w:r>
      <w:r>
        <w:rPr>
          <w:sz w:val="22"/>
        </w:rPr>
        <w:t>. 2008;52:847.</w:t>
      </w:r>
    </w:p>
    <w:p>
      <w:pPr>
        <w:pStyle w:val="ListParagraph"/>
        <w:numPr>
          <w:ilvl w:val="0"/>
          <w:numId w:val="8"/>
        </w:numPr>
        <w:tabs>
          <w:tab w:pos="709" w:val="left" w:leader="none"/>
          <w:tab w:pos="718" w:val="left" w:leader="none"/>
        </w:tabs>
        <w:spacing w:line="256" w:lineRule="auto" w:before="0" w:after="0"/>
        <w:ind w:left="718" w:right="100" w:hanging="507"/>
        <w:jc w:val="both"/>
        <w:rPr>
          <w:sz w:val="22"/>
        </w:rPr>
      </w:pPr>
      <w:r>
        <w:rPr>
          <w:sz w:val="22"/>
        </w:rPr>
        <w:t>LaCroix AZ, Kotchen J, Anderson G, et al. Calcium plus vitamin D supplementation and mortality in postmenopausal women: the Women’s Health Initiative calcium-vitamin D randomized controlled trial. </w:t>
      </w:r>
      <w:r>
        <w:rPr>
          <w:i/>
          <w:sz w:val="22"/>
        </w:rPr>
        <w:t>J Gerontol A Biol Sci Med Sci. </w:t>
      </w:r>
      <w:r>
        <w:rPr>
          <w:sz w:val="22"/>
        </w:rPr>
        <w:t>2009;64(5):559.</w:t>
      </w:r>
    </w:p>
    <w:p>
      <w:pPr>
        <w:pStyle w:val="ListParagraph"/>
        <w:numPr>
          <w:ilvl w:val="0"/>
          <w:numId w:val="8"/>
        </w:numPr>
        <w:tabs>
          <w:tab w:pos="709" w:val="left" w:leader="none"/>
          <w:tab w:pos="718" w:val="left" w:leader="none"/>
        </w:tabs>
        <w:spacing w:line="256" w:lineRule="auto" w:before="0" w:after="0"/>
        <w:ind w:left="718" w:right="103" w:hanging="507"/>
        <w:jc w:val="both"/>
        <w:rPr>
          <w:sz w:val="22"/>
        </w:rPr>
      </w:pPr>
      <w:r>
        <w:rPr>
          <w:sz w:val="22"/>
        </w:rPr>
        <w:t>Melamed ML, Michos ED, Post W, Astor B. 25-Hydroxyvitamin D levels and the risk of mortality in the general population. </w:t>
      </w:r>
      <w:r>
        <w:rPr>
          <w:i/>
          <w:sz w:val="22"/>
        </w:rPr>
        <w:t>Arch Intern Med</w:t>
      </w:r>
      <w:r>
        <w:rPr>
          <w:sz w:val="22"/>
        </w:rPr>
        <w:t>. 2008;168:1629.</w:t>
      </w:r>
    </w:p>
    <w:p>
      <w:pPr>
        <w:pStyle w:val="ListParagraph"/>
        <w:numPr>
          <w:ilvl w:val="0"/>
          <w:numId w:val="8"/>
        </w:numPr>
        <w:tabs>
          <w:tab w:pos="709" w:val="left" w:leader="none"/>
          <w:tab w:pos="718" w:val="left" w:leader="none"/>
        </w:tabs>
        <w:spacing w:line="256" w:lineRule="auto" w:before="0" w:after="0"/>
        <w:ind w:left="718" w:right="102" w:hanging="507"/>
        <w:jc w:val="both"/>
        <w:rPr>
          <w:sz w:val="22"/>
        </w:rPr>
      </w:pPr>
      <w:r>
        <w:rPr>
          <w:sz w:val="22"/>
        </w:rPr>
        <w:t>Melamed ML, Muntner P, Michos ED, et al. Serum 25-hydroxyvitamin D levels and </w:t>
      </w:r>
      <w:r>
        <w:rPr>
          <w:sz w:val="22"/>
        </w:rPr>
        <w:t>the prevalence of peripheral arterial disease: results from NHANES 2001 to 2004. </w:t>
      </w:r>
      <w:r>
        <w:rPr>
          <w:i/>
          <w:sz w:val="22"/>
        </w:rPr>
        <w:t>Arterioscler</w:t>
      </w:r>
      <w:r>
        <w:rPr>
          <w:i/>
          <w:sz w:val="22"/>
        </w:rPr>
        <w:t> Thromb Vasc Biol</w:t>
      </w:r>
      <w:r>
        <w:rPr>
          <w:sz w:val="22"/>
        </w:rPr>
        <w:t>. 2008;28:1179.</w:t>
      </w:r>
    </w:p>
    <w:p>
      <w:pPr>
        <w:pStyle w:val="ListParagraph"/>
        <w:numPr>
          <w:ilvl w:val="0"/>
          <w:numId w:val="8"/>
        </w:numPr>
        <w:tabs>
          <w:tab w:pos="709" w:val="left" w:leader="none"/>
          <w:tab w:pos="718" w:val="left" w:leader="none"/>
        </w:tabs>
        <w:spacing w:line="256" w:lineRule="auto" w:before="0" w:after="0"/>
        <w:ind w:left="718" w:right="104" w:hanging="507"/>
        <w:jc w:val="both"/>
        <w:rPr>
          <w:sz w:val="22"/>
        </w:rPr>
      </w:pPr>
      <w:r>
        <w:rPr>
          <w:sz w:val="22"/>
        </w:rPr>
        <w:t>Pilz S, Dobnig H, Nijpels G, et al. Vitamin D and mortality in older men and women. </w:t>
      </w:r>
      <w:r>
        <w:rPr>
          <w:i/>
          <w:sz w:val="22"/>
        </w:rPr>
        <w:t>Clin</w:t>
      </w:r>
      <w:r>
        <w:rPr>
          <w:i/>
          <w:sz w:val="22"/>
        </w:rPr>
        <w:t> Endocrinol (Oxf</w:t>
      </w:r>
      <w:r>
        <w:rPr>
          <w:sz w:val="22"/>
        </w:rPr>
        <w:t>). 2009;71(5):666.</w:t>
      </w:r>
    </w:p>
    <w:p>
      <w:pPr>
        <w:pStyle w:val="ListParagraph"/>
        <w:numPr>
          <w:ilvl w:val="0"/>
          <w:numId w:val="8"/>
        </w:numPr>
        <w:tabs>
          <w:tab w:pos="709" w:val="left" w:leader="none"/>
          <w:tab w:pos="718" w:val="left" w:leader="none"/>
        </w:tabs>
        <w:spacing w:line="256" w:lineRule="auto" w:before="0" w:after="0"/>
        <w:ind w:left="718" w:right="104" w:hanging="507"/>
        <w:jc w:val="both"/>
        <w:rPr>
          <w:sz w:val="22"/>
        </w:rPr>
      </w:pPr>
      <w:r>
        <w:rPr>
          <w:sz w:val="22"/>
        </w:rPr>
        <w:t>Garland CF, Gorham ED, Mohr SB, et al. Vitamin D and prevention of breast cancer: </w:t>
      </w:r>
      <w:r>
        <w:rPr>
          <w:sz w:val="22"/>
        </w:rPr>
        <w:t>pooled analysis. </w:t>
      </w:r>
      <w:r>
        <w:rPr>
          <w:i/>
          <w:sz w:val="22"/>
        </w:rPr>
        <w:t>J Steroid Biochem Mol Biol</w:t>
      </w:r>
      <w:r>
        <w:rPr>
          <w:sz w:val="22"/>
        </w:rPr>
        <w:t>. 2007;103:708.</w:t>
      </w:r>
    </w:p>
    <w:p>
      <w:pPr>
        <w:pStyle w:val="ListParagraph"/>
        <w:numPr>
          <w:ilvl w:val="0"/>
          <w:numId w:val="8"/>
        </w:numPr>
        <w:tabs>
          <w:tab w:pos="709" w:val="left" w:leader="none"/>
          <w:tab w:pos="718" w:val="left" w:leader="none"/>
        </w:tabs>
        <w:spacing w:line="256" w:lineRule="auto" w:before="0" w:after="0"/>
        <w:ind w:left="718" w:right="102" w:hanging="507"/>
        <w:jc w:val="both"/>
        <w:rPr>
          <w:sz w:val="22"/>
        </w:rPr>
      </w:pPr>
      <w:r>
        <w:rPr>
          <w:sz w:val="22"/>
        </w:rPr>
        <w:t>Ginde AA, Scragg R, Schwartz RS, Camargo CA Jr. Prospective study of serum 25-hydroxyvitamin d level, cardiovascular disease mortality, and all-cause mortality in older U.S. adults. </w:t>
      </w:r>
      <w:r>
        <w:rPr>
          <w:i/>
          <w:sz w:val="22"/>
        </w:rPr>
        <w:t>J Am Geriatr Soc</w:t>
      </w:r>
      <w:r>
        <w:rPr>
          <w:sz w:val="22"/>
        </w:rPr>
        <w:t>. 2009;57:1595.</w:t>
      </w:r>
    </w:p>
    <w:p>
      <w:pPr>
        <w:pStyle w:val="ListParagraph"/>
        <w:numPr>
          <w:ilvl w:val="0"/>
          <w:numId w:val="8"/>
        </w:numPr>
        <w:tabs>
          <w:tab w:pos="709" w:val="left" w:leader="none"/>
          <w:tab w:pos="718" w:val="left" w:leader="none"/>
        </w:tabs>
        <w:spacing w:line="256" w:lineRule="auto" w:before="0" w:after="0"/>
        <w:ind w:left="718" w:right="97" w:hanging="507"/>
        <w:jc w:val="both"/>
        <w:rPr>
          <w:sz w:val="22"/>
        </w:rPr>
      </w:pPr>
      <w:r>
        <w:rPr>
          <w:sz w:val="22"/>
        </w:rPr>
        <w:t>Cauley JA, Wampler NS, Barnhart JM, et al; Women’s Health Initiative Investigators.</w:t>
      </w:r>
      <w:r>
        <w:rPr>
          <w:spacing w:val="80"/>
          <w:w w:val="150"/>
          <w:sz w:val="22"/>
        </w:rPr>
        <w:t> </w:t>
      </w:r>
      <w:r>
        <w:rPr>
          <w:sz w:val="22"/>
        </w:rPr>
        <w:t>Incidence of fractures compared to cardiovascular disease and breast cancer: the </w:t>
      </w:r>
      <w:r>
        <w:rPr>
          <w:sz w:val="22"/>
        </w:rPr>
        <w:t>Women’s Health Initiative observational study. </w:t>
      </w:r>
      <w:r>
        <w:rPr>
          <w:i/>
          <w:sz w:val="22"/>
        </w:rPr>
        <w:t>Osteoporos Int</w:t>
      </w:r>
      <w:r>
        <w:rPr>
          <w:sz w:val="22"/>
        </w:rPr>
        <w:t>. 2008;19:1717.</w:t>
      </w:r>
    </w:p>
    <w:p>
      <w:pPr>
        <w:pStyle w:val="ListParagraph"/>
        <w:numPr>
          <w:ilvl w:val="0"/>
          <w:numId w:val="8"/>
        </w:numPr>
        <w:tabs>
          <w:tab w:pos="709" w:val="left" w:leader="none"/>
          <w:tab w:pos="718" w:val="left" w:leader="none"/>
        </w:tabs>
        <w:spacing w:line="256" w:lineRule="auto" w:before="0" w:after="0"/>
        <w:ind w:left="718" w:right="98" w:hanging="507"/>
        <w:jc w:val="both"/>
        <w:rPr>
          <w:sz w:val="22"/>
        </w:rPr>
      </w:pPr>
      <w:r>
        <w:rPr>
          <w:sz w:val="22"/>
        </w:rPr>
        <w:t>Holick MF. High prevalence of vitamin D inadequacy and implications for health. </w:t>
      </w:r>
      <w:r>
        <w:rPr>
          <w:i/>
          <w:sz w:val="22"/>
        </w:rPr>
        <w:t>Mayo </w:t>
      </w:r>
      <w:r>
        <w:rPr>
          <w:i/>
          <w:sz w:val="22"/>
        </w:rPr>
        <w:t>Clin</w:t>
      </w:r>
      <w:r>
        <w:rPr>
          <w:i/>
          <w:sz w:val="22"/>
        </w:rPr>
        <w:t> Proc</w:t>
      </w:r>
      <w:r>
        <w:rPr>
          <w:sz w:val="22"/>
        </w:rPr>
        <w:t>. 2006;81:353.</w:t>
      </w:r>
    </w:p>
    <w:p>
      <w:pPr>
        <w:pStyle w:val="ListParagraph"/>
        <w:numPr>
          <w:ilvl w:val="0"/>
          <w:numId w:val="8"/>
        </w:numPr>
        <w:tabs>
          <w:tab w:pos="709" w:val="left" w:leader="none"/>
          <w:tab w:pos="718" w:val="left" w:leader="none"/>
        </w:tabs>
        <w:spacing w:line="256" w:lineRule="auto" w:before="0" w:after="0"/>
        <w:ind w:left="718" w:right="105" w:hanging="507"/>
        <w:jc w:val="both"/>
        <w:rPr>
          <w:sz w:val="22"/>
        </w:rPr>
      </w:pPr>
      <w:r>
        <w:rPr>
          <w:sz w:val="22"/>
        </w:rPr>
        <w:t>Cauley JA, LaCroix AZ, Wu L, et al. Serum 25-hydroxyvitamin D concentrations and risk for hip fractures. </w:t>
      </w:r>
      <w:r>
        <w:rPr>
          <w:i/>
          <w:sz w:val="22"/>
        </w:rPr>
        <w:t>Ann Intern Med</w:t>
      </w:r>
      <w:r>
        <w:rPr>
          <w:sz w:val="22"/>
        </w:rPr>
        <w:t>. 2008;149:242.</w:t>
      </w:r>
    </w:p>
    <w:p>
      <w:pPr>
        <w:pStyle w:val="ListParagraph"/>
        <w:numPr>
          <w:ilvl w:val="0"/>
          <w:numId w:val="8"/>
        </w:numPr>
        <w:tabs>
          <w:tab w:pos="709" w:val="left" w:leader="none"/>
          <w:tab w:pos="718" w:val="left" w:leader="none"/>
        </w:tabs>
        <w:spacing w:line="256" w:lineRule="auto" w:before="0" w:after="0"/>
        <w:ind w:left="718" w:right="103" w:hanging="507"/>
        <w:jc w:val="both"/>
        <w:rPr>
          <w:sz w:val="22"/>
        </w:rPr>
      </w:pPr>
      <w:r>
        <w:rPr>
          <w:sz w:val="22"/>
        </w:rPr>
        <w:t>Tilyard MW, Spears GFS, Thomson J, Dovey S. Treatment of postmenopausal </w:t>
      </w:r>
      <w:r>
        <w:rPr>
          <w:sz w:val="22"/>
        </w:rPr>
        <w:t>osteoporosis</w:t>
      </w:r>
      <w:r>
        <w:rPr>
          <w:spacing w:val="80"/>
          <w:sz w:val="22"/>
        </w:rPr>
        <w:t> </w:t>
      </w:r>
      <w:r>
        <w:rPr>
          <w:sz w:val="22"/>
        </w:rPr>
        <w:t>with calcitriol or calcium. </w:t>
      </w:r>
      <w:r>
        <w:rPr>
          <w:i/>
          <w:sz w:val="22"/>
        </w:rPr>
        <w:t>N Engl J Med</w:t>
      </w:r>
      <w:r>
        <w:rPr>
          <w:sz w:val="22"/>
        </w:rPr>
        <w:t>. 1992;326:357.</w:t>
      </w:r>
    </w:p>
    <w:p>
      <w:pPr>
        <w:pStyle w:val="ListParagraph"/>
        <w:numPr>
          <w:ilvl w:val="0"/>
          <w:numId w:val="8"/>
        </w:numPr>
        <w:tabs>
          <w:tab w:pos="709" w:val="left" w:leader="none"/>
          <w:tab w:pos="718" w:val="left" w:leader="none"/>
        </w:tabs>
        <w:spacing w:line="256" w:lineRule="auto" w:before="0" w:after="0"/>
        <w:ind w:left="718" w:right="110" w:hanging="507"/>
        <w:jc w:val="both"/>
        <w:rPr>
          <w:sz w:val="22"/>
        </w:rPr>
      </w:pPr>
      <w:r>
        <w:rPr>
          <w:sz w:val="22"/>
        </w:rPr>
        <w:t>Chapuy MC, Meunier PJ. Prevention of secondary hyperparathyroidism and hip fracture </w:t>
      </w:r>
      <w:r>
        <w:rPr>
          <w:sz w:val="22"/>
        </w:rPr>
        <w:t>in elderly women with calcium and vitamin D</w:t>
      </w:r>
      <w:r>
        <w:rPr>
          <w:sz w:val="22"/>
          <w:vertAlign w:val="subscript"/>
        </w:rPr>
        <w:t>3</w:t>
      </w:r>
      <w:r>
        <w:rPr>
          <w:sz w:val="22"/>
          <w:vertAlign w:val="baseline"/>
        </w:rPr>
        <w:t> supplements. </w:t>
      </w:r>
      <w:r>
        <w:rPr>
          <w:i/>
          <w:sz w:val="22"/>
          <w:vertAlign w:val="baseline"/>
        </w:rPr>
        <w:t>Osteoporos Int</w:t>
      </w:r>
      <w:r>
        <w:rPr>
          <w:sz w:val="22"/>
          <w:vertAlign w:val="baseline"/>
        </w:rPr>
        <w:t>. 1996;6(suppl 3):60.</w:t>
      </w:r>
    </w:p>
    <w:p>
      <w:pPr>
        <w:pStyle w:val="ListParagraph"/>
        <w:numPr>
          <w:ilvl w:val="0"/>
          <w:numId w:val="8"/>
        </w:numPr>
        <w:tabs>
          <w:tab w:pos="709" w:val="left" w:leader="none"/>
          <w:tab w:pos="718" w:val="left" w:leader="none"/>
        </w:tabs>
        <w:spacing w:line="256" w:lineRule="auto" w:before="22" w:after="0"/>
        <w:ind w:left="718" w:right="104" w:hanging="507"/>
        <w:jc w:val="both"/>
        <w:rPr>
          <w:sz w:val="22"/>
        </w:rPr>
      </w:pPr>
      <w:r>
        <w:rPr>
          <w:sz w:val="22"/>
        </w:rPr>
        <w:t>Bischoff-Ferrari HA, Dawson-Hughes B, Willett W, et al. Fall prevention by vitamin D treatment: a meta-analysis of randomized controlled trials. </w:t>
      </w:r>
      <w:r>
        <w:rPr>
          <w:i/>
          <w:sz w:val="22"/>
        </w:rPr>
        <w:t>JAMA</w:t>
      </w:r>
      <w:r>
        <w:rPr>
          <w:sz w:val="22"/>
        </w:rPr>
        <w:t>. 2004;291:1999.</w:t>
      </w:r>
    </w:p>
    <w:p>
      <w:pPr>
        <w:pStyle w:val="ListParagraph"/>
        <w:numPr>
          <w:ilvl w:val="0"/>
          <w:numId w:val="8"/>
        </w:numPr>
        <w:tabs>
          <w:tab w:pos="709" w:val="left" w:leader="none"/>
          <w:tab w:pos="718" w:val="left" w:leader="none"/>
        </w:tabs>
        <w:spacing w:line="256" w:lineRule="auto" w:before="0" w:after="0"/>
        <w:ind w:left="718" w:right="99" w:hanging="507"/>
        <w:jc w:val="both"/>
        <w:rPr>
          <w:sz w:val="22"/>
        </w:rPr>
      </w:pPr>
      <w:r>
        <w:rPr>
          <w:sz w:val="22"/>
        </w:rPr>
        <w:t>Bischoff-Ferrari HA, Dietrich T, Orav EJ, Zhang Y, Karlson EW, Dawson-Hughes B. Higher</w:t>
      </w:r>
      <w:r>
        <w:rPr>
          <w:spacing w:val="40"/>
          <w:sz w:val="22"/>
        </w:rPr>
        <w:t> </w:t>
      </w:r>
      <w:r>
        <w:rPr>
          <w:sz w:val="22"/>
        </w:rPr>
        <w:t>25-hydroxyvitamin D levels are associated with better lower extremity function in both active and inactive adults 60+ years of age. </w:t>
      </w:r>
      <w:r>
        <w:rPr>
          <w:i/>
          <w:sz w:val="22"/>
        </w:rPr>
        <w:t>Am J Clin Nutr</w:t>
      </w:r>
      <w:r>
        <w:rPr>
          <w:sz w:val="22"/>
        </w:rPr>
        <w:t>. 2004;80:752.</w:t>
      </w:r>
    </w:p>
    <w:p>
      <w:pPr>
        <w:pStyle w:val="ListParagraph"/>
        <w:numPr>
          <w:ilvl w:val="0"/>
          <w:numId w:val="8"/>
        </w:numPr>
        <w:tabs>
          <w:tab w:pos="709" w:val="left" w:leader="none"/>
          <w:tab w:pos="718" w:val="left" w:leader="none"/>
        </w:tabs>
        <w:spacing w:line="256" w:lineRule="auto" w:before="0" w:after="0"/>
        <w:ind w:left="718" w:right="109" w:hanging="507"/>
        <w:jc w:val="both"/>
        <w:rPr>
          <w:sz w:val="22"/>
        </w:rPr>
      </w:pPr>
      <w:r>
        <w:rPr>
          <w:sz w:val="22"/>
        </w:rPr>
        <w:t>Dawson-Hughes B, Heaney RP, Holick MF, Lips P, Meunier PJ, Vieth R. Estimates of </w:t>
      </w:r>
      <w:r>
        <w:rPr>
          <w:sz w:val="22"/>
        </w:rPr>
        <w:t>optimal vitamin D status. </w:t>
      </w:r>
      <w:r>
        <w:rPr>
          <w:i/>
          <w:sz w:val="22"/>
        </w:rPr>
        <w:t>Osteoporos Int</w:t>
      </w:r>
      <w:r>
        <w:rPr>
          <w:sz w:val="22"/>
        </w:rPr>
        <w:t>. 2005;16:713.</w:t>
      </w:r>
    </w:p>
    <w:p>
      <w:pPr>
        <w:pStyle w:val="ListParagraph"/>
        <w:numPr>
          <w:ilvl w:val="0"/>
          <w:numId w:val="8"/>
        </w:numPr>
        <w:tabs>
          <w:tab w:pos="710" w:val="left" w:leader="none"/>
        </w:tabs>
        <w:spacing w:line="252" w:lineRule="exact" w:before="0" w:after="0"/>
        <w:ind w:left="710" w:right="0" w:hanging="498"/>
        <w:jc w:val="both"/>
        <w:rPr>
          <w:sz w:val="22"/>
        </w:rPr>
      </w:pPr>
      <w:r>
        <w:rPr>
          <w:sz w:val="22"/>
        </w:rPr>
        <w:t>de</w:t>
      </w:r>
      <w:r>
        <w:rPr>
          <w:spacing w:val="19"/>
          <w:sz w:val="22"/>
        </w:rPr>
        <w:t> </w:t>
      </w:r>
      <w:r>
        <w:rPr>
          <w:sz w:val="22"/>
        </w:rPr>
        <w:t>Groen</w:t>
      </w:r>
      <w:r>
        <w:rPr>
          <w:spacing w:val="19"/>
          <w:sz w:val="22"/>
        </w:rPr>
        <w:t> </w:t>
      </w:r>
      <w:r>
        <w:rPr>
          <w:sz w:val="22"/>
        </w:rPr>
        <w:t>PC,</w:t>
      </w:r>
      <w:r>
        <w:rPr>
          <w:spacing w:val="19"/>
          <w:sz w:val="22"/>
        </w:rPr>
        <w:t> </w:t>
      </w:r>
      <w:r>
        <w:rPr>
          <w:sz w:val="22"/>
        </w:rPr>
        <w:t>Lubbe</w:t>
      </w:r>
      <w:r>
        <w:rPr>
          <w:spacing w:val="19"/>
          <w:sz w:val="22"/>
        </w:rPr>
        <w:t> </w:t>
      </w:r>
      <w:r>
        <w:rPr>
          <w:sz w:val="22"/>
        </w:rPr>
        <w:t>DF,</w:t>
      </w:r>
      <w:r>
        <w:rPr>
          <w:spacing w:val="19"/>
          <w:sz w:val="22"/>
        </w:rPr>
        <w:t> </w:t>
      </w:r>
      <w:r>
        <w:rPr>
          <w:sz w:val="22"/>
        </w:rPr>
        <w:t>Hirsch</w:t>
      </w:r>
      <w:r>
        <w:rPr>
          <w:spacing w:val="19"/>
          <w:sz w:val="22"/>
        </w:rPr>
        <w:t> </w:t>
      </w:r>
      <w:r>
        <w:rPr>
          <w:sz w:val="22"/>
        </w:rPr>
        <w:t>LJ,</w:t>
      </w:r>
      <w:r>
        <w:rPr>
          <w:spacing w:val="19"/>
          <w:sz w:val="22"/>
        </w:rPr>
        <w:t> </w:t>
      </w:r>
      <w:r>
        <w:rPr>
          <w:sz w:val="22"/>
        </w:rPr>
        <w:t>et</w:t>
      </w:r>
      <w:r>
        <w:rPr>
          <w:spacing w:val="19"/>
          <w:sz w:val="22"/>
        </w:rPr>
        <w:t> </w:t>
      </w:r>
      <w:r>
        <w:rPr>
          <w:sz w:val="22"/>
        </w:rPr>
        <w:t>al.</w:t>
      </w:r>
      <w:r>
        <w:rPr>
          <w:spacing w:val="19"/>
          <w:sz w:val="22"/>
        </w:rPr>
        <w:t> </w:t>
      </w:r>
      <w:r>
        <w:rPr>
          <w:sz w:val="22"/>
        </w:rPr>
        <w:t>Esophagitis</w:t>
      </w:r>
      <w:r>
        <w:rPr>
          <w:spacing w:val="20"/>
          <w:sz w:val="22"/>
        </w:rPr>
        <w:t> </w:t>
      </w:r>
      <w:r>
        <w:rPr>
          <w:sz w:val="22"/>
        </w:rPr>
        <w:t>associated</w:t>
      </w:r>
      <w:r>
        <w:rPr>
          <w:spacing w:val="20"/>
          <w:sz w:val="22"/>
        </w:rPr>
        <w:t> </w:t>
      </w:r>
      <w:r>
        <w:rPr>
          <w:sz w:val="22"/>
        </w:rPr>
        <w:t>with</w:t>
      </w:r>
      <w:r>
        <w:rPr>
          <w:spacing w:val="21"/>
          <w:sz w:val="22"/>
        </w:rPr>
        <w:t> </w:t>
      </w:r>
      <w:r>
        <w:rPr>
          <w:sz w:val="22"/>
        </w:rPr>
        <w:t>the</w:t>
      </w:r>
      <w:r>
        <w:rPr>
          <w:spacing w:val="20"/>
          <w:sz w:val="22"/>
        </w:rPr>
        <w:t> </w:t>
      </w:r>
      <w:r>
        <w:rPr>
          <w:sz w:val="22"/>
        </w:rPr>
        <w:t>use</w:t>
      </w:r>
      <w:r>
        <w:rPr>
          <w:spacing w:val="20"/>
          <w:sz w:val="22"/>
        </w:rPr>
        <w:t> </w:t>
      </w:r>
      <w:r>
        <w:rPr>
          <w:sz w:val="22"/>
        </w:rPr>
        <w:t>of</w:t>
      </w:r>
      <w:r>
        <w:rPr>
          <w:spacing w:val="20"/>
          <w:sz w:val="22"/>
        </w:rPr>
        <w:t> </w:t>
      </w:r>
      <w:r>
        <w:rPr>
          <w:spacing w:val="-2"/>
          <w:sz w:val="22"/>
        </w:rPr>
        <w:t>alendronate.</w:t>
      </w:r>
    </w:p>
    <w:p>
      <w:pPr>
        <w:spacing w:before="14"/>
        <w:ind w:left="718" w:right="0" w:firstLine="0"/>
        <w:jc w:val="both"/>
        <w:rPr>
          <w:sz w:val="22"/>
        </w:rPr>
      </w:pPr>
      <w:r>
        <w:rPr>
          <w:i/>
          <w:sz w:val="22"/>
        </w:rPr>
        <w:t>N</w:t>
      </w:r>
      <w:r>
        <w:rPr>
          <w:i/>
          <w:spacing w:val="6"/>
          <w:sz w:val="22"/>
        </w:rPr>
        <w:t> </w:t>
      </w:r>
      <w:r>
        <w:rPr>
          <w:i/>
          <w:sz w:val="22"/>
        </w:rPr>
        <w:t>Engl</w:t>
      </w:r>
      <w:r>
        <w:rPr>
          <w:i/>
          <w:spacing w:val="6"/>
          <w:sz w:val="22"/>
        </w:rPr>
        <w:t> </w:t>
      </w:r>
      <w:r>
        <w:rPr>
          <w:i/>
          <w:sz w:val="22"/>
        </w:rPr>
        <w:t>J</w:t>
      </w:r>
      <w:r>
        <w:rPr>
          <w:i/>
          <w:spacing w:val="6"/>
          <w:sz w:val="22"/>
        </w:rPr>
        <w:t> </w:t>
      </w:r>
      <w:r>
        <w:rPr>
          <w:i/>
          <w:sz w:val="22"/>
        </w:rPr>
        <w:t>Med</w:t>
      </w:r>
      <w:r>
        <w:rPr>
          <w:sz w:val="22"/>
        </w:rPr>
        <w:t>.</w:t>
      </w:r>
      <w:r>
        <w:rPr>
          <w:spacing w:val="7"/>
          <w:sz w:val="22"/>
        </w:rPr>
        <w:t> </w:t>
      </w:r>
      <w:r>
        <w:rPr>
          <w:spacing w:val="-2"/>
          <w:sz w:val="22"/>
        </w:rPr>
        <w:t>1996;335:1016.</w:t>
      </w:r>
    </w:p>
    <w:p>
      <w:pPr>
        <w:pStyle w:val="ListParagraph"/>
        <w:numPr>
          <w:ilvl w:val="0"/>
          <w:numId w:val="8"/>
        </w:numPr>
        <w:tabs>
          <w:tab w:pos="709" w:val="left" w:leader="none"/>
          <w:tab w:pos="718" w:val="left" w:leader="none"/>
        </w:tabs>
        <w:spacing w:line="256" w:lineRule="auto" w:before="17" w:after="0"/>
        <w:ind w:left="718" w:right="109" w:hanging="507"/>
        <w:jc w:val="both"/>
        <w:rPr>
          <w:sz w:val="22"/>
        </w:rPr>
      </w:pPr>
      <w:r>
        <w:rPr>
          <w:sz w:val="22"/>
        </w:rPr>
        <w:t>Bauer DC, Black D, Ensrud K, et al. Upper gastrointestinal tract safety profile of alendronate: the Fracture Intervention Trial. </w:t>
      </w:r>
      <w:r>
        <w:rPr>
          <w:i/>
          <w:sz w:val="22"/>
        </w:rPr>
        <w:t>Arch Intern Med</w:t>
      </w:r>
      <w:r>
        <w:rPr>
          <w:sz w:val="22"/>
        </w:rPr>
        <w:t>. 2000;28:517.</w:t>
      </w:r>
    </w:p>
    <w:p>
      <w:pPr>
        <w:pStyle w:val="ListParagraph"/>
        <w:numPr>
          <w:ilvl w:val="0"/>
          <w:numId w:val="8"/>
        </w:numPr>
        <w:tabs>
          <w:tab w:pos="709" w:val="left" w:leader="none"/>
          <w:tab w:pos="718" w:val="left" w:leader="none"/>
        </w:tabs>
        <w:spacing w:line="256" w:lineRule="auto" w:before="0" w:after="0"/>
        <w:ind w:left="718" w:right="98" w:hanging="507"/>
        <w:jc w:val="both"/>
        <w:rPr>
          <w:sz w:val="22"/>
        </w:rPr>
      </w:pPr>
      <w:r>
        <w:rPr>
          <w:sz w:val="22"/>
        </w:rPr>
        <w:t>Lowe CE, Depew WT, Vanner SJ, Paterson WG, Meddings JB. Upper gastrointestinal toxicity</w:t>
      </w:r>
      <w:r>
        <w:rPr>
          <w:spacing w:val="40"/>
          <w:sz w:val="22"/>
        </w:rPr>
        <w:t> </w:t>
      </w:r>
      <w:r>
        <w:rPr>
          <w:sz w:val="22"/>
        </w:rPr>
        <w:t>of alendronate. </w:t>
      </w:r>
      <w:r>
        <w:rPr>
          <w:i/>
          <w:sz w:val="22"/>
        </w:rPr>
        <w:t>Am J Gastroenterol</w:t>
      </w:r>
      <w:r>
        <w:rPr>
          <w:sz w:val="22"/>
        </w:rPr>
        <w:t>. 2000;95:634.</w:t>
      </w:r>
    </w:p>
    <w:p>
      <w:pPr>
        <w:pStyle w:val="ListParagraph"/>
        <w:spacing w:after="0" w:line="256" w:lineRule="auto"/>
        <w:jc w:val="both"/>
        <w:rPr>
          <w:sz w:val="22"/>
        </w:rPr>
        <w:sectPr>
          <w:pgSz w:w="12240" w:h="15840"/>
          <w:pgMar w:top="1360" w:bottom="280" w:left="1440" w:right="1440"/>
        </w:sectPr>
      </w:pPr>
    </w:p>
    <w:p>
      <w:pPr>
        <w:pStyle w:val="ListParagraph"/>
        <w:numPr>
          <w:ilvl w:val="0"/>
          <w:numId w:val="8"/>
        </w:numPr>
        <w:tabs>
          <w:tab w:pos="709" w:val="left" w:leader="none"/>
          <w:tab w:pos="718" w:val="left" w:leader="none"/>
        </w:tabs>
        <w:spacing w:line="256" w:lineRule="auto" w:before="84" w:after="0"/>
        <w:ind w:left="718" w:right="109" w:hanging="507"/>
        <w:jc w:val="both"/>
        <w:rPr>
          <w:sz w:val="22"/>
        </w:rPr>
      </w:pPr>
      <w:r>
        <w:rPr>
          <w:sz w:val="22"/>
        </w:rPr>
        <w:t>Mortensen L, Charles P, Bekker PJ, Digennaro J, Johnston CC Jr. Risedronate increases bone mass</w:t>
      </w:r>
      <w:r>
        <w:rPr>
          <w:spacing w:val="24"/>
          <w:sz w:val="22"/>
        </w:rPr>
        <w:t> </w:t>
      </w:r>
      <w:r>
        <w:rPr>
          <w:sz w:val="22"/>
        </w:rPr>
        <w:t>in</w:t>
      </w:r>
      <w:r>
        <w:rPr>
          <w:spacing w:val="24"/>
          <w:sz w:val="22"/>
        </w:rPr>
        <w:t> </w:t>
      </w:r>
      <w:r>
        <w:rPr>
          <w:sz w:val="22"/>
        </w:rPr>
        <w:t>an</w:t>
      </w:r>
      <w:r>
        <w:rPr>
          <w:spacing w:val="24"/>
          <w:sz w:val="22"/>
        </w:rPr>
        <w:t> </w:t>
      </w:r>
      <w:r>
        <w:rPr>
          <w:sz w:val="22"/>
        </w:rPr>
        <w:t>early</w:t>
      </w:r>
      <w:r>
        <w:rPr>
          <w:spacing w:val="24"/>
          <w:sz w:val="22"/>
        </w:rPr>
        <w:t> </w:t>
      </w:r>
      <w:r>
        <w:rPr>
          <w:sz w:val="22"/>
        </w:rPr>
        <w:t>postmenopausal</w:t>
      </w:r>
      <w:r>
        <w:rPr>
          <w:spacing w:val="24"/>
          <w:sz w:val="22"/>
        </w:rPr>
        <w:t> </w:t>
      </w:r>
      <w:r>
        <w:rPr>
          <w:sz w:val="22"/>
        </w:rPr>
        <w:t>population:</w:t>
      </w:r>
      <w:r>
        <w:rPr>
          <w:spacing w:val="24"/>
          <w:sz w:val="22"/>
        </w:rPr>
        <w:t> </w:t>
      </w:r>
      <w:r>
        <w:rPr>
          <w:sz w:val="22"/>
        </w:rPr>
        <w:t>two</w:t>
      </w:r>
      <w:r>
        <w:rPr>
          <w:spacing w:val="24"/>
          <w:sz w:val="22"/>
        </w:rPr>
        <w:t> </w:t>
      </w:r>
      <w:r>
        <w:rPr>
          <w:sz w:val="22"/>
        </w:rPr>
        <w:t>years</w:t>
      </w:r>
      <w:r>
        <w:rPr>
          <w:spacing w:val="24"/>
          <w:sz w:val="22"/>
        </w:rPr>
        <w:t> </w:t>
      </w:r>
      <w:r>
        <w:rPr>
          <w:sz w:val="22"/>
        </w:rPr>
        <w:t>of</w:t>
      </w:r>
      <w:r>
        <w:rPr>
          <w:spacing w:val="24"/>
          <w:sz w:val="22"/>
        </w:rPr>
        <w:t> </w:t>
      </w:r>
      <w:r>
        <w:rPr>
          <w:sz w:val="22"/>
        </w:rPr>
        <w:t>treatment</w:t>
      </w:r>
      <w:r>
        <w:rPr>
          <w:spacing w:val="24"/>
          <w:sz w:val="22"/>
        </w:rPr>
        <w:t> </w:t>
      </w:r>
      <w:r>
        <w:rPr>
          <w:sz w:val="22"/>
        </w:rPr>
        <w:t>plus</w:t>
      </w:r>
      <w:r>
        <w:rPr>
          <w:spacing w:val="24"/>
          <w:sz w:val="22"/>
        </w:rPr>
        <w:t> </w:t>
      </w:r>
      <w:r>
        <w:rPr>
          <w:sz w:val="22"/>
        </w:rPr>
        <w:t>one</w:t>
      </w:r>
      <w:r>
        <w:rPr>
          <w:spacing w:val="24"/>
          <w:sz w:val="22"/>
        </w:rPr>
        <w:t> </w:t>
      </w:r>
      <w:r>
        <w:rPr>
          <w:sz w:val="22"/>
        </w:rPr>
        <w:t>year</w:t>
      </w:r>
      <w:r>
        <w:rPr>
          <w:spacing w:val="24"/>
          <w:sz w:val="22"/>
        </w:rPr>
        <w:t> </w:t>
      </w:r>
      <w:r>
        <w:rPr>
          <w:sz w:val="22"/>
        </w:rPr>
        <w:t>of</w:t>
      </w:r>
      <w:r>
        <w:rPr>
          <w:spacing w:val="24"/>
          <w:sz w:val="22"/>
        </w:rPr>
        <w:t> </w:t>
      </w:r>
      <w:r>
        <w:rPr>
          <w:sz w:val="22"/>
        </w:rPr>
        <w:t>follow-up. </w:t>
      </w:r>
      <w:r>
        <w:rPr>
          <w:i/>
          <w:sz w:val="22"/>
        </w:rPr>
        <w:t>J Clin Endocrinol Metab</w:t>
      </w:r>
      <w:r>
        <w:rPr>
          <w:sz w:val="22"/>
        </w:rPr>
        <w:t>. 1998;83:396.</w:t>
      </w:r>
    </w:p>
    <w:p>
      <w:pPr>
        <w:pStyle w:val="ListParagraph"/>
        <w:numPr>
          <w:ilvl w:val="0"/>
          <w:numId w:val="8"/>
        </w:numPr>
        <w:tabs>
          <w:tab w:pos="709" w:val="left" w:leader="none"/>
          <w:tab w:pos="718" w:val="left" w:leader="none"/>
        </w:tabs>
        <w:spacing w:line="256" w:lineRule="auto" w:before="0" w:after="0"/>
        <w:ind w:left="718" w:right="101" w:hanging="507"/>
        <w:jc w:val="both"/>
        <w:rPr>
          <w:sz w:val="22"/>
        </w:rPr>
      </w:pPr>
      <w:r>
        <w:rPr>
          <w:sz w:val="22"/>
        </w:rPr>
        <w:t>Harris ST, Watts NB, Genant HK, et al; Vertebral Efficacy With Risedronate Therapy (VERT) Study</w:t>
      </w:r>
      <w:r>
        <w:rPr>
          <w:spacing w:val="40"/>
          <w:sz w:val="22"/>
        </w:rPr>
        <w:t> </w:t>
      </w:r>
      <w:r>
        <w:rPr>
          <w:sz w:val="22"/>
        </w:rPr>
        <w:t>Group.</w:t>
      </w:r>
      <w:r>
        <w:rPr>
          <w:spacing w:val="40"/>
          <w:sz w:val="22"/>
        </w:rPr>
        <w:t> </w:t>
      </w:r>
      <w:r>
        <w:rPr>
          <w:sz w:val="22"/>
        </w:rPr>
        <w:t>Effects</w:t>
      </w:r>
      <w:r>
        <w:rPr>
          <w:spacing w:val="40"/>
          <w:sz w:val="22"/>
        </w:rPr>
        <w:t> </w:t>
      </w:r>
      <w:r>
        <w:rPr>
          <w:sz w:val="22"/>
        </w:rPr>
        <w:t>of</w:t>
      </w:r>
      <w:r>
        <w:rPr>
          <w:spacing w:val="40"/>
          <w:sz w:val="22"/>
        </w:rPr>
        <w:t> </w:t>
      </w:r>
      <w:r>
        <w:rPr>
          <w:sz w:val="22"/>
        </w:rPr>
        <w:t>risedronate</w:t>
      </w:r>
      <w:r>
        <w:rPr>
          <w:spacing w:val="40"/>
          <w:sz w:val="22"/>
        </w:rPr>
        <w:t> </w:t>
      </w:r>
      <w:r>
        <w:rPr>
          <w:sz w:val="22"/>
        </w:rPr>
        <w:t>treatment</w:t>
      </w:r>
      <w:r>
        <w:rPr>
          <w:spacing w:val="40"/>
          <w:sz w:val="22"/>
        </w:rPr>
        <w:t> </w:t>
      </w:r>
      <w:r>
        <w:rPr>
          <w:sz w:val="22"/>
        </w:rPr>
        <w:t>on</w:t>
      </w:r>
      <w:r>
        <w:rPr>
          <w:spacing w:val="40"/>
          <w:sz w:val="22"/>
        </w:rPr>
        <w:t> </w:t>
      </w:r>
      <w:r>
        <w:rPr>
          <w:sz w:val="22"/>
        </w:rPr>
        <w:t>vertebral</w:t>
      </w:r>
      <w:r>
        <w:rPr>
          <w:spacing w:val="40"/>
          <w:sz w:val="22"/>
        </w:rPr>
        <w:t> </w:t>
      </w:r>
      <w:r>
        <w:rPr>
          <w:sz w:val="22"/>
        </w:rPr>
        <w:t>and</w:t>
      </w:r>
      <w:r>
        <w:rPr>
          <w:spacing w:val="40"/>
          <w:sz w:val="22"/>
        </w:rPr>
        <w:t> </w:t>
      </w:r>
      <w:r>
        <w:rPr>
          <w:sz w:val="22"/>
        </w:rPr>
        <w:t>nonvertebral</w:t>
      </w:r>
      <w:r>
        <w:rPr>
          <w:spacing w:val="40"/>
          <w:sz w:val="22"/>
        </w:rPr>
        <w:t> </w:t>
      </w:r>
      <w:r>
        <w:rPr>
          <w:sz w:val="22"/>
        </w:rPr>
        <w:t>fractures</w:t>
      </w:r>
      <w:r>
        <w:rPr>
          <w:spacing w:val="40"/>
          <w:sz w:val="22"/>
        </w:rPr>
        <w:t> </w:t>
      </w:r>
      <w:r>
        <w:rPr>
          <w:sz w:val="22"/>
        </w:rPr>
        <w:t>in women with postmenopausal osteoporosis: a randomized controlled trial. </w:t>
      </w:r>
      <w:r>
        <w:rPr>
          <w:i/>
          <w:sz w:val="22"/>
        </w:rPr>
        <w:t>JAMA</w:t>
      </w:r>
      <w:r>
        <w:rPr>
          <w:sz w:val="22"/>
        </w:rPr>
        <w:t>.</w:t>
      </w:r>
      <w:r>
        <w:rPr>
          <w:spacing w:val="80"/>
          <w:sz w:val="22"/>
        </w:rPr>
        <w:t> </w:t>
      </w:r>
      <w:r>
        <w:rPr>
          <w:spacing w:val="-2"/>
          <w:sz w:val="22"/>
        </w:rPr>
        <w:t>1999;282:1344.</w:t>
      </w:r>
    </w:p>
    <w:p>
      <w:pPr>
        <w:pStyle w:val="ListParagraph"/>
        <w:numPr>
          <w:ilvl w:val="0"/>
          <w:numId w:val="8"/>
        </w:numPr>
        <w:tabs>
          <w:tab w:pos="709" w:val="left" w:leader="none"/>
          <w:tab w:pos="718" w:val="left" w:leader="none"/>
        </w:tabs>
        <w:spacing w:line="256" w:lineRule="auto" w:before="0" w:after="0"/>
        <w:ind w:left="718" w:right="109" w:hanging="507"/>
        <w:jc w:val="both"/>
        <w:rPr>
          <w:sz w:val="22"/>
        </w:rPr>
      </w:pPr>
      <w:r>
        <w:rPr>
          <w:sz w:val="22"/>
        </w:rPr>
        <w:t>McClung MR, Geusens P, Miller PD, et al; Hip Intervention Program Study Group. Effect of risedronate on the risk of hip fracture in elderly women. </w:t>
      </w:r>
      <w:r>
        <w:rPr>
          <w:i/>
          <w:sz w:val="22"/>
        </w:rPr>
        <w:t>N Engl J Med</w:t>
      </w:r>
      <w:r>
        <w:rPr>
          <w:sz w:val="22"/>
        </w:rPr>
        <w:t>. 2001;344:333.</w:t>
      </w:r>
    </w:p>
    <w:p>
      <w:pPr>
        <w:pStyle w:val="ListParagraph"/>
        <w:numPr>
          <w:ilvl w:val="0"/>
          <w:numId w:val="8"/>
        </w:numPr>
        <w:tabs>
          <w:tab w:pos="709" w:val="left" w:leader="none"/>
          <w:tab w:pos="718" w:val="left" w:leader="none"/>
        </w:tabs>
        <w:spacing w:line="256" w:lineRule="auto" w:before="0" w:after="0"/>
        <w:ind w:left="718" w:right="100" w:hanging="507"/>
        <w:jc w:val="both"/>
        <w:rPr>
          <w:sz w:val="22"/>
        </w:rPr>
      </w:pPr>
      <w:r>
        <w:rPr>
          <w:sz w:val="22"/>
        </w:rPr>
        <w:t>Foidart JM, Wuttke W, Bouw GM, Gerlinger C, Heithecker R. A comparative investigation of contraceptive reliability, cycle control and tolerance of two monophasic oral contraceptives containing either drospirenone or desogestrel. </w:t>
      </w:r>
      <w:r>
        <w:rPr>
          <w:i/>
          <w:sz w:val="22"/>
        </w:rPr>
        <w:t>Eur J Contracept Reprod Health </w:t>
      </w:r>
      <w:r>
        <w:rPr>
          <w:i/>
          <w:sz w:val="22"/>
        </w:rPr>
        <w:t>Care</w:t>
      </w:r>
      <w:r>
        <w:rPr>
          <w:sz w:val="22"/>
        </w:rPr>
        <w:t>. </w:t>
      </w:r>
      <w:r>
        <w:rPr>
          <w:spacing w:val="-2"/>
          <w:sz w:val="22"/>
        </w:rPr>
        <w:t>2000;5:124.</w:t>
      </w:r>
    </w:p>
    <w:p>
      <w:pPr>
        <w:pStyle w:val="ListParagraph"/>
        <w:numPr>
          <w:ilvl w:val="0"/>
          <w:numId w:val="8"/>
        </w:numPr>
        <w:tabs>
          <w:tab w:pos="709" w:val="left" w:leader="none"/>
          <w:tab w:pos="718" w:val="left" w:leader="none"/>
        </w:tabs>
        <w:spacing w:line="256" w:lineRule="auto" w:before="0" w:after="0"/>
        <w:ind w:left="718" w:right="104" w:hanging="507"/>
        <w:jc w:val="both"/>
        <w:rPr>
          <w:sz w:val="22"/>
        </w:rPr>
      </w:pPr>
      <w:r>
        <w:rPr>
          <w:sz w:val="22"/>
        </w:rPr>
        <w:t>Fogelman I, Ribot C, Smith R, Ethgen D, Sod E, Reginster J; BMD-MN Study Group. Risedronate reverses bone loss in postmenopausal women with low bone mass: results from </w:t>
      </w:r>
      <w:r>
        <w:rPr>
          <w:sz w:val="22"/>
        </w:rPr>
        <w:t>a multinational, double-blind, placebo-controlled trial. </w:t>
      </w:r>
      <w:r>
        <w:rPr>
          <w:i/>
          <w:sz w:val="22"/>
        </w:rPr>
        <w:t>J Clin Endocrinol Metab</w:t>
      </w:r>
      <w:r>
        <w:rPr>
          <w:sz w:val="22"/>
        </w:rPr>
        <w:t>. 2000;85:1895.</w:t>
      </w:r>
    </w:p>
    <w:p>
      <w:pPr>
        <w:pStyle w:val="ListParagraph"/>
        <w:numPr>
          <w:ilvl w:val="0"/>
          <w:numId w:val="8"/>
        </w:numPr>
        <w:tabs>
          <w:tab w:pos="709" w:val="left" w:leader="none"/>
          <w:tab w:pos="718" w:val="left" w:leader="none"/>
        </w:tabs>
        <w:spacing w:line="256" w:lineRule="auto" w:before="0" w:after="0"/>
        <w:ind w:left="718" w:right="100" w:hanging="507"/>
        <w:jc w:val="both"/>
        <w:rPr>
          <w:sz w:val="22"/>
        </w:rPr>
      </w:pPr>
      <w:r>
        <w:rPr>
          <w:sz w:val="22"/>
        </w:rPr>
        <w:t>Grey A, Bolland MJ, Wattie D, Horne A, Gamble G, Reid IR. The antiresorptive effects of a single dose of zoledronate persist for two years: a randomized, placebo-controlled trial in osteopenic postmenopausal women. </w:t>
      </w:r>
      <w:r>
        <w:rPr>
          <w:i/>
          <w:sz w:val="22"/>
        </w:rPr>
        <w:t>J Clin Endocrinol Metab</w:t>
      </w:r>
      <w:r>
        <w:rPr>
          <w:sz w:val="22"/>
        </w:rPr>
        <w:t>. 2009;94:538.</w:t>
      </w:r>
    </w:p>
    <w:p>
      <w:pPr>
        <w:pStyle w:val="ListParagraph"/>
        <w:numPr>
          <w:ilvl w:val="0"/>
          <w:numId w:val="8"/>
        </w:numPr>
        <w:tabs>
          <w:tab w:pos="709" w:val="left" w:leader="none"/>
          <w:tab w:pos="718" w:val="left" w:leader="none"/>
        </w:tabs>
        <w:spacing w:line="256" w:lineRule="auto" w:before="0" w:after="0"/>
        <w:ind w:left="718" w:right="99" w:hanging="507"/>
        <w:jc w:val="both"/>
        <w:rPr>
          <w:sz w:val="22"/>
        </w:rPr>
      </w:pPr>
      <w:r>
        <w:rPr>
          <w:sz w:val="22"/>
        </w:rPr>
        <w:t>McClung MR, Miller P, Recknor C, Mesenbrink P, Bucci-Rechtweg C, Benhamou C-L. Zoledronic</w:t>
      </w:r>
      <w:r>
        <w:rPr>
          <w:spacing w:val="40"/>
          <w:sz w:val="22"/>
        </w:rPr>
        <w:t> </w:t>
      </w:r>
      <w:r>
        <w:rPr>
          <w:sz w:val="22"/>
        </w:rPr>
        <w:t>acid</w:t>
      </w:r>
      <w:r>
        <w:rPr>
          <w:spacing w:val="40"/>
          <w:sz w:val="22"/>
        </w:rPr>
        <w:t> </w:t>
      </w:r>
      <w:r>
        <w:rPr>
          <w:sz w:val="22"/>
        </w:rPr>
        <w:t>for</w:t>
      </w:r>
      <w:r>
        <w:rPr>
          <w:spacing w:val="40"/>
          <w:sz w:val="22"/>
        </w:rPr>
        <w:t> </w:t>
      </w:r>
      <w:r>
        <w:rPr>
          <w:sz w:val="22"/>
        </w:rPr>
        <w:t>the</w:t>
      </w:r>
      <w:r>
        <w:rPr>
          <w:spacing w:val="40"/>
          <w:sz w:val="22"/>
        </w:rPr>
        <w:t> </w:t>
      </w:r>
      <w:r>
        <w:rPr>
          <w:sz w:val="22"/>
        </w:rPr>
        <w:t>prevention</w:t>
      </w:r>
      <w:r>
        <w:rPr>
          <w:spacing w:val="40"/>
          <w:sz w:val="22"/>
        </w:rPr>
        <w:t> </w:t>
      </w:r>
      <w:r>
        <w:rPr>
          <w:sz w:val="22"/>
        </w:rPr>
        <w:t>of</w:t>
      </w:r>
      <w:r>
        <w:rPr>
          <w:spacing w:val="40"/>
          <w:sz w:val="22"/>
        </w:rPr>
        <w:t> </w:t>
      </w:r>
      <w:r>
        <w:rPr>
          <w:sz w:val="22"/>
        </w:rPr>
        <w:t>bone</w:t>
      </w:r>
      <w:r>
        <w:rPr>
          <w:spacing w:val="40"/>
          <w:sz w:val="22"/>
        </w:rPr>
        <w:t> </w:t>
      </w:r>
      <w:r>
        <w:rPr>
          <w:sz w:val="22"/>
        </w:rPr>
        <w:t>loss</w:t>
      </w:r>
      <w:r>
        <w:rPr>
          <w:spacing w:val="40"/>
          <w:sz w:val="22"/>
        </w:rPr>
        <w:t> </w:t>
      </w:r>
      <w:r>
        <w:rPr>
          <w:sz w:val="22"/>
        </w:rPr>
        <w:t>in</w:t>
      </w:r>
      <w:r>
        <w:rPr>
          <w:spacing w:val="40"/>
          <w:sz w:val="22"/>
        </w:rPr>
        <w:t> </w:t>
      </w:r>
      <w:r>
        <w:rPr>
          <w:sz w:val="22"/>
        </w:rPr>
        <w:t>postmenopausal</w:t>
      </w:r>
      <w:r>
        <w:rPr>
          <w:spacing w:val="40"/>
          <w:sz w:val="22"/>
        </w:rPr>
        <w:t> </w:t>
      </w:r>
      <w:r>
        <w:rPr>
          <w:sz w:val="22"/>
        </w:rPr>
        <w:t>women</w:t>
      </w:r>
      <w:r>
        <w:rPr>
          <w:spacing w:val="40"/>
          <w:sz w:val="22"/>
        </w:rPr>
        <w:t> </w:t>
      </w:r>
      <w:r>
        <w:rPr>
          <w:sz w:val="22"/>
        </w:rPr>
        <w:t>with</w:t>
      </w:r>
      <w:r>
        <w:rPr>
          <w:spacing w:val="40"/>
          <w:sz w:val="22"/>
        </w:rPr>
        <w:t> </w:t>
      </w:r>
      <w:r>
        <w:rPr>
          <w:sz w:val="22"/>
        </w:rPr>
        <w:t>low</w:t>
      </w:r>
      <w:r>
        <w:rPr>
          <w:spacing w:val="40"/>
          <w:sz w:val="22"/>
        </w:rPr>
        <w:t> </w:t>
      </w:r>
      <w:r>
        <w:rPr>
          <w:sz w:val="22"/>
        </w:rPr>
        <w:t>bone mass: a randomized controlled trial. </w:t>
      </w:r>
      <w:r>
        <w:rPr>
          <w:i/>
          <w:sz w:val="22"/>
        </w:rPr>
        <w:t>Obstet Gynecol</w:t>
      </w:r>
      <w:r>
        <w:rPr>
          <w:sz w:val="22"/>
        </w:rPr>
        <w:t>. 2009;114:999.</w:t>
      </w:r>
    </w:p>
    <w:p>
      <w:pPr>
        <w:pStyle w:val="ListParagraph"/>
        <w:numPr>
          <w:ilvl w:val="0"/>
          <w:numId w:val="8"/>
        </w:numPr>
        <w:tabs>
          <w:tab w:pos="709" w:val="left" w:leader="none"/>
          <w:tab w:pos="718" w:val="left" w:leader="none"/>
        </w:tabs>
        <w:spacing w:line="256" w:lineRule="auto" w:before="0" w:after="0"/>
        <w:ind w:left="718" w:right="103" w:hanging="507"/>
        <w:jc w:val="both"/>
        <w:rPr>
          <w:sz w:val="22"/>
        </w:rPr>
      </w:pPr>
      <w:r>
        <w:rPr>
          <w:sz w:val="22"/>
        </w:rPr>
        <w:t>Schnitzer T, Bone HG, Crepaldi G, et al; Alendronate Once-Weekly Study Group. Therapeutic equivalence</w:t>
      </w:r>
      <w:r>
        <w:rPr>
          <w:spacing w:val="26"/>
          <w:sz w:val="22"/>
        </w:rPr>
        <w:t> </w:t>
      </w:r>
      <w:r>
        <w:rPr>
          <w:sz w:val="22"/>
        </w:rPr>
        <w:t>of</w:t>
      </w:r>
      <w:r>
        <w:rPr>
          <w:spacing w:val="26"/>
          <w:sz w:val="22"/>
        </w:rPr>
        <w:t> </w:t>
      </w:r>
      <w:r>
        <w:rPr>
          <w:sz w:val="22"/>
        </w:rPr>
        <w:t>alendronate</w:t>
      </w:r>
      <w:r>
        <w:rPr>
          <w:spacing w:val="26"/>
          <w:sz w:val="22"/>
        </w:rPr>
        <w:t> </w:t>
      </w:r>
      <w:r>
        <w:rPr>
          <w:sz w:val="22"/>
        </w:rPr>
        <w:t>70</w:t>
      </w:r>
      <w:r>
        <w:rPr>
          <w:spacing w:val="26"/>
          <w:sz w:val="22"/>
        </w:rPr>
        <w:t> </w:t>
      </w:r>
      <w:r>
        <w:rPr>
          <w:sz w:val="22"/>
        </w:rPr>
        <w:t>mg</w:t>
      </w:r>
      <w:r>
        <w:rPr>
          <w:spacing w:val="26"/>
          <w:sz w:val="22"/>
        </w:rPr>
        <w:t> </w:t>
      </w:r>
      <w:r>
        <w:rPr>
          <w:sz w:val="22"/>
        </w:rPr>
        <w:t>once-weekly</w:t>
      </w:r>
      <w:r>
        <w:rPr>
          <w:spacing w:val="26"/>
          <w:sz w:val="22"/>
        </w:rPr>
        <w:t> </w:t>
      </w:r>
      <w:r>
        <w:rPr>
          <w:sz w:val="22"/>
        </w:rPr>
        <w:t>and</w:t>
      </w:r>
      <w:r>
        <w:rPr>
          <w:spacing w:val="26"/>
          <w:sz w:val="22"/>
        </w:rPr>
        <w:t> </w:t>
      </w:r>
      <w:r>
        <w:rPr>
          <w:sz w:val="22"/>
        </w:rPr>
        <w:t>alendronate</w:t>
      </w:r>
      <w:r>
        <w:rPr>
          <w:spacing w:val="26"/>
          <w:sz w:val="22"/>
        </w:rPr>
        <w:t> </w:t>
      </w:r>
      <w:r>
        <w:rPr>
          <w:sz w:val="22"/>
        </w:rPr>
        <w:t>10</w:t>
      </w:r>
      <w:r>
        <w:rPr>
          <w:spacing w:val="26"/>
          <w:sz w:val="22"/>
        </w:rPr>
        <w:t> </w:t>
      </w:r>
      <w:r>
        <w:rPr>
          <w:sz w:val="22"/>
        </w:rPr>
        <w:t>mg</w:t>
      </w:r>
      <w:r>
        <w:rPr>
          <w:spacing w:val="26"/>
          <w:sz w:val="22"/>
        </w:rPr>
        <w:t> </w:t>
      </w:r>
      <w:r>
        <w:rPr>
          <w:sz w:val="22"/>
        </w:rPr>
        <w:t>daily</w:t>
      </w:r>
      <w:r>
        <w:rPr>
          <w:spacing w:val="26"/>
          <w:sz w:val="22"/>
        </w:rPr>
        <w:t> </w:t>
      </w:r>
      <w:r>
        <w:rPr>
          <w:sz w:val="22"/>
        </w:rPr>
        <w:t>in</w:t>
      </w:r>
      <w:r>
        <w:rPr>
          <w:spacing w:val="26"/>
          <w:sz w:val="22"/>
        </w:rPr>
        <w:t> </w:t>
      </w:r>
      <w:r>
        <w:rPr>
          <w:sz w:val="22"/>
        </w:rPr>
        <w:t>the</w:t>
      </w:r>
      <w:r>
        <w:rPr>
          <w:spacing w:val="26"/>
          <w:sz w:val="22"/>
        </w:rPr>
        <w:t> </w:t>
      </w:r>
      <w:r>
        <w:rPr>
          <w:sz w:val="22"/>
        </w:rPr>
        <w:t>treatment of osteoporosis. </w:t>
      </w:r>
      <w:r>
        <w:rPr>
          <w:i/>
          <w:sz w:val="22"/>
        </w:rPr>
        <w:t>Aging</w:t>
      </w:r>
      <w:r>
        <w:rPr>
          <w:sz w:val="22"/>
        </w:rPr>
        <w:t>. 2000;12:1.</w:t>
      </w:r>
    </w:p>
    <w:p>
      <w:pPr>
        <w:pStyle w:val="ListParagraph"/>
        <w:numPr>
          <w:ilvl w:val="0"/>
          <w:numId w:val="8"/>
        </w:numPr>
        <w:tabs>
          <w:tab w:pos="709" w:val="left" w:leader="none"/>
          <w:tab w:pos="718" w:val="left" w:leader="none"/>
        </w:tabs>
        <w:spacing w:line="256" w:lineRule="auto" w:before="0" w:after="0"/>
        <w:ind w:left="718" w:right="104" w:hanging="507"/>
        <w:jc w:val="both"/>
        <w:rPr>
          <w:sz w:val="22"/>
        </w:rPr>
      </w:pPr>
      <w:r>
        <w:rPr>
          <w:sz w:val="22"/>
        </w:rPr>
        <w:t>Brown JP, Kendler DL, McClung MR, et al. The efficacy and tolerability of risedronate once </w:t>
      </w:r>
      <w:r>
        <w:rPr>
          <w:sz w:val="22"/>
        </w:rPr>
        <w:t>a week for the treatment of postmenopausal osteoporosis. </w:t>
      </w:r>
      <w:r>
        <w:rPr>
          <w:i/>
          <w:sz w:val="22"/>
        </w:rPr>
        <w:t>Calcif Tissue Int</w:t>
      </w:r>
      <w:r>
        <w:rPr>
          <w:sz w:val="22"/>
        </w:rPr>
        <w:t>. 2002;71:103.</w:t>
      </w:r>
    </w:p>
    <w:p>
      <w:pPr>
        <w:pStyle w:val="ListParagraph"/>
        <w:numPr>
          <w:ilvl w:val="0"/>
          <w:numId w:val="8"/>
        </w:numPr>
        <w:tabs>
          <w:tab w:pos="709" w:val="left" w:leader="none"/>
          <w:tab w:pos="718" w:val="left" w:leader="none"/>
        </w:tabs>
        <w:spacing w:line="256" w:lineRule="auto" w:before="0" w:after="0"/>
        <w:ind w:left="718" w:right="99" w:hanging="507"/>
        <w:jc w:val="both"/>
        <w:rPr>
          <w:sz w:val="22"/>
        </w:rPr>
      </w:pPr>
      <w:r>
        <w:rPr>
          <w:sz w:val="22"/>
        </w:rPr>
        <w:t>Luckey MM, Gilchrist N, Bone HG, et al. Therapeutic</w:t>
      </w:r>
      <w:r>
        <w:rPr>
          <w:spacing w:val="40"/>
          <w:sz w:val="22"/>
        </w:rPr>
        <w:t> </w:t>
      </w:r>
      <w:r>
        <w:rPr>
          <w:sz w:val="22"/>
        </w:rPr>
        <w:t>equivalence</w:t>
      </w:r>
      <w:r>
        <w:rPr>
          <w:spacing w:val="40"/>
          <w:sz w:val="22"/>
        </w:rPr>
        <w:t> </w:t>
      </w:r>
      <w:r>
        <w:rPr>
          <w:sz w:val="22"/>
        </w:rPr>
        <w:t>of</w:t>
      </w:r>
      <w:r>
        <w:rPr>
          <w:spacing w:val="40"/>
          <w:sz w:val="22"/>
        </w:rPr>
        <w:t> </w:t>
      </w:r>
      <w:r>
        <w:rPr>
          <w:sz w:val="22"/>
        </w:rPr>
        <w:t>alendronate</w:t>
      </w:r>
      <w:r>
        <w:rPr>
          <w:spacing w:val="40"/>
          <w:sz w:val="22"/>
        </w:rPr>
        <w:t> </w:t>
      </w:r>
      <w:r>
        <w:rPr>
          <w:sz w:val="22"/>
        </w:rPr>
        <w:t>35 milligrams once weekly and 5 milligrams daily in the prevention of </w:t>
      </w:r>
      <w:r>
        <w:rPr>
          <w:sz w:val="22"/>
        </w:rPr>
        <w:t>postmenopausal osteoporosis. </w:t>
      </w:r>
      <w:r>
        <w:rPr>
          <w:i/>
          <w:sz w:val="22"/>
        </w:rPr>
        <w:t>Obstet Gynecol</w:t>
      </w:r>
      <w:r>
        <w:rPr>
          <w:sz w:val="22"/>
        </w:rPr>
        <w:t>. 2003;101:711.</w:t>
      </w:r>
    </w:p>
    <w:p>
      <w:pPr>
        <w:pStyle w:val="ListParagraph"/>
        <w:numPr>
          <w:ilvl w:val="0"/>
          <w:numId w:val="8"/>
        </w:numPr>
        <w:tabs>
          <w:tab w:pos="709" w:val="left" w:leader="none"/>
          <w:tab w:pos="718" w:val="left" w:leader="none"/>
        </w:tabs>
        <w:spacing w:line="256" w:lineRule="auto" w:before="0" w:after="0"/>
        <w:ind w:left="718" w:right="105" w:hanging="507"/>
        <w:jc w:val="both"/>
        <w:rPr>
          <w:sz w:val="22"/>
        </w:rPr>
      </w:pPr>
      <w:r>
        <w:rPr>
          <w:sz w:val="22"/>
        </w:rPr>
        <w:t>Blumel JE, Castelo-Branco C, de la Cuadra G, Maciver L, Moreno M, Haya J. Alendronate daily, weekly in conventional tablets and weekly in enteric tablets: preliminary study on </w:t>
      </w:r>
      <w:r>
        <w:rPr>
          <w:sz w:val="22"/>
        </w:rPr>
        <w:t>the effects</w:t>
      </w:r>
      <w:r>
        <w:rPr>
          <w:spacing w:val="40"/>
          <w:sz w:val="22"/>
        </w:rPr>
        <w:t> </w:t>
      </w:r>
      <w:r>
        <w:rPr>
          <w:sz w:val="22"/>
        </w:rPr>
        <w:t>in</w:t>
      </w:r>
      <w:r>
        <w:rPr>
          <w:spacing w:val="40"/>
          <w:sz w:val="22"/>
        </w:rPr>
        <w:t> </w:t>
      </w:r>
      <w:r>
        <w:rPr>
          <w:sz w:val="22"/>
        </w:rPr>
        <w:t>bone</w:t>
      </w:r>
      <w:r>
        <w:rPr>
          <w:spacing w:val="40"/>
          <w:sz w:val="22"/>
        </w:rPr>
        <w:t> </w:t>
      </w:r>
      <w:r>
        <w:rPr>
          <w:sz w:val="22"/>
        </w:rPr>
        <w:t>turnover</w:t>
      </w:r>
      <w:r>
        <w:rPr>
          <w:spacing w:val="40"/>
          <w:sz w:val="22"/>
        </w:rPr>
        <w:t> </w:t>
      </w:r>
      <w:r>
        <w:rPr>
          <w:sz w:val="22"/>
        </w:rPr>
        <w:t>markers</w:t>
      </w:r>
      <w:r>
        <w:rPr>
          <w:spacing w:val="40"/>
          <w:sz w:val="22"/>
        </w:rPr>
        <w:t> </w:t>
      </w:r>
      <w:r>
        <w:rPr>
          <w:sz w:val="22"/>
        </w:rPr>
        <w:t>and</w:t>
      </w:r>
      <w:r>
        <w:rPr>
          <w:spacing w:val="40"/>
          <w:sz w:val="22"/>
        </w:rPr>
        <w:t> </w:t>
      </w:r>
      <w:r>
        <w:rPr>
          <w:sz w:val="22"/>
        </w:rPr>
        <w:t>incidence</w:t>
      </w:r>
      <w:r>
        <w:rPr>
          <w:spacing w:val="40"/>
          <w:sz w:val="22"/>
        </w:rPr>
        <w:t> </w:t>
      </w:r>
      <w:r>
        <w:rPr>
          <w:sz w:val="22"/>
        </w:rPr>
        <w:t>of</w:t>
      </w:r>
      <w:r>
        <w:rPr>
          <w:spacing w:val="40"/>
          <w:sz w:val="22"/>
        </w:rPr>
        <w:t> </w:t>
      </w:r>
      <w:r>
        <w:rPr>
          <w:sz w:val="22"/>
        </w:rPr>
        <w:t>side</w:t>
      </w:r>
      <w:r>
        <w:rPr>
          <w:spacing w:val="40"/>
          <w:sz w:val="22"/>
        </w:rPr>
        <w:t> </w:t>
      </w:r>
      <w:r>
        <w:rPr>
          <w:sz w:val="22"/>
        </w:rPr>
        <w:t>effects.</w:t>
      </w:r>
      <w:r>
        <w:rPr>
          <w:spacing w:val="40"/>
          <w:sz w:val="22"/>
        </w:rPr>
        <w:t> </w:t>
      </w:r>
      <w:r>
        <w:rPr>
          <w:i/>
          <w:sz w:val="22"/>
        </w:rPr>
        <w:t>J</w:t>
      </w:r>
      <w:r>
        <w:rPr>
          <w:i/>
          <w:spacing w:val="40"/>
          <w:sz w:val="22"/>
        </w:rPr>
        <w:t> </w:t>
      </w:r>
      <w:r>
        <w:rPr>
          <w:i/>
          <w:sz w:val="22"/>
        </w:rPr>
        <w:t>Obstet</w:t>
      </w:r>
      <w:r>
        <w:rPr>
          <w:i/>
          <w:spacing w:val="40"/>
          <w:sz w:val="22"/>
        </w:rPr>
        <w:t> </w:t>
      </w:r>
      <w:r>
        <w:rPr>
          <w:i/>
          <w:sz w:val="22"/>
        </w:rPr>
        <w:t>Gynaecol</w:t>
      </w:r>
      <w:r>
        <w:rPr>
          <w:sz w:val="22"/>
        </w:rPr>
        <w:t>. </w:t>
      </w:r>
      <w:r>
        <w:rPr>
          <w:spacing w:val="-2"/>
          <w:sz w:val="22"/>
        </w:rPr>
        <w:t>2003;23:278.</w:t>
      </w:r>
    </w:p>
    <w:p>
      <w:pPr>
        <w:pStyle w:val="ListParagraph"/>
        <w:numPr>
          <w:ilvl w:val="0"/>
          <w:numId w:val="8"/>
        </w:numPr>
        <w:tabs>
          <w:tab w:pos="709" w:val="left" w:leader="none"/>
          <w:tab w:pos="718" w:val="left" w:leader="none"/>
        </w:tabs>
        <w:spacing w:line="256" w:lineRule="auto" w:before="0" w:after="0"/>
        <w:ind w:left="718" w:right="99" w:hanging="507"/>
        <w:jc w:val="both"/>
        <w:rPr>
          <w:sz w:val="22"/>
        </w:rPr>
      </w:pPr>
      <w:r>
        <w:rPr>
          <w:sz w:val="22"/>
        </w:rPr>
        <w:t>Rizzoli R, Greenspan SL, Bone G II, et al; Alendronate Once-Weekly Study Group. Two-</w:t>
      </w:r>
      <w:r>
        <w:rPr>
          <w:sz w:val="22"/>
        </w:rPr>
        <w:t>year results</w:t>
      </w:r>
      <w:r>
        <w:rPr>
          <w:spacing w:val="40"/>
          <w:sz w:val="22"/>
        </w:rPr>
        <w:t> </w:t>
      </w:r>
      <w:r>
        <w:rPr>
          <w:sz w:val="22"/>
        </w:rPr>
        <w:t>of</w:t>
      </w:r>
      <w:r>
        <w:rPr>
          <w:spacing w:val="40"/>
          <w:sz w:val="22"/>
        </w:rPr>
        <w:t> </w:t>
      </w:r>
      <w:r>
        <w:rPr>
          <w:sz w:val="22"/>
        </w:rPr>
        <w:t>once-weekly</w:t>
      </w:r>
      <w:r>
        <w:rPr>
          <w:spacing w:val="40"/>
          <w:sz w:val="22"/>
        </w:rPr>
        <w:t> </w:t>
      </w:r>
      <w:r>
        <w:rPr>
          <w:sz w:val="22"/>
        </w:rPr>
        <w:t>administration</w:t>
      </w:r>
      <w:r>
        <w:rPr>
          <w:spacing w:val="40"/>
          <w:sz w:val="22"/>
        </w:rPr>
        <w:t> </w:t>
      </w:r>
      <w:r>
        <w:rPr>
          <w:sz w:val="22"/>
        </w:rPr>
        <w:t>of</w:t>
      </w:r>
      <w:r>
        <w:rPr>
          <w:spacing w:val="40"/>
          <w:sz w:val="22"/>
        </w:rPr>
        <w:t> </w:t>
      </w:r>
      <w:r>
        <w:rPr>
          <w:sz w:val="22"/>
        </w:rPr>
        <w:t>alendronate</w:t>
      </w:r>
      <w:r>
        <w:rPr>
          <w:spacing w:val="40"/>
          <w:sz w:val="22"/>
        </w:rPr>
        <w:t> </w:t>
      </w:r>
      <w:r>
        <w:rPr>
          <w:sz w:val="22"/>
        </w:rPr>
        <w:t>70</w:t>
      </w:r>
      <w:r>
        <w:rPr>
          <w:spacing w:val="40"/>
          <w:sz w:val="22"/>
        </w:rPr>
        <w:t> </w:t>
      </w:r>
      <w:r>
        <w:rPr>
          <w:sz w:val="22"/>
        </w:rPr>
        <w:t>mg</w:t>
      </w:r>
      <w:r>
        <w:rPr>
          <w:spacing w:val="40"/>
          <w:sz w:val="22"/>
        </w:rPr>
        <w:t> </w:t>
      </w:r>
      <w:r>
        <w:rPr>
          <w:sz w:val="22"/>
        </w:rPr>
        <w:t>for</w:t>
      </w:r>
      <w:r>
        <w:rPr>
          <w:spacing w:val="40"/>
          <w:sz w:val="22"/>
        </w:rPr>
        <w:t> </w:t>
      </w:r>
      <w:r>
        <w:rPr>
          <w:sz w:val="22"/>
        </w:rPr>
        <w:t>the</w:t>
      </w:r>
      <w:r>
        <w:rPr>
          <w:spacing w:val="40"/>
          <w:sz w:val="22"/>
        </w:rPr>
        <w:t> </w:t>
      </w:r>
      <w:r>
        <w:rPr>
          <w:sz w:val="22"/>
        </w:rPr>
        <w:t>treatment</w:t>
      </w:r>
      <w:r>
        <w:rPr>
          <w:spacing w:val="40"/>
          <w:sz w:val="22"/>
        </w:rPr>
        <w:t> </w:t>
      </w:r>
      <w:r>
        <w:rPr>
          <w:sz w:val="22"/>
        </w:rPr>
        <w:t>of postmenopausal osteoporosis. </w:t>
      </w:r>
      <w:r>
        <w:rPr>
          <w:i/>
          <w:sz w:val="22"/>
        </w:rPr>
        <w:t>J Bone Miner Res</w:t>
      </w:r>
      <w:r>
        <w:rPr>
          <w:sz w:val="22"/>
        </w:rPr>
        <w:t>. 2002;17:1988.</w:t>
      </w:r>
    </w:p>
    <w:p>
      <w:pPr>
        <w:pStyle w:val="ListParagraph"/>
        <w:numPr>
          <w:ilvl w:val="0"/>
          <w:numId w:val="8"/>
        </w:numPr>
        <w:tabs>
          <w:tab w:pos="709" w:val="left" w:leader="none"/>
          <w:tab w:pos="718" w:val="left" w:leader="none"/>
        </w:tabs>
        <w:spacing w:line="256" w:lineRule="auto" w:before="0" w:after="0"/>
        <w:ind w:left="718" w:right="98" w:hanging="507"/>
        <w:jc w:val="both"/>
        <w:rPr>
          <w:sz w:val="22"/>
        </w:rPr>
      </w:pPr>
      <w:r>
        <w:rPr>
          <w:sz w:val="22"/>
        </w:rPr>
        <w:t>Black DM, Cummings SR, Karpf DB, et al; Fracture Intervention Trial Research Group. Randomised trial of effect of alendronate on risk of fracture in women with existing vertebral fractures. </w:t>
      </w:r>
      <w:r>
        <w:rPr>
          <w:i/>
          <w:sz w:val="22"/>
        </w:rPr>
        <w:t>Lancet</w:t>
      </w:r>
      <w:r>
        <w:rPr>
          <w:sz w:val="22"/>
        </w:rPr>
        <w:t>. 1996;348:1535.</w:t>
      </w:r>
    </w:p>
    <w:p>
      <w:pPr>
        <w:pStyle w:val="ListParagraph"/>
        <w:numPr>
          <w:ilvl w:val="0"/>
          <w:numId w:val="8"/>
        </w:numPr>
        <w:tabs>
          <w:tab w:pos="709" w:val="left" w:leader="none"/>
          <w:tab w:pos="718" w:val="left" w:leader="none"/>
        </w:tabs>
        <w:spacing w:line="256" w:lineRule="auto" w:before="0" w:after="0"/>
        <w:ind w:left="718" w:right="103" w:hanging="507"/>
        <w:jc w:val="both"/>
        <w:rPr>
          <w:sz w:val="22"/>
        </w:rPr>
      </w:pPr>
      <w:r>
        <w:rPr>
          <w:sz w:val="22"/>
        </w:rPr>
        <w:t>Karpf DB, Shapiro DR, Seeman E, et al; Alendronate Osteoporosis Treatment Study </w:t>
      </w:r>
      <w:r>
        <w:rPr>
          <w:sz w:val="22"/>
        </w:rPr>
        <w:t>Groups. Prevention of nonvertebral fractures by alendronate. </w:t>
      </w:r>
      <w:r>
        <w:rPr>
          <w:i/>
          <w:sz w:val="22"/>
        </w:rPr>
        <w:t>JAMA</w:t>
      </w:r>
      <w:r>
        <w:rPr>
          <w:sz w:val="22"/>
        </w:rPr>
        <w:t>. 1997;277:1159.</w:t>
      </w:r>
    </w:p>
    <w:p>
      <w:pPr>
        <w:pStyle w:val="ListParagraph"/>
        <w:numPr>
          <w:ilvl w:val="0"/>
          <w:numId w:val="8"/>
        </w:numPr>
        <w:tabs>
          <w:tab w:pos="709" w:val="left" w:leader="none"/>
          <w:tab w:pos="718" w:val="left" w:leader="none"/>
        </w:tabs>
        <w:spacing w:line="256" w:lineRule="auto" w:before="0" w:after="0"/>
        <w:ind w:left="718" w:right="98" w:hanging="507"/>
        <w:jc w:val="both"/>
        <w:rPr>
          <w:sz w:val="22"/>
        </w:rPr>
      </w:pPr>
      <w:r>
        <w:rPr>
          <w:sz w:val="22"/>
        </w:rPr>
        <w:t>Black DM, Thompson DE, Bauer DC, et al; FIT Research Group. Fracture risk reduction </w:t>
      </w:r>
      <w:r>
        <w:rPr>
          <w:sz w:val="22"/>
        </w:rPr>
        <w:t>with alendronate in women with osteoporosis: the Fracture Intervention Trial. </w:t>
      </w:r>
      <w:r>
        <w:rPr>
          <w:i/>
          <w:sz w:val="22"/>
        </w:rPr>
        <w:t>J Clin Endocrinol</w:t>
      </w:r>
      <w:r>
        <w:rPr>
          <w:i/>
          <w:sz w:val="22"/>
        </w:rPr>
        <w:t> Metab</w:t>
      </w:r>
      <w:r>
        <w:rPr>
          <w:sz w:val="22"/>
        </w:rPr>
        <w:t>. 2000;85:4118.</w:t>
      </w:r>
    </w:p>
    <w:p>
      <w:pPr>
        <w:pStyle w:val="ListParagraph"/>
        <w:numPr>
          <w:ilvl w:val="0"/>
          <w:numId w:val="8"/>
        </w:numPr>
        <w:tabs>
          <w:tab w:pos="709" w:val="left" w:leader="none"/>
          <w:tab w:pos="718" w:val="left" w:leader="none"/>
        </w:tabs>
        <w:spacing w:line="256" w:lineRule="auto" w:before="0" w:after="0"/>
        <w:ind w:left="718" w:right="99" w:hanging="507"/>
        <w:jc w:val="both"/>
        <w:rPr>
          <w:sz w:val="22"/>
        </w:rPr>
      </w:pPr>
      <w:r>
        <w:rPr>
          <w:sz w:val="22"/>
        </w:rPr>
        <w:t>Hosking D, Chilvers CED, Christiansen C, et al; Early Postmenopausal Intervention </w:t>
      </w:r>
      <w:r>
        <w:rPr>
          <w:sz w:val="22"/>
        </w:rPr>
        <w:t>Cohort Study Group. Prevention of bone loss with alendronate in postmenopausal women under 60 years of age. </w:t>
      </w:r>
      <w:r>
        <w:rPr>
          <w:i/>
          <w:sz w:val="22"/>
        </w:rPr>
        <w:t>N Engl J Med</w:t>
      </w:r>
      <w:r>
        <w:rPr>
          <w:sz w:val="22"/>
        </w:rPr>
        <w:t>. 1998;338:485.</w:t>
      </w:r>
    </w:p>
    <w:p>
      <w:pPr>
        <w:pStyle w:val="ListParagraph"/>
        <w:spacing w:after="0" w:line="256" w:lineRule="auto"/>
        <w:jc w:val="both"/>
        <w:rPr>
          <w:sz w:val="22"/>
        </w:rPr>
        <w:sectPr>
          <w:pgSz w:w="12240" w:h="15840"/>
          <w:pgMar w:top="1360" w:bottom="280" w:left="1440" w:right="1440"/>
        </w:sectPr>
      </w:pPr>
    </w:p>
    <w:p>
      <w:pPr>
        <w:pStyle w:val="ListParagraph"/>
        <w:numPr>
          <w:ilvl w:val="0"/>
          <w:numId w:val="8"/>
        </w:numPr>
        <w:tabs>
          <w:tab w:pos="709" w:val="left" w:leader="none"/>
          <w:tab w:pos="718" w:val="left" w:leader="none"/>
        </w:tabs>
        <w:spacing w:line="256" w:lineRule="auto" w:before="84" w:after="0"/>
        <w:ind w:left="718" w:right="100" w:hanging="507"/>
        <w:jc w:val="both"/>
        <w:rPr>
          <w:sz w:val="22"/>
        </w:rPr>
      </w:pPr>
      <w:r>
        <w:rPr>
          <w:sz w:val="22"/>
        </w:rPr>
        <w:t>McClung M, Clemmesen B, Daifotis A, et al; Alendronate Osteoporosis Prevention Study Group. Alendronate prevents postmenopausal bone loss in women without osteoporosis: a double-blind, randomized, controlled trial. </w:t>
      </w:r>
      <w:r>
        <w:rPr>
          <w:i/>
          <w:sz w:val="22"/>
        </w:rPr>
        <w:t>Ann Intern Med</w:t>
      </w:r>
      <w:r>
        <w:rPr>
          <w:sz w:val="22"/>
        </w:rPr>
        <w:t>. 1998;128:253.</w:t>
      </w:r>
    </w:p>
    <w:p>
      <w:pPr>
        <w:pStyle w:val="ListParagraph"/>
        <w:numPr>
          <w:ilvl w:val="0"/>
          <w:numId w:val="8"/>
        </w:numPr>
        <w:tabs>
          <w:tab w:pos="709" w:val="left" w:leader="none"/>
          <w:tab w:pos="718" w:val="left" w:leader="none"/>
        </w:tabs>
        <w:spacing w:line="256" w:lineRule="auto" w:before="0" w:after="0"/>
        <w:ind w:left="718" w:right="103" w:hanging="507"/>
        <w:jc w:val="both"/>
        <w:rPr>
          <w:sz w:val="22"/>
        </w:rPr>
      </w:pPr>
      <w:r>
        <w:rPr>
          <w:sz w:val="22"/>
        </w:rPr>
        <w:t>Cummings SR, Black DM, Thompson DE, et al; Fracture Intervention Trial Research </w:t>
      </w:r>
      <w:r>
        <w:rPr>
          <w:sz w:val="22"/>
        </w:rPr>
        <w:t>Group. Effect of alendronate on risk of fracture in women with low bone density but without vertebral fractures. Results from the Fracture Intervention Trial. </w:t>
      </w:r>
      <w:r>
        <w:rPr>
          <w:i/>
          <w:sz w:val="22"/>
        </w:rPr>
        <w:t>JAMA</w:t>
      </w:r>
      <w:r>
        <w:rPr>
          <w:sz w:val="22"/>
        </w:rPr>
        <w:t>. 1998;280:2077.</w:t>
      </w:r>
    </w:p>
    <w:p>
      <w:pPr>
        <w:pStyle w:val="ListParagraph"/>
        <w:numPr>
          <w:ilvl w:val="0"/>
          <w:numId w:val="8"/>
        </w:numPr>
        <w:tabs>
          <w:tab w:pos="709" w:val="left" w:leader="none"/>
          <w:tab w:pos="718" w:val="left" w:leader="none"/>
        </w:tabs>
        <w:spacing w:line="256" w:lineRule="auto" w:before="0" w:after="0"/>
        <w:ind w:left="718" w:right="102" w:hanging="507"/>
        <w:jc w:val="both"/>
        <w:rPr>
          <w:sz w:val="22"/>
        </w:rPr>
      </w:pPr>
      <w:r>
        <w:rPr>
          <w:sz w:val="22"/>
        </w:rPr>
        <w:t>Reginster J, Minne HW, Sorensen OH, et al; Vertebral Efficacy with Risedronate </w:t>
      </w:r>
      <w:r>
        <w:rPr>
          <w:sz w:val="22"/>
        </w:rPr>
        <w:t>Therapy (VERT) Study Group. Randomized trial of the effects of risedronate on vertebral fractures in women with established postmenopausal osteoporosis. </w:t>
      </w:r>
      <w:r>
        <w:rPr>
          <w:i/>
          <w:sz w:val="22"/>
        </w:rPr>
        <w:t>Osteoporos Int</w:t>
      </w:r>
      <w:r>
        <w:rPr>
          <w:sz w:val="22"/>
        </w:rPr>
        <w:t>. 2000;11:83.</w:t>
      </w:r>
    </w:p>
    <w:p>
      <w:pPr>
        <w:pStyle w:val="ListParagraph"/>
        <w:numPr>
          <w:ilvl w:val="0"/>
          <w:numId w:val="8"/>
        </w:numPr>
        <w:tabs>
          <w:tab w:pos="709" w:val="left" w:leader="none"/>
          <w:tab w:pos="718" w:val="left" w:leader="none"/>
        </w:tabs>
        <w:spacing w:line="256" w:lineRule="auto" w:before="0" w:after="0"/>
        <w:ind w:left="718" w:right="110" w:hanging="507"/>
        <w:jc w:val="both"/>
        <w:rPr>
          <w:sz w:val="22"/>
        </w:rPr>
      </w:pPr>
      <w:r>
        <w:rPr>
          <w:sz w:val="22"/>
        </w:rPr>
        <w:t>Sorensen OH, Crawford GM, Mulder H, et al. Long-term efficacy of risedronate: a 5-</w:t>
      </w:r>
      <w:r>
        <w:rPr>
          <w:sz w:val="22"/>
        </w:rPr>
        <w:t>year placebo-controlled clinical experience. </w:t>
      </w:r>
      <w:r>
        <w:rPr>
          <w:i/>
          <w:sz w:val="22"/>
        </w:rPr>
        <w:t>Bone</w:t>
      </w:r>
      <w:r>
        <w:rPr>
          <w:sz w:val="22"/>
        </w:rPr>
        <w:t>. 2003;32:120.</w:t>
      </w:r>
    </w:p>
    <w:p>
      <w:pPr>
        <w:pStyle w:val="ListParagraph"/>
        <w:numPr>
          <w:ilvl w:val="0"/>
          <w:numId w:val="8"/>
        </w:numPr>
        <w:tabs>
          <w:tab w:pos="709" w:val="left" w:leader="none"/>
          <w:tab w:pos="718" w:val="left" w:leader="none"/>
        </w:tabs>
        <w:spacing w:line="256" w:lineRule="auto" w:before="0" w:after="0"/>
        <w:ind w:left="718" w:right="104" w:hanging="507"/>
        <w:jc w:val="both"/>
        <w:rPr>
          <w:sz w:val="22"/>
        </w:rPr>
      </w:pPr>
      <w:r>
        <w:rPr>
          <w:sz w:val="22"/>
        </w:rPr>
        <w:t>Chesnut CH III, Skag A, Christiansen C, et al; Oral Ibandronate Osteoporosis Vertebral</w:t>
      </w:r>
      <w:r>
        <w:rPr>
          <w:spacing w:val="80"/>
          <w:w w:val="150"/>
          <w:sz w:val="22"/>
        </w:rPr>
        <w:t> </w:t>
      </w:r>
      <w:r>
        <w:rPr>
          <w:sz w:val="22"/>
        </w:rPr>
        <w:t>Fracture Trial in North America and Europe (BONE). Effects of oral ibandronate </w:t>
      </w:r>
      <w:r>
        <w:rPr>
          <w:sz w:val="22"/>
        </w:rPr>
        <w:t>administered daily or intermittently on fracture risk in postmenopausal osteoporosis. </w:t>
      </w:r>
      <w:r>
        <w:rPr>
          <w:i/>
          <w:sz w:val="22"/>
        </w:rPr>
        <w:t>J Bone Miner Res</w:t>
      </w:r>
      <w:r>
        <w:rPr>
          <w:sz w:val="22"/>
        </w:rPr>
        <w:t>. </w:t>
      </w:r>
      <w:r>
        <w:rPr>
          <w:spacing w:val="-2"/>
          <w:sz w:val="22"/>
        </w:rPr>
        <w:t>2004;19:1241.</w:t>
      </w:r>
    </w:p>
    <w:p>
      <w:pPr>
        <w:pStyle w:val="ListParagraph"/>
        <w:numPr>
          <w:ilvl w:val="0"/>
          <w:numId w:val="8"/>
        </w:numPr>
        <w:tabs>
          <w:tab w:pos="709" w:val="left" w:leader="none"/>
          <w:tab w:pos="718" w:val="left" w:leader="none"/>
        </w:tabs>
        <w:spacing w:line="256" w:lineRule="auto" w:before="0" w:after="0"/>
        <w:ind w:left="718" w:right="99" w:hanging="507"/>
        <w:jc w:val="both"/>
        <w:rPr>
          <w:sz w:val="22"/>
        </w:rPr>
      </w:pPr>
      <w:r>
        <w:rPr>
          <w:sz w:val="22"/>
        </w:rPr>
        <w:t>Black DM, Delmas PD, Estell R, et al; HORIZON Pivotal Fracture Trial. Once-</w:t>
      </w:r>
      <w:r>
        <w:rPr>
          <w:sz w:val="22"/>
        </w:rPr>
        <w:t>yearly</w:t>
      </w:r>
      <w:r>
        <w:rPr>
          <w:spacing w:val="40"/>
          <w:sz w:val="22"/>
        </w:rPr>
        <w:t> </w:t>
      </w:r>
      <w:r>
        <w:rPr>
          <w:sz w:val="22"/>
        </w:rPr>
        <w:t>zoledronic acid for treatment of postmenopausal osteoporosis. </w:t>
      </w:r>
      <w:r>
        <w:rPr>
          <w:i/>
          <w:sz w:val="22"/>
        </w:rPr>
        <w:t>N Engl J Med</w:t>
      </w:r>
      <w:r>
        <w:rPr>
          <w:sz w:val="22"/>
        </w:rPr>
        <w:t>. 2007;356:1809.</w:t>
      </w:r>
    </w:p>
    <w:p>
      <w:pPr>
        <w:pStyle w:val="ListParagraph"/>
        <w:numPr>
          <w:ilvl w:val="0"/>
          <w:numId w:val="8"/>
        </w:numPr>
        <w:tabs>
          <w:tab w:pos="709" w:val="left" w:leader="none"/>
          <w:tab w:pos="718" w:val="left" w:leader="none"/>
        </w:tabs>
        <w:spacing w:line="256" w:lineRule="auto" w:before="0" w:after="0"/>
        <w:ind w:left="718" w:right="100" w:hanging="507"/>
        <w:jc w:val="both"/>
        <w:rPr>
          <w:sz w:val="22"/>
        </w:rPr>
      </w:pPr>
      <w:r>
        <w:rPr>
          <w:sz w:val="22"/>
        </w:rPr>
        <w:t>Lindsay R, Cosman F, Lobo RA, et al. Addition of alendronate to ongoing hormone</w:t>
      </w:r>
      <w:r>
        <w:rPr>
          <w:spacing w:val="80"/>
          <w:sz w:val="22"/>
        </w:rPr>
        <w:t> </w:t>
      </w:r>
      <w:r>
        <w:rPr>
          <w:sz w:val="22"/>
        </w:rPr>
        <w:t>replacement therapy in the treatment of osteoporosis: a randomized, controlled clinical trial. </w:t>
      </w:r>
      <w:r>
        <w:rPr>
          <w:i/>
          <w:sz w:val="22"/>
        </w:rPr>
        <w:t>J</w:t>
      </w:r>
      <w:r>
        <w:rPr>
          <w:i/>
          <w:sz w:val="22"/>
        </w:rPr>
        <w:t> Clin Endocrinol Metab</w:t>
      </w:r>
      <w:r>
        <w:rPr>
          <w:sz w:val="22"/>
        </w:rPr>
        <w:t>. 1999;84:3076.</w:t>
      </w:r>
    </w:p>
    <w:p>
      <w:pPr>
        <w:pStyle w:val="ListParagraph"/>
        <w:numPr>
          <w:ilvl w:val="0"/>
          <w:numId w:val="8"/>
        </w:numPr>
        <w:tabs>
          <w:tab w:pos="709" w:val="left" w:leader="none"/>
          <w:tab w:pos="718" w:val="left" w:leader="none"/>
        </w:tabs>
        <w:spacing w:line="256" w:lineRule="auto" w:before="0" w:after="0"/>
        <w:ind w:left="718" w:right="102" w:hanging="507"/>
        <w:jc w:val="both"/>
        <w:rPr>
          <w:sz w:val="22"/>
        </w:rPr>
      </w:pPr>
      <w:r>
        <w:rPr>
          <w:sz w:val="22"/>
        </w:rPr>
        <w:t>Greenspan S, Bankhurst A, Bell N, et al. Effects of alendronate and estrogen, alone or in combination, on bone mass and turnover in postmenopausal osteoporosis (abstract). </w:t>
      </w:r>
      <w:r>
        <w:rPr>
          <w:i/>
          <w:sz w:val="22"/>
        </w:rPr>
        <w:t>Bone</w:t>
      </w:r>
      <w:r>
        <w:rPr>
          <w:sz w:val="22"/>
        </w:rPr>
        <w:t>. 1998;23(suppl 5):S174.</w:t>
      </w:r>
    </w:p>
    <w:p>
      <w:pPr>
        <w:pStyle w:val="ListParagraph"/>
        <w:numPr>
          <w:ilvl w:val="0"/>
          <w:numId w:val="8"/>
        </w:numPr>
        <w:tabs>
          <w:tab w:pos="709" w:val="left" w:leader="none"/>
          <w:tab w:pos="718" w:val="left" w:leader="none"/>
        </w:tabs>
        <w:spacing w:line="256" w:lineRule="auto" w:before="0" w:after="0"/>
        <w:ind w:left="718" w:right="99" w:hanging="507"/>
        <w:jc w:val="both"/>
        <w:rPr>
          <w:sz w:val="22"/>
        </w:rPr>
      </w:pPr>
      <w:r>
        <w:rPr>
          <w:sz w:val="22"/>
        </w:rPr>
        <w:t>Harris ST, Eriksen EF, Davidson M, et al. Effect of combined risedronate and hormone replacement therapies on bone mineral density in postmenopausal women. </w:t>
      </w:r>
      <w:r>
        <w:rPr>
          <w:i/>
          <w:sz w:val="22"/>
        </w:rPr>
        <w:t>J Clin </w:t>
      </w:r>
      <w:r>
        <w:rPr>
          <w:i/>
          <w:sz w:val="22"/>
        </w:rPr>
        <w:t>Endocrinol</w:t>
      </w:r>
      <w:r>
        <w:rPr>
          <w:i/>
          <w:sz w:val="22"/>
        </w:rPr>
        <w:t> Metab</w:t>
      </w:r>
      <w:r>
        <w:rPr>
          <w:sz w:val="22"/>
        </w:rPr>
        <w:t>. 2001;86:1890.</w:t>
      </w:r>
    </w:p>
    <w:p>
      <w:pPr>
        <w:pStyle w:val="ListParagraph"/>
        <w:numPr>
          <w:ilvl w:val="0"/>
          <w:numId w:val="8"/>
        </w:numPr>
        <w:tabs>
          <w:tab w:pos="709" w:val="left" w:leader="none"/>
          <w:tab w:pos="718" w:val="left" w:leader="none"/>
        </w:tabs>
        <w:spacing w:line="256" w:lineRule="auto" w:before="0" w:after="0"/>
        <w:ind w:left="718" w:right="108" w:hanging="507"/>
        <w:jc w:val="both"/>
        <w:rPr>
          <w:sz w:val="22"/>
        </w:rPr>
      </w:pPr>
      <w:r>
        <w:rPr>
          <w:sz w:val="22"/>
        </w:rPr>
        <w:t>Ettinger B, Pressman A, Schein J. Clinic visits and hospital admissions for care of acid-related upper gastrointestinal disorders in women using alendronate for osteoporosis. </w:t>
      </w:r>
      <w:r>
        <w:rPr>
          <w:i/>
          <w:sz w:val="22"/>
        </w:rPr>
        <w:t>Am J Manag</w:t>
      </w:r>
      <w:r>
        <w:rPr>
          <w:i/>
          <w:spacing w:val="40"/>
          <w:sz w:val="22"/>
        </w:rPr>
        <w:t> </w:t>
      </w:r>
      <w:r>
        <w:rPr>
          <w:i/>
          <w:sz w:val="22"/>
        </w:rPr>
        <w:t>Care</w:t>
      </w:r>
      <w:r>
        <w:rPr>
          <w:sz w:val="22"/>
        </w:rPr>
        <w:t>. 1998;4:1377.</w:t>
      </w:r>
    </w:p>
    <w:p>
      <w:pPr>
        <w:pStyle w:val="ListParagraph"/>
        <w:numPr>
          <w:ilvl w:val="0"/>
          <w:numId w:val="8"/>
        </w:numPr>
        <w:tabs>
          <w:tab w:pos="709" w:val="left" w:leader="none"/>
          <w:tab w:pos="718" w:val="left" w:leader="none"/>
        </w:tabs>
        <w:spacing w:line="256" w:lineRule="auto" w:before="0" w:after="0"/>
        <w:ind w:left="718" w:right="109" w:hanging="507"/>
        <w:jc w:val="both"/>
        <w:rPr>
          <w:sz w:val="22"/>
        </w:rPr>
      </w:pPr>
      <w:r>
        <w:rPr>
          <w:sz w:val="22"/>
        </w:rPr>
        <w:t>Faulkner DL, Lucy LM, Heath H, Minshall ME, Muchmore DB. A claims data assessment </w:t>
      </w:r>
      <w:r>
        <w:rPr>
          <w:sz w:val="22"/>
        </w:rPr>
        <w:t>of patient compliance with alendronate (abstract), </w:t>
      </w:r>
      <w:r>
        <w:rPr>
          <w:i/>
          <w:sz w:val="22"/>
        </w:rPr>
        <w:t>Osteoporos Int</w:t>
      </w:r>
      <w:r>
        <w:rPr>
          <w:sz w:val="22"/>
        </w:rPr>
        <w:t>. 1998;8(suppl 3):21.</w:t>
      </w:r>
    </w:p>
    <w:p>
      <w:pPr>
        <w:pStyle w:val="ListParagraph"/>
        <w:numPr>
          <w:ilvl w:val="0"/>
          <w:numId w:val="8"/>
        </w:numPr>
        <w:tabs>
          <w:tab w:pos="709" w:val="left" w:leader="none"/>
          <w:tab w:pos="718" w:val="left" w:leader="none"/>
        </w:tabs>
        <w:spacing w:line="256" w:lineRule="auto" w:before="0" w:after="0"/>
        <w:ind w:left="718" w:right="98" w:hanging="507"/>
        <w:jc w:val="both"/>
        <w:rPr>
          <w:sz w:val="22"/>
        </w:rPr>
      </w:pPr>
      <w:r>
        <w:rPr>
          <w:sz w:val="22"/>
        </w:rPr>
        <w:t>Siris ES, Harris ST, Rosen CJ, et al. Adherence to bisphosphonate therapy and fracture rates in osteoporotic women: relationship to vertebral and nonvertebral fractures from 2 US </w:t>
      </w:r>
      <w:r>
        <w:rPr>
          <w:sz w:val="22"/>
        </w:rPr>
        <w:t>claims databases. </w:t>
      </w:r>
      <w:r>
        <w:rPr>
          <w:i/>
          <w:sz w:val="22"/>
        </w:rPr>
        <w:t>Mayo Clin Proc</w:t>
      </w:r>
      <w:r>
        <w:rPr>
          <w:sz w:val="22"/>
        </w:rPr>
        <w:t>. 2006;81:1013.</w:t>
      </w:r>
    </w:p>
    <w:p>
      <w:pPr>
        <w:pStyle w:val="ListParagraph"/>
        <w:numPr>
          <w:ilvl w:val="0"/>
          <w:numId w:val="8"/>
        </w:numPr>
        <w:tabs>
          <w:tab w:pos="709" w:val="left" w:leader="none"/>
          <w:tab w:pos="718" w:val="left" w:leader="none"/>
        </w:tabs>
        <w:spacing w:line="256" w:lineRule="auto" w:before="0" w:after="0"/>
        <w:ind w:left="718" w:right="103" w:hanging="507"/>
        <w:jc w:val="both"/>
        <w:rPr>
          <w:sz w:val="22"/>
        </w:rPr>
      </w:pPr>
      <w:r>
        <w:rPr>
          <w:sz w:val="22"/>
        </w:rPr>
        <w:t>MacLennan AH, Wilson DH, Taylor AW. Hormone replacement therapy use over a decade in</w:t>
      </w:r>
      <w:r>
        <w:rPr>
          <w:spacing w:val="80"/>
          <w:sz w:val="22"/>
        </w:rPr>
        <w:t> </w:t>
      </w:r>
      <w:r>
        <w:rPr>
          <w:sz w:val="22"/>
        </w:rPr>
        <w:t>an Australian population. </w:t>
      </w:r>
      <w:r>
        <w:rPr>
          <w:i/>
          <w:sz w:val="22"/>
        </w:rPr>
        <w:t>Climacteric</w:t>
      </w:r>
      <w:r>
        <w:rPr>
          <w:sz w:val="22"/>
        </w:rPr>
        <w:t>. 2002;5:351.</w:t>
      </w:r>
    </w:p>
    <w:p>
      <w:pPr>
        <w:pStyle w:val="ListParagraph"/>
        <w:numPr>
          <w:ilvl w:val="0"/>
          <w:numId w:val="8"/>
        </w:numPr>
        <w:tabs>
          <w:tab w:pos="709" w:val="left" w:leader="none"/>
          <w:tab w:pos="718" w:val="left" w:leader="none"/>
        </w:tabs>
        <w:spacing w:line="256" w:lineRule="auto" w:before="0" w:after="0"/>
        <w:ind w:left="718" w:right="99" w:hanging="507"/>
        <w:jc w:val="both"/>
        <w:rPr>
          <w:sz w:val="22"/>
        </w:rPr>
      </w:pPr>
      <w:r>
        <w:rPr>
          <w:sz w:val="22"/>
        </w:rPr>
        <w:t>Steel SA, Albertazzi P, Howarth EM, Purdie DW. Factors affecting long-term adherence </w:t>
      </w:r>
      <w:r>
        <w:rPr>
          <w:sz w:val="22"/>
        </w:rPr>
        <w:t>to hormone replacement therapy after screening for osteoporosis. </w:t>
      </w:r>
      <w:r>
        <w:rPr>
          <w:i/>
          <w:sz w:val="22"/>
        </w:rPr>
        <w:t>Climacteric</w:t>
      </w:r>
      <w:r>
        <w:rPr>
          <w:sz w:val="22"/>
        </w:rPr>
        <w:t>. 2003;6:96.</w:t>
      </w:r>
    </w:p>
    <w:p>
      <w:pPr>
        <w:pStyle w:val="ListParagraph"/>
        <w:numPr>
          <w:ilvl w:val="0"/>
          <w:numId w:val="8"/>
        </w:numPr>
        <w:tabs>
          <w:tab w:pos="709" w:val="left" w:leader="none"/>
          <w:tab w:pos="718" w:val="left" w:leader="none"/>
        </w:tabs>
        <w:spacing w:line="256" w:lineRule="auto" w:before="0" w:after="0"/>
        <w:ind w:left="718" w:right="106" w:hanging="507"/>
        <w:jc w:val="both"/>
        <w:rPr>
          <w:sz w:val="22"/>
        </w:rPr>
      </w:pPr>
      <w:r>
        <w:rPr>
          <w:sz w:val="22"/>
        </w:rPr>
        <w:t>Bone HG, Hosking D, Devogelaer JP, et al; Alendronate Phase III Osteoporosis </w:t>
      </w:r>
      <w:r>
        <w:rPr>
          <w:sz w:val="22"/>
        </w:rPr>
        <w:t>Treatment</w:t>
      </w:r>
      <w:r>
        <w:rPr>
          <w:spacing w:val="40"/>
          <w:sz w:val="22"/>
        </w:rPr>
        <w:t> </w:t>
      </w:r>
      <w:r>
        <w:rPr>
          <w:sz w:val="22"/>
        </w:rPr>
        <w:t>Study Group. Ten years’ experience with alendronate for osteoporosis in postmenopausal women. </w:t>
      </w:r>
      <w:r>
        <w:rPr>
          <w:i/>
          <w:sz w:val="22"/>
        </w:rPr>
        <w:t>N Engl J Med</w:t>
      </w:r>
      <w:r>
        <w:rPr>
          <w:sz w:val="22"/>
        </w:rPr>
        <w:t>. 2004;350:1189.</w:t>
      </w:r>
    </w:p>
    <w:p>
      <w:pPr>
        <w:pStyle w:val="ListParagraph"/>
        <w:numPr>
          <w:ilvl w:val="0"/>
          <w:numId w:val="8"/>
        </w:numPr>
        <w:tabs>
          <w:tab w:pos="710" w:val="left" w:leader="none"/>
        </w:tabs>
        <w:spacing w:line="251" w:lineRule="exact" w:before="0" w:after="0"/>
        <w:ind w:left="710" w:right="0" w:hanging="498"/>
        <w:jc w:val="both"/>
        <w:rPr>
          <w:sz w:val="22"/>
        </w:rPr>
      </w:pPr>
      <w:r>
        <w:rPr>
          <w:sz w:val="22"/>
        </w:rPr>
        <w:t>Fleisch</w:t>
      </w:r>
      <w:r>
        <w:rPr>
          <w:spacing w:val="12"/>
          <w:sz w:val="22"/>
        </w:rPr>
        <w:t> </w:t>
      </w:r>
      <w:r>
        <w:rPr>
          <w:sz w:val="22"/>
        </w:rPr>
        <w:t>H.</w:t>
      </w:r>
      <w:r>
        <w:rPr>
          <w:spacing w:val="12"/>
          <w:sz w:val="22"/>
        </w:rPr>
        <w:t> </w:t>
      </w:r>
      <w:r>
        <w:rPr>
          <w:sz w:val="22"/>
        </w:rPr>
        <w:t>Bisphosphonates:</w:t>
      </w:r>
      <w:r>
        <w:rPr>
          <w:spacing w:val="16"/>
          <w:sz w:val="22"/>
        </w:rPr>
        <w:t> </w:t>
      </w:r>
      <w:r>
        <w:rPr>
          <w:sz w:val="22"/>
        </w:rPr>
        <w:t>mechanisms</w:t>
      </w:r>
      <w:r>
        <w:rPr>
          <w:spacing w:val="17"/>
          <w:sz w:val="22"/>
        </w:rPr>
        <w:t> </w:t>
      </w:r>
      <w:r>
        <w:rPr>
          <w:sz w:val="22"/>
        </w:rPr>
        <w:t>of</w:t>
      </w:r>
      <w:r>
        <w:rPr>
          <w:spacing w:val="17"/>
          <w:sz w:val="22"/>
        </w:rPr>
        <w:t> </w:t>
      </w:r>
      <w:r>
        <w:rPr>
          <w:sz w:val="22"/>
        </w:rPr>
        <w:t>action</w:t>
      </w:r>
      <w:r>
        <w:rPr>
          <w:spacing w:val="17"/>
          <w:sz w:val="22"/>
        </w:rPr>
        <w:t> </w:t>
      </w:r>
      <w:r>
        <w:rPr>
          <w:sz w:val="22"/>
        </w:rPr>
        <w:t>and</w:t>
      </w:r>
      <w:r>
        <w:rPr>
          <w:spacing w:val="17"/>
          <w:sz w:val="22"/>
        </w:rPr>
        <w:t> </w:t>
      </w:r>
      <w:r>
        <w:rPr>
          <w:sz w:val="22"/>
        </w:rPr>
        <w:t>clinical</w:t>
      </w:r>
      <w:r>
        <w:rPr>
          <w:spacing w:val="16"/>
          <w:sz w:val="22"/>
        </w:rPr>
        <w:t> </w:t>
      </w:r>
      <w:r>
        <w:rPr>
          <w:sz w:val="22"/>
        </w:rPr>
        <w:t>use</w:t>
      </w:r>
      <w:r>
        <w:rPr>
          <w:spacing w:val="17"/>
          <w:sz w:val="22"/>
        </w:rPr>
        <w:t> </w:t>
      </w:r>
      <w:r>
        <w:rPr>
          <w:sz w:val="22"/>
        </w:rPr>
        <w:t>in</w:t>
      </w:r>
      <w:r>
        <w:rPr>
          <w:spacing w:val="17"/>
          <w:sz w:val="22"/>
        </w:rPr>
        <w:t> </w:t>
      </w:r>
      <w:r>
        <w:rPr>
          <w:sz w:val="22"/>
        </w:rPr>
        <w:t>osteoporosis:</w:t>
      </w:r>
      <w:r>
        <w:rPr>
          <w:spacing w:val="17"/>
          <w:sz w:val="22"/>
        </w:rPr>
        <w:t> </w:t>
      </w:r>
      <w:r>
        <w:rPr>
          <w:sz w:val="22"/>
        </w:rPr>
        <w:t>an</w:t>
      </w:r>
      <w:r>
        <w:rPr>
          <w:spacing w:val="17"/>
          <w:sz w:val="22"/>
        </w:rPr>
        <w:t> </w:t>
      </w:r>
      <w:r>
        <w:rPr>
          <w:spacing w:val="-2"/>
          <w:sz w:val="22"/>
        </w:rPr>
        <w:t>update.</w:t>
      </w:r>
    </w:p>
    <w:p>
      <w:pPr>
        <w:spacing w:before="0"/>
        <w:ind w:left="718" w:right="0" w:firstLine="0"/>
        <w:jc w:val="both"/>
        <w:rPr>
          <w:sz w:val="22"/>
        </w:rPr>
      </w:pPr>
      <w:r>
        <w:rPr>
          <w:i/>
          <w:sz w:val="22"/>
        </w:rPr>
        <w:t>Horm</w:t>
      </w:r>
      <w:r>
        <w:rPr>
          <w:i/>
          <w:spacing w:val="10"/>
          <w:sz w:val="22"/>
        </w:rPr>
        <w:t> </w:t>
      </w:r>
      <w:r>
        <w:rPr>
          <w:i/>
          <w:sz w:val="22"/>
        </w:rPr>
        <w:t>Metab</w:t>
      </w:r>
      <w:r>
        <w:rPr>
          <w:i/>
          <w:spacing w:val="10"/>
          <w:sz w:val="22"/>
        </w:rPr>
        <w:t> </w:t>
      </w:r>
      <w:r>
        <w:rPr>
          <w:i/>
          <w:sz w:val="22"/>
        </w:rPr>
        <w:t>Res</w:t>
      </w:r>
      <w:r>
        <w:rPr>
          <w:sz w:val="22"/>
        </w:rPr>
        <w:t>.</w:t>
      </w:r>
      <w:r>
        <w:rPr>
          <w:spacing w:val="10"/>
          <w:sz w:val="22"/>
        </w:rPr>
        <w:t> </w:t>
      </w:r>
      <w:r>
        <w:rPr>
          <w:spacing w:val="-2"/>
          <w:sz w:val="22"/>
        </w:rPr>
        <w:t>1997;29:145.</w:t>
      </w:r>
    </w:p>
    <w:p>
      <w:pPr>
        <w:pStyle w:val="ListParagraph"/>
        <w:numPr>
          <w:ilvl w:val="0"/>
          <w:numId w:val="8"/>
        </w:numPr>
        <w:tabs>
          <w:tab w:pos="709" w:val="left" w:leader="none"/>
          <w:tab w:pos="718" w:val="left" w:leader="none"/>
        </w:tabs>
        <w:spacing w:line="256" w:lineRule="auto" w:before="8" w:after="0"/>
        <w:ind w:left="718" w:right="105" w:hanging="507"/>
        <w:jc w:val="both"/>
        <w:rPr>
          <w:sz w:val="22"/>
        </w:rPr>
      </w:pPr>
      <w:r>
        <w:rPr>
          <w:sz w:val="22"/>
        </w:rPr>
        <w:t>Greenspan SL, Emkey RD, Bone HG, et al. Significant differential effects of alendronate, estrogen, or combination therapy on the rate of bone loss after discontinuation of treatment of postmenopausal osteoporosis: a randomized, double-blind, placebo-controlled trial. </w:t>
      </w:r>
      <w:r>
        <w:rPr>
          <w:i/>
          <w:sz w:val="22"/>
        </w:rPr>
        <w:t>Ann </w:t>
      </w:r>
      <w:r>
        <w:rPr>
          <w:i/>
          <w:sz w:val="22"/>
        </w:rPr>
        <w:t>Intern</w:t>
      </w:r>
      <w:r>
        <w:rPr>
          <w:i/>
          <w:sz w:val="22"/>
        </w:rPr>
        <w:t> Med</w:t>
      </w:r>
      <w:r>
        <w:rPr>
          <w:sz w:val="22"/>
        </w:rPr>
        <w:t>. 2002;137:875.</w:t>
      </w:r>
    </w:p>
    <w:p>
      <w:pPr>
        <w:pStyle w:val="ListParagraph"/>
        <w:spacing w:after="0" w:line="256" w:lineRule="auto"/>
        <w:jc w:val="both"/>
        <w:rPr>
          <w:sz w:val="22"/>
        </w:rPr>
        <w:sectPr>
          <w:pgSz w:w="12240" w:h="15840"/>
          <w:pgMar w:top="1360" w:bottom="280" w:left="1440" w:right="1440"/>
        </w:sectPr>
      </w:pPr>
    </w:p>
    <w:p>
      <w:pPr>
        <w:pStyle w:val="ListParagraph"/>
        <w:numPr>
          <w:ilvl w:val="0"/>
          <w:numId w:val="8"/>
        </w:numPr>
        <w:tabs>
          <w:tab w:pos="709" w:val="left" w:leader="none"/>
          <w:tab w:pos="718" w:val="left" w:leader="none"/>
        </w:tabs>
        <w:spacing w:line="256" w:lineRule="auto" w:before="84" w:after="0"/>
        <w:ind w:left="718" w:right="100" w:hanging="507"/>
        <w:jc w:val="both"/>
        <w:rPr>
          <w:sz w:val="22"/>
        </w:rPr>
      </w:pPr>
      <w:r>
        <w:rPr>
          <w:sz w:val="22"/>
        </w:rPr>
        <w:t>Tonino RP, Meunier PJ, Emkey R, et al; Phase III Osteoporosis Treatment Study Group.</w:t>
      </w:r>
      <w:r>
        <w:rPr>
          <w:spacing w:val="40"/>
          <w:sz w:val="22"/>
        </w:rPr>
        <w:t> </w:t>
      </w:r>
      <w:r>
        <w:rPr>
          <w:sz w:val="22"/>
        </w:rPr>
        <w:t>Skeletal benefits of alendronate: 7-year treatment of postmenopausal osteoporotic women. </w:t>
      </w:r>
      <w:r>
        <w:rPr>
          <w:i/>
          <w:sz w:val="22"/>
        </w:rPr>
        <w:t>J</w:t>
      </w:r>
      <w:r>
        <w:rPr>
          <w:i/>
          <w:spacing w:val="80"/>
          <w:sz w:val="22"/>
        </w:rPr>
        <w:t> </w:t>
      </w:r>
      <w:r>
        <w:rPr>
          <w:i/>
          <w:sz w:val="22"/>
        </w:rPr>
        <w:t>Clin Endocrinol Metab</w:t>
      </w:r>
      <w:r>
        <w:rPr>
          <w:sz w:val="22"/>
        </w:rPr>
        <w:t>. 2000;85:3109.</w:t>
      </w:r>
    </w:p>
    <w:p>
      <w:pPr>
        <w:pStyle w:val="ListParagraph"/>
        <w:numPr>
          <w:ilvl w:val="0"/>
          <w:numId w:val="8"/>
        </w:numPr>
        <w:tabs>
          <w:tab w:pos="709" w:val="left" w:leader="none"/>
          <w:tab w:pos="718" w:val="left" w:leader="none"/>
        </w:tabs>
        <w:spacing w:line="256" w:lineRule="auto" w:before="0" w:after="0"/>
        <w:ind w:left="718" w:right="109" w:hanging="507"/>
        <w:jc w:val="both"/>
        <w:rPr>
          <w:sz w:val="22"/>
        </w:rPr>
      </w:pPr>
      <w:r>
        <w:rPr>
          <w:sz w:val="22"/>
        </w:rPr>
        <w:t>Bagger YZ, Tanko LB, Alexandersen P, Ravn P, Christiansen C. Alendronate has a </w:t>
      </w:r>
      <w:r>
        <w:rPr>
          <w:sz w:val="22"/>
        </w:rPr>
        <w:t>residual effect</w:t>
      </w:r>
      <w:r>
        <w:rPr>
          <w:spacing w:val="40"/>
          <w:sz w:val="22"/>
        </w:rPr>
        <w:t> </w:t>
      </w:r>
      <w:r>
        <w:rPr>
          <w:sz w:val="22"/>
        </w:rPr>
        <w:t>on</w:t>
      </w:r>
      <w:r>
        <w:rPr>
          <w:spacing w:val="40"/>
          <w:sz w:val="22"/>
        </w:rPr>
        <w:t> </w:t>
      </w:r>
      <w:r>
        <w:rPr>
          <w:sz w:val="22"/>
        </w:rPr>
        <w:t>bone</w:t>
      </w:r>
      <w:r>
        <w:rPr>
          <w:spacing w:val="40"/>
          <w:sz w:val="22"/>
        </w:rPr>
        <w:t> </w:t>
      </w:r>
      <w:r>
        <w:rPr>
          <w:sz w:val="22"/>
        </w:rPr>
        <w:t>mass</w:t>
      </w:r>
      <w:r>
        <w:rPr>
          <w:spacing w:val="40"/>
          <w:sz w:val="22"/>
        </w:rPr>
        <w:t> </w:t>
      </w:r>
      <w:r>
        <w:rPr>
          <w:sz w:val="22"/>
        </w:rPr>
        <w:t>in</w:t>
      </w:r>
      <w:r>
        <w:rPr>
          <w:spacing w:val="40"/>
          <w:sz w:val="22"/>
        </w:rPr>
        <w:t> </w:t>
      </w:r>
      <w:r>
        <w:rPr>
          <w:sz w:val="22"/>
        </w:rPr>
        <w:t>postmenopausal</w:t>
      </w:r>
      <w:r>
        <w:rPr>
          <w:spacing w:val="40"/>
          <w:sz w:val="22"/>
        </w:rPr>
        <w:t> </w:t>
      </w:r>
      <w:r>
        <w:rPr>
          <w:sz w:val="22"/>
        </w:rPr>
        <w:t>Danish</w:t>
      </w:r>
      <w:r>
        <w:rPr>
          <w:spacing w:val="40"/>
          <w:sz w:val="22"/>
        </w:rPr>
        <w:t> </w:t>
      </w:r>
      <w:r>
        <w:rPr>
          <w:sz w:val="22"/>
        </w:rPr>
        <w:t>women</w:t>
      </w:r>
      <w:r>
        <w:rPr>
          <w:spacing w:val="40"/>
          <w:sz w:val="22"/>
        </w:rPr>
        <w:t> </w:t>
      </w:r>
      <w:r>
        <w:rPr>
          <w:sz w:val="22"/>
        </w:rPr>
        <w:t>up</w:t>
      </w:r>
      <w:r>
        <w:rPr>
          <w:spacing w:val="40"/>
          <w:sz w:val="22"/>
        </w:rPr>
        <w:t> </w:t>
      </w:r>
      <w:r>
        <w:rPr>
          <w:sz w:val="22"/>
        </w:rPr>
        <w:t>to</w:t>
      </w:r>
      <w:r>
        <w:rPr>
          <w:spacing w:val="40"/>
          <w:sz w:val="22"/>
        </w:rPr>
        <w:t> </w:t>
      </w:r>
      <w:r>
        <w:rPr>
          <w:sz w:val="22"/>
        </w:rPr>
        <w:t>7</w:t>
      </w:r>
      <w:r>
        <w:rPr>
          <w:spacing w:val="40"/>
          <w:sz w:val="22"/>
        </w:rPr>
        <w:t> </w:t>
      </w:r>
      <w:r>
        <w:rPr>
          <w:sz w:val="22"/>
        </w:rPr>
        <w:t>years</w:t>
      </w:r>
      <w:r>
        <w:rPr>
          <w:spacing w:val="40"/>
          <w:sz w:val="22"/>
        </w:rPr>
        <w:t> </w:t>
      </w:r>
      <w:r>
        <w:rPr>
          <w:sz w:val="22"/>
        </w:rPr>
        <w:t>after</w:t>
      </w:r>
      <w:r>
        <w:rPr>
          <w:spacing w:val="40"/>
          <w:sz w:val="22"/>
        </w:rPr>
        <w:t> </w:t>
      </w:r>
      <w:r>
        <w:rPr>
          <w:sz w:val="22"/>
        </w:rPr>
        <w:t>treatment withdrawal. </w:t>
      </w:r>
      <w:r>
        <w:rPr>
          <w:i/>
          <w:sz w:val="22"/>
        </w:rPr>
        <w:t>Bone</w:t>
      </w:r>
      <w:r>
        <w:rPr>
          <w:sz w:val="22"/>
        </w:rPr>
        <w:t>. 2003;33:301.</w:t>
      </w:r>
    </w:p>
    <w:p>
      <w:pPr>
        <w:pStyle w:val="ListParagraph"/>
        <w:numPr>
          <w:ilvl w:val="0"/>
          <w:numId w:val="8"/>
        </w:numPr>
        <w:tabs>
          <w:tab w:pos="709" w:val="left" w:leader="none"/>
          <w:tab w:pos="718" w:val="left" w:leader="none"/>
        </w:tabs>
        <w:spacing w:line="256" w:lineRule="auto" w:before="0" w:after="0"/>
        <w:ind w:left="718" w:right="101" w:hanging="507"/>
        <w:jc w:val="both"/>
        <w:rPr>
          <w:sz w:val="22"/>
        </w:rPr>
      </w:pPr>
      <w:r>
        <w:rPr>
          <w:sz w:val="22"/>
        </w:rPr>
        <w:t>Black DM, Schwartz AV, Ensrud KE, et al; FLEX Research Group. Effects of continuing or stopping alendronate after 5 years of treatment: The Fracture Intervention Trial Long-</w:t>
      </w:r>
      <w:r>
        <w:rPr>
          <w:sz w:val="22"/>
        </w:rPr>
        <w:t>term Extension (FLEX): a randomized trial. </w:t>
      </w:r>
      <w:r>
        <w:rPr>
          <w:i/>
          <w:sz w:val="22"/>
        </w:rPr>
        <w:t>JAMA</w:t>
      </w:r>
      <w:r>
        <w:rPr>
          <w:sz w:val="22"/>
        </w:rPr>
        <w:t>. 2006;296:2927.</w:t>
      </w:r>
    </w:p>
    <w:p>
      <w:pPr>
        <w:pStyle w:val="ListParagraph"/>
        <w:numPr>
          <w:ilvl w:val="0"/>
          <w:numId w:val="8"/>
        </w:numPr>
        <w:tabs>
          <w:tab w:pos="709" w:val="left" w:leader="none"/>
          <w:tab w:pos="718" w:val="left" w:leader="none"/>
        </w:tabs>
        <w:spacing w:line="256" w:lineRule="auto" w:before="0" w:after="0"/>
        <w:ind w:left="718" w:right="103" w:hanging="507"/>
        <w:jc w:val="both"/>
        <w:rPr>
          <w:sz w:val="22"/>
        </w:rPr>
      </w:pPr>
      <w:r>
        <w:rPr>
          <w:sz w:val="22"/>
        </w:rPr>
        <w:t>Curtis JR, Westfall AO, Cheng H, Deizell E, Saag KG. Risk of hip fracture after</w:t>
      </w:r>
      <w:r>
        <w:rPr>
          <w:spacing w:val="80"/>
          <w:w w:val="150"/>
          <w:sz w:val="22"/>
        </w:rPr>
        <w:t> </w:t>
      </w:r>
      <w:r>
        <w:rPr>
          <w:sz w:val="22"/>
        </w:rPr>
        <w:t>bisphosphonate</w:t>
      </w:r>
      <w:r>
        <w:rPr>
          <w:spacing w:val="40"/>
          <w:sz w:val="22"/>
        </w:rPr>
        <w:t> </w:t>
      </w:r>
      <w:r>
        <w:rPr>
          <w:sz w:val="22"/>
        </w:rPr>
        <w:t>discontinuation:</w:t>
      </w:r>
      <w:r>
        <w:rPr>
          <w:spacing w:val="40"/>
          <w:sz w:val="22"/>
        </w:rPr>
        <w:t> </w:t>
      </w:r>
      <w:r>
        <w:rPr>
          <w:sz w:val="22"/>
        </w:rPr>
        <w:t>implications</w:t>
      </w:r>
      <w:r>
        <w:rPr>
          <w:spacing w:val="40"/>
          <w:sz w:val="22"/>
        </w:rPr>
        <w:t> </w:t>
      </w:r>
      <w:r>
        <w:rPr>
          <w:sz w:val="22"/>
        </w:rPr>
        <w:t>for</w:t>
      </w:r>
      <w:r>
        <w:rPr>
          <w:spacing w:val="40"/>
          <w:sz w:val="22"/>
        </w:rPr>
        <w:t> </w:t>
      </w:r>
      <w:r>
        <w:rPr>
          <w:sz w:val="22"/>
        </w:rPr>
        <w:t>a</w:t>
      </w:r>
      <w:r>
        <w:rPr>
          <w:spacing w:val="40"/>
          <w:sz w:val="22"/>
        </w:rPr>
        <w:t> </w:t>
      </w:r>
      <w:r>
        <w:rPr>
          <w:sz w:val="22"/>
        </w:rPr>
        <w:t>drug</w:t>
      </w:r>
      <w:r>
        <w:rPr>
          <w:spacing w:val="40"/>
          <w:sz w:val="22"/>
        </w:rPr>
        <w:t> </w:t>
      </w:r>
      <w:r>
        <w:rPr>
          <w:sz w:val="22"/>
        </w:rPr>
        <w:t>holiday.</w:t>
      </w:r>
      <w:r>
        <w:rPr>
          <w:spacing w:val="40"/>
          <w:sz w:val="22"/>
        </w:rPr>
        <w:t> </w:t>
      </w:r>
      <w:r>
        <w:rPr>
          <w:i/>
          <w:sz w:val="22"/>
        </w:rPr>
        <w:t>Osteoporos</w:t>
      </w:r>
      <w:r>
        <w:rPr>
          <w:i/>
          <w:spacing w:val="40"/>
          <w:sz w:val="22"/>
        </w:rPr>
        <w:t> </w:t>
      </w:r>
      <w:r>
        <w:rPr>
          <w:i/>
          <w:sz w:val="22"/>
        </w:rPr>
        <w:t>Int</w:t>
      </w:r>
      <w:r>
        <w:rPr>
          <w:sz w:val="22"/>
        </w:rPr>
        <w:t>. </w:t>
      </w:r>
      <w:r>
        <w:rPr>
          <w:spacing w:val="-2"/>
          <w:sz w:val="22"/>
        </w:rPr>
        <w:t>2008;19:1613.</w:t>
      </w:r>
    </w:p>
    <w:p>
      <w:pPr>
        <w:pStyle w:val="ListParagraph"/>
        <w:numPr>
          <w:ilvl w:val="0"/>
          <w:numId w:val="8"/>
        </w:numPr>
        <w:tabs>
          <w:tab w:pos="709" w:val="left" w:leader="none"/>
          <w:tab w:pos="718" w:val="left" w:leader="none"/>
        </w:tabs>
        <w:spacing w:line="256" w:lineRule="auto" w:before="0" w:after="0"/>
        <w:ind w:left="718" w:right="99" w:hanging="507"/>
        <w:jc w:val="both"/>
        <w:rPr>
          <w:sz w:val="22"/>
        </w:rPr>
      </w:pPr>
      <w:r>
        <w:rPr>
          <w:sz w:val="22"/>
        </w:rPr>
        <w:t>Neviaser AS, Lane JM, Lenart BA, Edobor-Osula F, Lorich DG. Low-energy femoral shaft fractures associated with alendronate use. </w:t>
      </w:r>
      <w:r>
        <w:rPr>
          <w:i/>
          <w:sz w:val="22"/>
        </w:rPr>
        <w:t>J Orthop Trauma</w:t>
      </w:r>
      <w:r>
        <w:rPr>
          <w:sz w:val="22"/>
        </w:rPr>
        <w:t>. 2008;22:346.</w:t>
      </w:r>
    </w:p>
    <w:p>
      <w:pPr>
        <w:pStyle w:val="ListParagraph"/>
        <w:numPr>
          <w:ilvl w:val="0"/>
          <w:numId w:val="8"/>
        </w:numPr>
        <w:tabs>
          <w:tab w:pos="709" w:val="left" w:leader="none"/>
          <w:tab w:pos="718" w:val="left" w:leader="none"/>
        </w:tabs>
        <w:spacing w:line="256" w:lineRule="auto" w:before="0" w:after="0"/>
        <w:ind w:left="718" w:right="107" w:hanging="507"/>
        <w:jc w:val="both"/>
        <w:rPr>
          <w:sz w:val="22"/>
        </w:rPr>
      </w:pPr>
      <w:r>
        <w:rPr>
          <w:sz w:val="22"/>
        </w:rPr>
        <w:t>Khan</w:t>
      </w:r>
      <w:r>
        <w:rPr>
          <w:spacing w:val="36"/>
          <w:sz w:val="22"/>
        </w:rPr>
        <w:t> </w:t>
      </w:r>
      <w:r>
        <w:rPr>
          <w:sz w:val="22"/>
        </w:rPr>
        <w:t>AA,</w:t>
      </w:r>
      <w:r>
        <w:rPr>
          <w:spacing w:val="36"/>
          <w:sz w:val="22"/>
        </w:rPr>
        <w:t> </w:t>
      </w:r>
      <w:r>
        <w:rPr>
          <w:sz w:val="22"/>
        </w:rPr>
        <w:t>Morrison</w:t>
      </w:r>
      <w:r>
        <w:rPr>
          <w:spacing w:val="36"/>
          <w:sz w:val="22"/>
        </w:rPr>
        <w:t> </w:t>
      </w:r>
      <w:r>
        <w:rPr>
          <w:sz w:val="22"/>
        </w:rPr>
        <w:t>A,</w:t>
      </w:r>
      <w:r>
        <w:rPr>
          <w:spacing w:val="36"/>
          <w:sz w:val="22"/>
        </w:rPr>
        <w:t> </w:t>
      </w:r>
      <w:r>
        <w:rPr>
          <w:sz w:val="22"/>
        </w:rPr>
        <w:t>Hanley</w:t>
      </w:r>
      <w:r>
        <w:rPr>
          <w:spacing w:val="36"/>
          <w:sz w:val="22"/>
        </w:rPr>
        <w:t> </w:t>
      </w:r>
      <w:r>
        <w:rPr>
          <w:sz w:val="22"/>
        </w:rPr>
        <w:t>DA,</w:t>
      </w:r>
      <w:r>
        <w:rPr>
          <w:spacing w:val="36"/>
          <w:sz w:val="22"/>
        </w:rPr>
        <w:t> </w:t>
      </w:r>
      <w:r>
        <w:rPr>
          <w:sz w:val="22"/>
        </w:rPr>
        <w:t>et</w:t>
      </w:r>
      <w:r>
        <w:rPr>
          <w:spacing w:val="36"/>
          <w:sz w:val="22"/>
        </w:rPr>
        <w:t> </w:t>
      </w:r>
      <w:r>
        <w:rPr>
          <w:sz w:val="22"/>
        </w:rPr>
        <w:t>al;</w:t>
      </w:r>
      <w:r>
        <w:rPr>
          <w:spacing w:val="36"/>
          <w:sz w:val="22"/>
        </w:rPr>
        <w:t> </w:t>
      </w:r>
      <w:r>
        <w:rPr>
          <w:sz w:val="22"/>
        </w:rPr>
        <w:t>International</w:t>
      </w:r>
      <w:r>
        <w:rPr>
          <w:spacing w:val="36"/>
          <w:sz w:val="22"/>
        </w:rPr>
        <w:t> </w:t>
      </w:r>
      <w:r>
        <w:rPr>
          <w:sz w:val="22"/>
        </w:rPr>
        <w:t>Task</w:t>
      </w:r>
      <w:r>
        <w:rPr>
          <w:spacing w:val="36"/>
          <w:sz w:val="22"/>
        </w:rPr>
        <w:t> </w:t>
      </w:r>
      <w:r>
        <w:rPr>
          <w:sz w:val="22"/>
        </w:rPr>
        <w:t>Force</w:t>
      </w:r>
      <w:r>
        <w:rPr>
          <w:spacing w:val="36"/>
          <w:sz w:val="22"/>
        </w:rPr>
        <w:t> </w:t>
      </w:r>
      <w:r>
        <w:rPr>
          <w:sz w:val="22"/>
        </w:rPr>
        <w:t>on</w:t>
      </w:r>
      <w:r>
        <w:rPr>
          <w:spacing w:val="36"/>
          <w:sz w:val="22"/>
        </w:rPr>
        <w:t> </w:t>
      </w:r>
      <w:r>
        <w:rPr>
          <w:sz w:val="22"/>
        </w:rPr>
        <w:t>Osteonecrosis</w:t>
      </w:r>
      <w:r>
        <w:rPr>
          <w:spacing w:val="36"/>
          <w:sz w:val="22"/>
        </w:rPr>
        <w:t> </w:t>
      </w:r>
      <w:r>
        <w:rPr>
          <w:sz w:val="22"/>
        </w:rPr>
        <w:t>of</w:t>
      </w:r>
      <w:r>
        <w:rPr>
          <w:spacing w:val="36"/>
          <w:sz w:val="22"/>
        </w:rPr>
        <w:t> </w:t>
      </w:r>
      <w:r>
        <w:rPr>
          <w:sz w:val="22"/>
        </w:rPr>
        <w:t>the Jaw. Diagnosis and management of osteonecrosis of the jaw: a systematic review and international consensus. </w:t>
      </w:r>
      <w:r>
        <w:rPr>
          <w:i/>
          <w:sz w:val="22"/>
        </w:rPr>
        <w:t>J Bone Miner Res</w:t>
      </w:r>
      <w:r>
        <w:rPr>
          <w:sz w:val="22"/>
        </w:rPr>
        <w:t>. 2015;30(1):3.</w:t>
      </w:r>
    </w:p>
    <w:p>
      <w:pPr>
        <w:pStyle w:val="ListParagraph"/>
        <w:numPr>
          <w:ilvl w:val="0"/>
          <w:numId w:val="8"/>
        </w:numPr>
        <w:tabs>
          <w:tab w:pos="709" w:val="left" w:leader="none"/>
          <w:tab w:pos="718" w:val="left" w:leader="none"/>
        </w:tabs>
        <w:spacing w:line="256" w:lineRule="auto" w:before="0" w:after="0"/>
        <w:ind w:left="718" w:right="101" w:hanging="507"/>
        <w:jc w:val="both"/>
        <w:rPr>
          <w:sz w:val="22"/>
        </w:rPr>
      </w:pPr>
      <w:r>
        <w:rPr>
          <w:sz w:val="22"/>
        </w:rPr>
        <w:t>Wilkinson GS, Kuo Y-F, Freeman JL, Goodwin JS. Intravenous bisphosphonate therapy and inflammatory</w:t>
      </w:r>
      <w:r>
        <w:rPr>
          <w:spacing w:val="40"/>
          <w:sz w:val="22"/>
        </w:rPr>
        <w:t> </w:t>
      </w:r>
      <w:r>
        <w:rPr>
          <w:sz w:val="22"/>
        </w:rPr>
        <w:t>conditions</w:t>
      </w:r>
      <w:r>
        <w:rPr>
          <w:spacing w:val="40"/>
          <w:sz w:val="22"/>
        </w:rPr>
        <w:t> </w:t>
      </w:r>
      <w:r>
        <w:rPr>
          <w:sz w:val="22"/>
        </w:rPr>
        <w:t>or</w:t>
      </w:r>
      <w:r>
        <w:rPr>
          <w:spacing w:val="40"/>
          <w:sz w:val="22"/>
        </w:rPr>
        <w:t> </w:t>
      </w:r>
      <w:r>
        <w:rPr>
          <w:sz w:val="22"/>
        </w:rPr>
        <w:t>surgery</w:t>
      </w:r>
      <w:r>
        <w:rPr>
          <w:spacing w:val="40"/>
          <w:sz w:val="22"/>
        </w:rPr>
        <w:t> </w:t>
      </w:r>
      <w:r>
        <w:rPr>
          <w:sz w:val="22"/>
        </w:rPr>
        <w:t>of</w:t>
      </w:r>
      <w:r>
        <w:rPr>
          <w:spacing w:val="40"/>
          <w:sz w:val="22"/>
        </w:rPr>
        <w:t> </w:t>
      </w:r>
      <w:r>
        <w:rPr>
          <w:sz w:val="22"/>
        </w:rPr>
        <w:t>the</w:t>
      </w:r>
      <w:r>
        <w:rPr>
          <w:spacing w:val="40"/>
          <w:sz w:val="22"/>
        </w:rPr>
        <w:t> </w:t>
      </w:r>
      <w:r>
        <w:rPr>
          <w:sz w:val="22"/>
        </w:rPr>
        <w:t>jaw:</w:t>
      </w:r>
      <w:r>
        <w:rPr>
          <w:spacing w:val="40"/>
          <w:sz w:val="22"/>
        </w:rPr>
        <w:t> </w:t>
      </w:r>
      <w:r>
        <w:rPr>
          <w:sz w:val="22"/>
        </w:rPr>
        <w:t>a</w:t>
      </w:r>
      <w:r>
        <w:rPr>
          <w:spacing w:val="40"/>
          <w:sz w:val="22"/>
        </w:rPr>
        <w:t> </w:t>
      </w:r>
      <w:r>
        <w:rPr>
          <w:sz w:val="22"/>
        </w:rPr>
        <w:t>population-based</w:t>
      </w:r>
      <w:r>
        <w:rPr>
          <w:spacing w:val="40"/>
          <w:sz w:val="22"/>
        </w:rPr>
        <w:t> </w:t>
      </w:r>
      <w:r>
        <w:rPr>
          <w:sz w:val="22"/>
        </w:rPr>
        <w:t>analysis.</w:t>
      </w:r>
      <w:r>
        <w:rPr>
          <w:spacing w:val="40"/>
          <w:sz w:val="22"/>
        </w:rPr>
        <w:t> </w:t>
      </w:r>
      <w:r>
        <w:rPr>
          <w:i/>
          <w:sz w:val="22"/>
        </w:rPr>
        <w:t>J</w:t>
      </w:r>
      <w:r>
        <w:rPr>
          <w:i/>
          <w:spacing w:val="40"/>
          <w:sz w:val="22"/>
        </w:rPr>
        <w:t> </w:t>
      </w:r>
      <w:r>
        <w:rPr>
          <w:i/>
          <w:sz w:val="22"/>
        </w:rPr>
        <w:t>Natl</w:t>
      </w:r>
      <w:r>
        <w:rPr>
          <w:i/>
          <w:spacing w:val="40"/>
          <w:sz w:val="22"/>
        </w:rPr>
        <w:t> </w:t>
      </w:r>
      <w:r>
        <w:rPr>
          <w:i/>
          <w:sz w:val="22"/>
        </w:rPr>
        <w:t>Cancer</w:t>
      </w:r>
      <w:r>
        <w:rPr>
          <w:i/>
          <w:sz w:val="22"/>
        </w:rPr>
        <w:t> Inst</w:t>
      </w:r>
      <w:r>
        <w:rPr>
          <w:sz w:val="22"/>
        </w:rPr>
        <w:t>. 2007;99:1016.</w:t>
      </w:r>
    </w:p>
    <w:p>
      <w:pPr>
        <w:pStyle w:val="ListParagraph"/>
        <w:numPr>
          <w:ilvl w:val="0"/>
          <w:numId w:val="8"/>
        </w:numPr>
        <w:tabs>
          <w:tab w:pos="709" w:val="left" w:leader="none"/>
          <w:tab w:pos="718" w:val="left" w:leader="none"/>
        </w:tabs>
        <w:spacing w:line="256" w:lineRule="auto" w:before="0" w:after="0"/>
        <w:ind w:left="718" w:right="100" w:hanging="507"/>
        <w:jc w:val="both"/>
        <w:rPr>
          <w:sz w:val="22"/>
        </w:rPr>
      </w:pPr>
      <w:r>
        <w:rPr>
          <w:sz w:val="22"/>
        </w:rPr>
        <w:t>Zervas K, Verrou E, Teleioudis E, et al. Incidence, risk factors and management of</w:t>
      </w:r>
      <w:r>
        <w:rPr>
          <w:spacing w:val="80"/>
          <w:sz w:val="22"/>
        </w:rPr>
        <w:t> </w:t>
      </w:r>
      <w:r>
        <w:rPr>
          <w:sz w:val="22"/>
        </w:rPr>
        <w:t>osteonecrosis of the jaw in patients with multiple myeloma: a single-centre experience in 303 patients. </w:t>
      </w:r>
      <w:r>
        <w:rPr>
          <w:i/>
          <w:sz w:val="22"/>
        </w:rPr>
        <w:t>Br J Haematol</w:t>
      </w:r>
      <w:r>
        <w:rPr>
          <w:sz w:val="22"/>
        </w:rPr>
        <w:t>. 2006;134:620.</w:t>
      </w:r>
    </w:p>
    <w:p>
      <w:pPr>
        <w:pStyle w:val="ListParagraph"/>
        <w:numPr>
          <w:ilvl w:val="0"/>
          <w:numId w:val="8"/>
        </w:numPr>
        <w:tabs>
          <w:tab w:pos="709" w:val="left" w:leader="none"/>
          <w:tab w:pos="718" w:val="left" w:leader="none"/>
        </w:tabs>
        <w:spacing w:line="256" w:lineRule="auto" w:before="0" w:after="0"/>
        <w:ind w:left="718" w:right="105" w:hanging="507"/>
        <w:jc w:val="both"/>
        <w:rPr>
          <w:sz w:val="22"/>
        </w:rPr>
      </w:pPr>
      <w:r>
        <w:rPr>
          <w:sz w:val="22"/>
        </w:rPr>
        <w:t>Durie</w:t>
      </w:r>
      <w:r>
        <w:rPr>
          <w:spacing w:val="40"/>
          <w:sz w:val="22"/>
        </w:rPr>
        <w:t> </w:t>
      </w:r>
      <w:r>
        <w:rPr>
          <w:sz w:val="22"/>
        </w:rPr>
        <w:t>BGM,</w:t>
      </w:r>
      <w:r>
        <w:rPr>
          <w:spacing w:val="40"/>
          <w:sz w:val="22"/>
        </w:rPr>
        <w:t> </w:t>
      </w:r>
      <w:r>
        <w:rPr>
          <w:sz w:val="22"/>
        </w:rPr>
        <w:t>Katz</w:t>
      </w:r>
      <w:r>
        <w:rPr>
          <w:spacing w:val="40"/>
          <w:sz w:val="22"/>
        </w:rPr>
        <w:t> </w:t>
      </w:r>
      <w:r>
        <w:rPr>
          <w:sz w:val="22"/>
        </w:rPr>
        <w:t>M,</w:t>
      </w:r>
      <w:r>
        <w:rPr>
          <w:spacing w:val="40"/>
          <w:sz w:val="22"/>
        </w:rPr>
        <w:t> </w:t>
      </w:r>
      <w:r>
        <w:rPr>
          <w:sz w:val="22"/>
        </w:rPr>
        <w:t>Crowley</w:t>
      </w:r>
      <w:r>
        <w:rPr>
          <w:spacing w:val="40"/>
          <w:sz w:val="22"/>
        </w:rPr>
        <w:t> </w:t>
      </w:r>
      <w:r>
        <w:rPr>
          <w:sz w:val="22"/>
        </w:rPr>
        <w:t>J.</w:t>
      </w:r>
      <w:r>
        <w:rPr>
          <w:spacing w:val="40"/>
          <w:sz w:val="22"/>
        </w:rPr>
        <w:t> </w:t>
      </w:r>
      <w:r>
        <w:rPr>
          <w:sz w:val="22"/>
        </w:rPr>
        <w:t>Osteonecrosis</w:t>
      </w:r>
      <w:r>
        <w:rPr>
          <w:spacing w:val="40"/>
          <w:sz w:val="22"/>
        </w:rPr>
        <w:t> </w:t>
      </w:r>
      <w:r>
        <w:rPr>
          <w:sz w:val="22"/>
        </w:rPr>
        <w:t>of</w:t>
      </w:r>
      <w:r>
        <w:rPr>
          <w:spacing w:val="40"/>
          <w:sz w:val="22"/>
        </w:rPr>
        <w:t> </w:t>
      </w:r>
      <w:r>
        <w:rPr>
          <w:sz w:val="22"/>
        </w:rPr>
        <w:t>the</w:t>
      </w:r>
      <w:r>
        <w:rPr>
          <w:spacing w:val="40"/>
          <w:sz w:val="22"/>
        </w:rPr>
        <w:t> </w:t>
      </w:r>
      <w:r>
        <w:rPr>
          <w:sz w:val="22"/>
        </w:rPr>
        <w:t>jaw</w:t>
      </w:r>
      <w:r>
        <w:rPr>
          <w:spacing w:val="40"/>
          <w:sz w:val="22"/>
        </w:rPr>
        <w:t> </w:t>
      </w:r>
      <w:r>
        <w:rPr>
          <w:sz w:val="22"/>
        </w:rPr>
        <w:t>and</w:t>
      </w:r>
      <w:r>
        <w:rPr>
          <w:spacing w:val="40"/>
          <w:sz w:val="22"/>
        </w:rPr>
        <w:t> </w:t>
      </w:r>
      <w:r>
        <w:rPr>
          <w:sz w:val="22"/>
        </w:rPr>
        <w:t>bisphosphonates.</w:t>
      </w:r>
      <w:r>
        <w:rPr>
          <w:spacing w:val="40"/>
          <w:sz w:val="22"/>
        </w:rPr>
        <w:t> </w:t>
      </w:r>
      <w:r>
        <w:rPr>
          <w:i/>
          <w:sz w:val="22"/>
        </w:rPr>
        <w:t>N</w:t>
      </w:r>
      <w:r>
        <w:rPr>
          <w:i/>
          <w:spacing w:val="40"/>
          <w:sz w:val="22"/>
        </w:rPr>
        <w:t> </w:t>
      </w:r>
      <w:r>
        <w:rPr>
          <w:i/>
          <w:sz w:val="22"/>
        </w:rPr>
        <w:t>Engl</w:t>
      </w:r>
      <w:r>
        <w:rPr>
          <w:i/>
          <w:spacing w:val="40"/>
          <w:sz w:val="22"/>
        </w:rPr>
        <w:t> </w:t>
      </w:r>
      <w:r>
        <w:rPr>
          <w:i/>
          <w:sz w:val="22"/>
        </w:rPr>
        <w:t>J</w:t>
      </w:r>
      <w:r>
        <w:rPr>
          <w:i/>
          <w:sz w:val="22"/>
        </w:rPr>
        <w:t> Med</w:t>
      </w:r>
      <w:r>
        <w:rPr>
          <w:sz w:val="22"/>
        </w:rPr>
        <w:t>. 2006;353:99.</w:t>
      </w:r>
    </w:p>
    <w:p>
      <w:pPr>
        <w:pStyle w:val="ListParagraph"/>
        <w:numPr>
          <w:ilvl w:val="0"/>
          <w:numId w:val="8"/>
        </w:numPr>
        <w:tabs>
          <w:tab w:pos="709" w:val="left" w:leader="none"/>
          <w:tab w:pos="718" w:val="left" w:leader="none"/>
        </w:tabs>
        <w:spacing w:line="256" w:lineRule="auto" w:before="0" w:after="0"/>
        <w:ind w:left="718" w:right="99" w:hanging="507"/>
        <w:jc w:val="both"/>
        <w:rPr>
          <w:sz w:val="22"/>
        </w:rPr>
      </w:pPr>
      <w:r>
        <w:rPr>
          <w:sz w:val="22"/>
        </w:rPr>
        <w:t>Farrugia MC, Summerlin D-J, Krowiak E, et al. Osteonecrosis of the mandible or maxilla associated with the use of new generation bisphosphonates. </w:t>
      </w:r>
      <w:r>
        <w:rPr>
          <w:i/>
          <w:sz w:val="22"/>
        </w:rPr>
        <w:t>Laryngoscope</w:t>
      </w:r>
      <w:r>
        <w:rPr>
          <w:sz w:val="22"/>
        </w:rPr>
        <w:t>. 2006;116:115.</w:t>
      </w:r>
    </w:p>
    <w:p>
      <w:pPr>
        <w:pStyle w:val="ListParagraph"/>
        <w:numPr>
          <w:ilvl w:val="0"/>
          <w:numId w:val="8"/>
        </w:numPr>
        <w:tabs>
          <w:tab w:pos="709" w:val="left" w:leader="none"/>
          <w:tab w:pos="718" w:val="left" w:leader="none"/>
        </w:tabs>
        <w:spacing w:line="256" w:lineRule="auto" w:before="0" w:after="0"/>
        <w:ind w:left="718" w:right="111" w:hanging="507"/>
        <w:jc w:val="both"/>
        <w:rPr>
          <w:sz w:val="22"/>
        </w:rPr>
      </w:pPr>
      <w:r>
        <w:rPr>
          <w:sz w:val="22"/>
        </w:rPr>
        <w:t>Ruggiero</w:t>
      </w:r>
      <w:r>
        <w:rPr>
          <w:spacing w:val="39"/>
          <w:sz w:val="22"/>
        </w:rPr>
        <w:t> </w:t>
      </w:r>
      <w:r>
        <w:rPr>
          <w:sz w:val="22"/>
        </w:rPr>
        <w:t>SL,</w:t>
      </w:r>
      <w:r>
        <w:rPr>
          <w:spacing w:val="39"/>
          <w:sz w:val="22"/>
        </w:rPr>
        <w:t> </w:t>
      </w:r>
      <w:r>
        <w:rPr>
          <w:sz w:val="22"/>
        </w:rPr>
        <w:t>Mebrotra</w:t>
      </w:r>
      <w:r>
        <w:rPr>
          <w:spacing w:val="39"/>
          <w:sz w:val="22"/>
        </w:rPr>
        <w:t> </w:t>
      </w:r>
      <w:r>
        <w:rPr>
          <w:sz w:val="22"/>
        </w:rPr>
        <w:t>B,</w:t>
      </w:r>
      <w:r>
        <w:rPr>
          <w:spacing w:val="39"/>
          <w:sz w:val="22"/>
        </w:rPr>
        <w:t> </w:t>
      </w:r>
      <w:r>
        <w:rPr>
          <w:sz w:val="22"/>
        </w:rPr>
        <w:t>Rosenberg</w:t>
      </w:r>
      <w:r>
        <w:rPr>
          <w:spacing w:val="39"/>
          <w:sz w:val="22"/>
        </w:rPr>
        <w:t> </w:t>
      </w:r>
      <w:r>
        <w:rPr>
          <w:sz w:val="22"/>
        </w:rPr>
        <w:t>TJ,</w:t>
      </w:r>
      <w:r>
        <w:rPr>
          <w:spacing w:val="39"/>
          <w:sz w:val="22"/>
        </w:rPr>
        <w:t> </w:t>
      </w:r>
      <w:r>
        <w:rPr>
          <w:sz w:val="22"/>
        </w:rPr>
        <w:t>Engroff</w:t>
      </w:r>
      <w:r>
        <w:rPr>
          <w:spacing w:val="39"/>
          <w:sz w:val="22"/>
        </w:rPr>
        <w:t> </w:t>
      </w:r>
      <w:r>
        <w:rPr>
          <w:sz w:val="22"/>
        </w:rPr>
        <w:t>SL.</w:t>
      </w:r>
      <w:r>
        <w:rPr>
          <w:spacing w:val="39"/>
          <w:sz w:val="22"/>
        </w:rPr>
        <w:t> </w:t>
      </w:r>
      <w:r>
        <w:rPr>
          <w:sz w:val="22"/>
        </w:rPr>
        <w:t>Osteonecrosis</w:t>
      </w:r>
      <w:r>
        <w:rPr>
          <w:spacing w:val="40"/>
          <w:sz w:val="22"/>
        </w:rPr>
        <w:t> </w:t>
      </w:r>
      <w:r>
        <w:rPr>
          <w:sz w:val="22"/>
        </w:rPr>
        <w:t>of</w:t>
      </w:r>
      <w:r>
        <w:rPr>
          <w:spacing w:val="40"/>
          <w:sz w:val="22"/>
        </w:rPr>
        <w:t> </w:t>
      </w:r>
      <w:r>
        <w:rPr>
          <w:sz w:val="22"/>
        </w:rPr>
        <w:t>the</w:t>
      </w:r>
      <w:r>
        <w:rPr>
          <w:spacing w:val="40"/>
          <w:sz w:val="22"/>
        </w:rPr>
        <w:t> </w:t>
      </w:r>
      <w:r>
        <w:rPr>
          <w:sz w:val="22"/>
        </w:rPr>
        <w:t>jaws</w:t>
      </w:r>
      <w:r>
        <w:rPr>
          <w:spacing w:val="40"/>
          <w:sz w:val="22"/>
        </w:rPr>
        <w:t> </w:t>
      </w:r>
      <w:r>
        <w:rPr>
          <w:sz w:val="22"/>
        </w:rPr>
        <w:t>associated with the use of bisphosphonates: a review of 63 cases. </w:t>
      </w:r>
      <w:r>
        <w:rPr>
          <w:i/>
          <w:sz w:val="22"/>
        </w:rPr>
        <w:t>J Oral Maxillofac Surg</w:t>
      </w:r>
      <w:r>
        <w:rPr>
          <w:sz w:val="22"/>
        </w:rPr>
        <w:t>. 2004;62:527.</w:t>
      </w:r>
    </w:p>
    <w:p>
      <w:pPr>
        <w:pStyle w:val="ListParagraph"/>
        <w:numPr>
          <w:ilvl w:val="0"/>
          <w:numId w:val="8"/>
        </w:numPr>
        <w:tabs>
          <w:tab w:pos="709" w:val="left" w:leader="none"/>
          <w:tab w:pos="718" w:val="left" w:leader="none"/>
        </w:tabs>
        <w:spacing w:line="256" w:lineRule="auto" w:before="0" w:after="0"/>
        <w:ind w:left="718" w:right="102" w:hanging="507"/>
        <w:jc w:val="both"/>
        <w:rPr>
          <w:sz w:val="22"/>
        </w:rPr>
      </w:pPr>
      <w:r>
        <w:rPr>
          <w:sz w:val="22"/>
        </w:rPr>
        <w:t>Di Fede O, Panzarella V, Mauceri R, et al. The dental management of patients at risk of medication-related osteonecrosis of the jaw: new paradigm of primary prevention. </w:t>
      </w:r>
      <w:r>
        <w:rPr>
          <w:i/>
          <w:sz w:val="22"/>
        </w:rPr>
        <w:t>Biomed Res</w:t>
      </w:r>
      <w:r>
        <w:rPr>
          <w:i/>
          <w:sz w:val="22"/>
        </w:rPr>
        <w:t> Int</w:t>
      </w:r>
      <w:r>
        <w:rPr>
          <w:sz w:val="22"/>
        </w:rPr>
        <w:t>. 2018;2018:2684924.</w:t>
      </w:r>
    </w:p>
    <w:p>
      <w:pPr>
        <w:pStyle w:val="ListParagraph"/>
        <w:numPr>
          <w:ilvl w:val="0"/>
          <w:numId w:val="8"/>
        </w:numPr>
        <w:tabs>
          <w:tab w:pos="709" w:val="left" w:leader="none"/>
          <w:tab w:pos="718" w:val="left" w:leader="none"/>
        </w:tabs>
        <w:spacing w:line="256" w:lineRule="auto" w:before="0" w:after="0"/>
        <w:ind w:left="718" w:right="106" w:hanging="507"/>
        <w:jc w:val="both"/>
        <w:rPr>
          <w:sz w:val="22"/>
        </w:rPr>
      </w:pPr>
      <w:r>
        <w:rPr>
          <w:sz w:val="22"/>
        </w:rPr>
        <w:t>Sharma A, Einstein AJ, Vallakati A, et al. Risk of atrial fibrillation with use of oral </w:t>
      </w:r>
      <w:r>
        <w:rPr>
          <w:sz w:val="22"/>
        </w:rPr>
        <w:t>and intravenous bisphosphonates. </w:t>
      </w:r>
      <w:r>
        <w:rPr>
          <w:i/>
          <w:sz w:val="22"/>
        </w:rPr>
        <w:t>Am J Cardiol</w:t>
      </w:r>
      <w:r>
        <w:rPr>
          <w:sz w:val="22"/>
        </w:rPr>
        <w:t>. 2014;113:1815.</w:t>
      </w:r>
    </w:p>
    <w:p>
      <w:pPr>
        <w:pStyle w:val="ListParagraph"/>
        <w:numPr>
          <w:ilvl w:val="0"/>
          <w:numId w:val="8"/>
        </w:numPr>
        <w:tabs>
          <w:tab w:pos="709" w:val="left" w:leader="none"/>
          <w:tab w:pos="718" w:val="left" w:leader="none"/>
        </w:tabs>
        <w:spacing w:line="256" w:lineRule="auto" w:before="0" w:after="0"/>
        <w:ind w:left="718" w:right="100" w:hanging="507"/>
        <w:jc w:val="both"/>
        <w:rPr>
          <w:sz w:val="22"/>
        </w:rPr>
      </w:pPr>
      <w:r>
        <w:rPr>
          <w:sz w:val="22"/>
        </w:rPr>
        <w:t>Heckbert SR, Li G, Cummings SR, Smith NL, Psaty BM. Use of alendronate and risk </w:t>
      </w:r>
      <w:r>
        <w:rPr>
          <w:sz w:val="22"/>
        </w:rPr>
        <w:t>of</w:t>
      </w:r>
      <w:r>
        <w:rPr>
          <w:spacing w:val="80"/>
          <w:sz w:val="22"/>
        </w:rPr>
        <w:t> </w:t>
      </w:r>
      <w:r>
        <w:rPr>
          <w:sz w:val="22"/>
        </w:rPr>
        <w:t>incident atrial fibrillation in women. </w:t>
      </w:r>
      <w:r>
        <w:rPr>
          <w:i/>
          <w:sz w:val="22"/>
        </w:rPr>
        <w:t>Arch Intern Med</w:t>
      </w:r>
      <w:r>
        <w:rPr>
          <w:sz w:val="22"/>
        </w:rPr>
        <w:t>. 2008;168:826.</w:t>
      </w:r>
    </w:p>
    <w:p>
      <w:pPr>
        <w:pStyle w:val="ListParagraph"/>
        <w:numPr>
          <w:ilvl w:val="0"/>
          <w:numId w:val="8"/>
        </w:numPr>
        <w:tabs>
          <w:tab w:pos="709" w:val="left" w:leader="none"/>
          <w:tab w:pos="718" w:val="left" w:leader="none"/>
        </w:tabs>
        <w:spacing w:line="256" w:lineRule="auto" w:before="0" w:after="0"/>
        <w:ind w:left="718" w:right="107" w:hanging="507"/>
        <w:jc w:val="both"/>
        <w:rPr>
          <w:sz w:val="22"/>
        </w:rPr>
      </w:pPr>
      <w:r>
        <w:rPr>
          <w:sz w:val="22"/>
        </w:rPr>
        <w:t>Sørensen HT, Christensen S, Mehnert F, et al. Use of bisphosphonates among women and risk</w:t>
      </w:r>
      <w:r>
        <w:rPr>
          <w:spacing w:val="40"/>
          <w:sz w:val="22"/>
        </w:rPr>
        <w:t> </w:t>
      </w:r>
      <w:r>
        <w:rPr>
          <w:sz w:val="22"/>
        </w:rPr>
        <w:t>of</w:t>
      </w:r>
      <w:r>
        <w:rPr>
          <w:spacing w:val="40"/>
          <w:sz w:val="22"/>
        </w:rPr>
        <w:t> </w:t>
      </w:r>
      <w:r>
        <w:rPr>
          <w:sz w:val="22"/>
        </w:rPr>
        <w:t>atrial</w:t>
      </w:r>
      <w:r>
        <w:rPr>
          <w:spacing w:val="40"/>
          <w:sz w:val="22"/>
        </w:rPr>
        <w:t> </w:t>
      </w:r>
      <w:r>
        <w:rPr>
          <w:sz w:val="22"/>
        </w:rPr>
        <w:t>fibrillation</w:t>
      </w:r>
      <w:r>
        <w:rPr>
          <w:spacing w:val="40"/>
          <w:sz w:val="22"/>
        </w:rPr>
        <w:t> </w:t>
      </w:r>
      <w:r>
        <w:rPr>
          <w:sz w:val="22"/>
        </w:rPr>
        <w:t>and</w:t>
      </w:r>
      <w:r>
        <w:rPr>
          <w:spacing w:val="40"/>
          <w:sz w:val="22"/>
        </w:rPr>
        <w:t> </w:t>
      </w:r>
      <w:r>
        <w:rPr>
          <w:sz w:val="22"/>
        </w:rPr>
        <w:t>flutter:</w:t>
      </w:r>
      <w:r>
        <w:rPr>
          <w:spacing w:val="40"/>
          <w:sz w:val="22"/>
        </w:rPr>
        <w:t> </w:t>
      </w:r>
      <w:r>
        <w:rPr>
          <w:sz w:val="22"/>
        </w:rPr>
        <w:t>a</w:t>
      </w:r>
      <w:r>
        <w:rPr>
          <w:spacing w:val="40"/>
          <w:sz w:val="22"/>
        </w:rPr>
        <w:t> </w:t>
      </w:r>
      <w:r>
        <w:rPr>
          <w:sz w:val="22"/>
        </w:rPr>
        <w:t>population</w:t>
      </w:r>
      <w:r>
        <w:rPr>
          <w:spacing w:val="40"/>
          <w:sz w:val="22"/>
        </w:rPr>
        <w:t> </w:t>
      </w:r>
      <w:r>
        <w:rPr>
          <w:sz w:val="22"/>
        </w:rPr>
        <w:t>based</w:t>
      </w:r>
      <w:r>
        <w:rPr>
          <w:spacing w:val="40"/>
          <w:sz w:val="22"/>
        </w:rPr>
        <w:t> </w:t>
      </w:r>
      <w:r>
        <w:rPr>
          <w:sz w:val="22"/>
        </w:rPr>
        <w:t>case-control</w:t>
      </w:r>
      <w:r>
        <w:rPr>
          <w:spacing w:val="40"/>
          <w:sz w:val="22"/>
        </w:rPr>
        <w:t> </w:t>
      </w:r>
      <w:r>
        <w:rPr>
          <w:sz w:val="22"/>
        </w:rPr>
        <w:t>study.</w:t>
      </w:r>
      <w:r>
        <w:rPr>
          <w:spacing w:val="40"/>
          <w:sz w:val="22"/>
        </w:rPr>
        <w:t> </w:t>
      </w:r>
      <w:r>
        <w:rPr>
          <w:i/>
          <w:sz w:val="22"/>
        </w:rPr>
        <w:t>Br</w:t>
      </w:r>
      <w:r>
        <w:rPr>
          <w:i/>
          <w:spacing w:val="40"/>
          <w:sz w:val="22"/>
        </w:rPr>
        <w:t> </w:t>
      </w:r>
      <w:r>
        <w:rPr>
          <w:i/>
          <w:sz w:val="22"/>
        </w:rPr>
        <w:t>Med</w:t>
      </w:r>
      <w:r>
        <w:rPr>
          <w:i/>
          <w:spacing w:val="40"/>
          <w:sz w:val="22"/>
        </w:rPr>
        <w:t> </w:t>
      </w:r>
      <w:r>
        <w:rPr>
          <w:i/>
          <w:sz w:val="22"/>
        </w:rPr>
        <w:t>J</w:t>
      </w:r>
      <w:r>
        <w:rPr>
          <w:sz w:val="22"/>
        </w:rPr>
        <w:t>. </w:t>
      </w:r>
      <w:r>
        <w:rPr>
          <w:spacing w:val="-2"/>
          <w:sz w:val="22"/>
        </w:rPr>
        <w:t>2008;336:813.</w:t>
      </w:r>
    </w:p>
    <w:p>
      <w:pPr>
        <w:pStyle w:val="ListParagraph"/>
        <w:numPr>
          <w:ilvl w:val="0"/>
          <w:numId w:val="8"/>
        </w:numPr>
        <w:tabs>
          <w:tab w:pos="709" w:val="left" w:leader="none"/>
          <w:tab w:pos="718" w:val="left" w:leader="none"/>
        </w:tabs>
        <w:spacing w:line="256" w:lineRule="auto" w:before="0" w:after="0"/>
        <w:ind w:left="718" w:right="111" w:hanging="507"/>
        <w:jc w:val="both"/>
        <w:rPr>
          <w:sz w:val="22"/>
        </w:rPr>
      </w:pPr>
      <w:r>
        <w:rPr>
          <w:sz w:val="22"/>
        </w:rPr>
        <w:t>Abrahamsen B, Eiken P, Brixen K. Atrial fibrillation in fracture patients treated with oral bisphosphonates. </w:t>
      </w:r>
      <w:r>
        <w:rPr>
          <w:i/>
          <w:sz w:val="22"/>
        </w:rPr>
        <w:t>J Intern Med</w:t>
      </w:r>
      <w:r>
        <w:rPr>
          <w:sz w:val="22"/>
        </w:rPr>
        <w:t>. 2009;265:581.</w:t>
      </w:r>
    </w:p>
    <w:p>
      <w:pPr>
        <w:pStyle w:val="ListParagraph"/>
        <w:numPr>
          <w:ilvl w:val="0"/>
          <w:numId w:val="8"/>
        </w:numPr>
        <w:tabs>
          <w:tab w:pos="709" w:val="left" w:leader="none"/>
          <w:tab w:pos="718" w:val="left" w:leader="none"/>
        </w:tabs>
        <w:spacing w:line="256" w:lineRule="auto" w:before="0" w:after="0"/>
        <w:ind w:left="718" w:right="105" w:hanging="507"/>
        <w:jc w:val="both"/>
        <w:rPr>
          <w:sz w:val="22"/>
        </w:rPr>
      </w:pPr>
      <w:r>
        <w:rPr>
          <w:sz w:val="22"/>
        </w:rPr>
        <w:t>Bunch TJ, Anderson JL, May HT, et al. Relation of bisphosphonate therapies and risk of developing atrial fibrillation. </w:t>
      </w:r>
      <w:r>
        <w:rPr>
          <w:i/>
          <w:sz w:val="22"/>
        </w:rPr>
        <w:t>Am J Cardiol</w:t>
      </w:r>
      <w:r>
        <w:rPr>
          <w:sz w:val="22"/>
        </w:rPr>
        <w:t>. 2009;103:824.</w:t>
      </w:r>
    </w:p>
    <w:p>
      <w:pPr>
        <w:pStyle w:val="ListParagraph"/>
        <w:numPr>
          <w:ilvl w:val="0"/>
          <w:numId w:val="8"/>
        </w:numPr>
        <w:tabs>
          <w:tab w:pos="709" w:val="left" w:leader="none"/>
          <w:tab w:pos="718" w:val="left" w:leader="none"/>
        </w:tabs>
        <w:spacing w:line="256" w:lineRule="auto" w:before="0" w:after="0"/>
        <w:ind w:left="718" w:right="110" w:hanging="507"/>
        <w:jc w:val="both"/>
        <w:rPr>
          <w:sz w:val="22"/>
        </w:rPr>
      </w:pPr>
      <w:r>
        <w:rPr>
          <w:sz w:val="22"/>
        </w:rPr>
        <w:t>Huang W-F, Usai Y-W, Wen Y-W, Hsiao F-Y, Kuo KN, Tsai C-R. Osteoporosis treatment and atrial fibrillation: alendronate versus raloxifene. </w:t>
      </w:r>
      <w:r>
        <w:rPr>
          <w:i/>
          <w:sz w:val="22"/>
        </w:rPr>
        <w:t>Menopause</w:t>
      </w:r>
      <w:r>
        <w:rPr>
          <w:sz w:val="22"/>
        </w:rPr>
        <w:t>. 2010;17:57.</w:t>
      </w:r>
    </w:p>
    <w:p>
      <w:pPr>
        <w:pStyle w:val="ListParagraph"/>
        <w:numPr>
          <w:ilvl w:val="0"/>
          <w:numId w:val="8"/>
        </w:numPr>
        <w:tabs>
          <w:tab w:pos="709" w:val="left" w:leader="none"/>
          <w:tab w:pos="718" w:val="left" w:leader="none"/>
        </w:tabs>
        <w:spacing w:line="256" w:lineRule="auto" w:before="0" w:after="0"/>
        <w:ind w:left="718" w:right="110" w:hanging="507"/>
        <w:jc w:val="both"/>
        <w:rPr>
          <w:sz w:val="22"/>
        </w:rPr>
      </w:pPr>
      <w:r>
        <w:rPr>
          <w:sz w:val="22"/>
        </w:rPr>
        <w:t>Wysowski D. Reports of esophageal cancer with oral bisphosphonate use. </w:t>
      </w:r>
      <w:r>
        <w:rPr>
          <w:i/>
          <w:sz w:val="22"/>
        </w:rPr>
        <w:t>N Engl J </w:t>
      </w:r>
      <w:r>
        <w:rPr>
          <w:i/>
          <w:sz w:val="22"/>
        </w:rPr>
        <w:t>Med</w:t>
      </w:r>
      <w:r>
        <w:rPr>
          <w:sz w:val="22"/>
        </w:rPr>
        <w:t>. </w:t>
      </w:r>
      <w:r>
        <w:rPr>
          <w:spacing w:val="-2"/>
          <w:sz w:val="22"/>
        </w:rPr>
        <w:t>2009;360:89.</w:t>
      </w:r>
    </w:p>
    <w:p>
      <w:pPr>
        <w:pStyle w:val="ListParagraph"/>
        <w:spacing w:after="0" w:line="256" w:lineRule="auto"/>
        <w:jc w:val="both"/>
        <w:rPr>
          <w:sz w:val="22"/>
        </w:rPr>
        <w:sectPr>
          <w:pgSz w:w="12240" w:h="15840"/>
          <w:pgMar w:top="1360" w:bottom="280" w:left="1440" w:right="1440"/>
        </w:sectPr>
      </w:pPr>
    </w:p>
    <w:p>
      <w:pPr>
        <w:pStyle w:val="ListParagraph"/>
        <w:numPr>
          <w:ilvl w:val="0"/>
          <w:numId w:val="8"/>
        </w:numPr>
        <w:tabs>
          <w:tab w:pos="709" w:val="left" w:leader="none"/>
          <w:tab w:pos="718" w:val="left" w:leader="none"/>
        </w:tabs>
        <w:spacing w:line="256" w:lineRule="auto" w:before="84" w:after="0"/>
        <w:ind w:left="718" w:right="103" w:hanging="507"/>
        <w:jc w:val="both"/>
        <w:rPr>
          <w:sz w:val="22"/>
        </w:rPr>
      </w:pPr>
      <w:r>
        <w:rPr>
          <w:sz w:val="22"/>
        </w:rPr>
        <w:t>Solomon DH, Patrick A, Brookhart MA. More on reports of esophageal cancer with oral bisphosphonate use. </w:t>
      </w:r>
      <w:r>
        <w:rPr>
          <w:i/>
          <w:sz w:val="22"/>
        </w:rPr>
        <w:t>N Engl J Med</w:t>
      </w:r>
      <w:r>
        <w:rPr>
          <w:sz w:val="22"/>
        </w:rPr>
        <w:t>. 2009;360:1790.</w:t>
      </w:r>
    </w:p>
    <w:p>
      <w:pPr>
        <w:pStyle w:val="ListParagraph"/>
        <w:numPr>
          <w:ilvl w:val="0"/>
          <w:numId w:val="8"/>
        </w:numPr>
        <w:tabs>
          <w:tab w:pos="709" w:val="left" w:leader="none"/>
          <w:tab w:pos="718" w:val="left" w:leader="none"/>
        </w:tabs>
        <w:spacing w:line="256" w:lineRule="auto" w:before="0" w:after="0"/>
        <w:ind w:left="718" w:right="101" w:hanging="507"/>
        <w:jc w:val="both"/>
        <w:rPr>
          <w:sz w:val="22"/>
        </w:rPr>
      </w:pPr>
      <w:r>
        <w:rPr>
          <w:sz w:val="22"/>
        </w:rPr>
        <w:t>Abrahamsen B, Eiken P, Eastell R. More on reports of esophageal cancer with oral bisphosphonate use. </w:t>
      </w:r>
      <w:r>
        <w:rPr>
          <w:i/>
          <w:sz w:val="22"/>
        </w:rPr>
        <w:t>N Engl J Med</w:t>
      </w:r>
      <w:r>
        <w:rPr>
          <w:sz w:val="22"/>
        </w:rPr>
        <w:t>. 2009;360:1789.</w:t>
      </w:r>
    </w:p>
    <w:p>
      <w:pPr>
        <w:pStyle w:val="ListParagraph"/>
        <w:numPr>
          <w:ilvl w:val="0"/>
          <w:numId w:val="8"/>
        </w:numPr>
        <w:tabs>
          <w:tab w:pos="709" w:val="left" w:leader="none"/>
          <w:tab w:pos="718" w:val="left" w:leader="none"/>
        </w:tabs>
        <w:spacing w:line="256" w:lineRule="auto" w:before="0" w:after="0"/>
        <w:ind w:left="718" w:right="104" w:hanging="507"/>
        <w:jc w:val="both"/>
        <w:rPr>
          <w:sz w:val="22"/>
        </w:rPr>
      </w:pPr>
      <w:r>
        <w:rPr>
          <w:sz w:val="22"/>
        </w:rPr>
        <w:t>Wright E, Schofield PT, Molokhia M. Bisphosphonates and evidence for association </w:t>
      </w:r>
      <w:r>
        <w:rPr>
          <w:sz w:val="22"/>
        </w:rPr>
        <w:t>with esophageal and gastric cancer: a systematic review and meta-analysis. </w:t>
      </w:r>
      <w:r>
        <w:rPr>
          <w:i/>
          <w:sz w:val="22"/>
        </w:rPr>
        <w:t>Br Med J Open</w:t>
      </w:r>
      <w:r>
        <w:rPr>
          <w:sz w:val="22"/>
        </w:rPr>
        <w:t>. </w:t>
      </w:r>
      <w:r>
        <w:rPr>
          <w:spacing w:val="-2"/>
          <w:sz w:val="22"/>
        </w:rPr>
        <w:t>2015;5(12):e007133.</w:t>
      </w:r>
    </w:p>
    <w:p>
      <w:pPr>
        <w:pStyle w:val="ListParagraph"/>
        <w:numPr>
          <w:ilvl w:val="0"/>
          <w:numId w:val="8"/>
        </w:numPr>
        <w:tabs>
          <w:tab w:pos="709" w:val="left" w:leader="none"/>
          <w:tab w:pos="718" w:val="left" w:leader="none"/>
        </w:tabs>
        <w:spacing w:line="256" w:lineRule="auto" w:before="0" w:after="0"/>
        <w:ind w:left="718" w:right="99" w:hanging="507"/>
        <w:jc w:val="both"/>
        <w:rPr>
          <w:sz w:val="22"/>
        </w:rPr>
      </w:pPr>
      <w:r>
        <w:rPr>
          <w:sz w:val="22"/>
        </w:rPr>
        <w:t>Miller PD, Bolognese MA, Lewiecki EM, et al; AMG 162 Bone Loss Study Group. Effect of denosumab on bone density and turnover in postmenopausal women with low bone mass after long-term continued, discontinued, and restarting of therapy: a randomized blinded phase 2 clinical trial. </w:t>
      </w:r>
      <w:r>
        <w:rPr>
          <w:i/>
          <w:sz w:val="22"/>
        </w:rPr>
        <w:t>Bone</w:t>
      </w:r>
      <w:r>
        <w:rPr>
          <w:sz w:val="22"/>
        </w:rPr>
        <w:t>. 2008;43:222.</w:t>
      </w:r>
    </w:p>
    <w:p>
      <w:pPr>
        <w:pStyle w:val="ListParagraph"/>
        <w:numPr>
          <w:ilvl w:val="0"/>
          <w:numId w:val="8"/>
        </w:numPr>
        <w:tabs>
          <w:tab w:pos="709" w:val="left" w:leader="none"/>
          <w:tab w:pos="718" w:val="left" w:leader="none"/>
        </w:tabs>
        <w:spacing w:line="256" w:lineRule="auto" w:before="0" w:after="0"/>
        <w:ind w:left="718" w:right="106" w:hanging="507"/>
        <w:jc w:val="both"/>
        <w:rPr>
          <w:sz w:val="22"/>
        </w:rPr>
      </w:pPr>
      <w:r>
        <w:rPr>
          <w:sz w:val="22"/>
        </w:rPr>
        <w:t>Bone HG, Bolognese MA, Yuen CK, et al. Effects of denosumab on bone mineral density and bone turnover in postmenopausal women. </w:t>
      </w:r>
      <w:r>
        <w:rPr>
          <w:i/>
          <w:sz w:val="22"/>
        </w:rPr>
        <w:t>J Clin Endocrinol Metab</w:t>
      </w:r>
      <w:r>
        <w:rPr>
          <w:sz w:val="22"/>
        </w:rPr>
        <w:t>. 2008;93:2149.</w:t>
      </w:r>
    </w:p>
    <w:p>
      <w:pPr>
        <w:pStyle w:val="ListParagraph"/>
        <w:numPr>
          <w:ilvl w:val="0"/>
          <w:numId w:val="8"/>
        </w:numPr>
        <w:tabs>
          <w:tab w:pos="709" w:val="left" w:leader="none"/>
          <w:tab w:pos="718" w:val="left" w:leader="none"/>
        </w:tabs>
        <w:spacing w:line="256" w:lineRule="auto" w:before="0" w:after="0"/>
        <w:ind w:left="718" w:right="102" w:hanging="507"/>
        <w:jc w:val="both"/>
        <w:rPr>
          <w:sz w:val="22"/>
        </w:rPr>
      </w:pPr>
      <w:r>
        <w:rPr>
          <w:sz w:val="22"/>
        </w:rPr>
        <w:t>Cummings</w:t>
      </w:r>
      <w:r>
        <w:rPr>
          <w:spacing w:val="40"/>
          <w:sz w:val="22"/>
        </w:rPr>
        <w:t> </w:t>
      </w:r>
      <w:r>
        <w:rPr>
          <w:sz w:val="22"/>
        </w:rPr>
        <w:t>SR,</w:t>
      </w:r>
      <w:r>
        <w:rPr>
          <w:spacing w:val="40"/>
          <w:sz w:val="22"/>
        </w:rPr>
        <w:t> </w:t>
      </w:r>
      <w:r>
        <w:rPr>
          <w:sz w:val="22"/>
        </w:rPr>
        <w:t>San</w:t>
      </w:r>
      <w:r>
        <w:rPr>
          <w:spacing w:val="40"/>
          <w:sz w:val="22"/>
        </w:rPr>
        <w:t> </w:t>
      </w:r>
      <w:r>
        <w:rPr>
          <w:sz w:val="22"/>
        </w:rPr>
        <w:t>Martin</w:t>
      </w:r>
      <w:r>
        <w:rPr>
          <w:spacing w:val="40"/>
          <w:sz w:val="22"/>
        </w:rPr>
        <w:t> </w:t>
      </w:r>
      <w:r>
        <w:rPr>
          <w:sz w:val="22"/>
        </w:rPr>
        <w:t>J,</w:t>
      </w:r>
      <w:r>
        <w:rPr>
          <w:spacing w:val="40"/>
          <w:sz w:val="22"/>
        </w:rPr>
        <w:t> </w:t>
      </w:r>
      <w:r>
        <w:rPr>
          <w:sz w:val="22"/>
        </w:rPr>
        <w:t>McClung</w:t>
      </w:r>
      <w:r>
        <w:rPr>
          <w:spacing w:val="40"/>
          <w:sz w:val="22"/>
        </w:rPr>
        <w:t> </w:t>
      </w:r>
      <w:r>
        <w:rPr>
          <w:sz w:val="22"/>
        </w:rPr>
        <w:t>MR,</w:t>
      </w:r>
      <w:r>
        <w:rPr>
          <w:spacing w:val="40"/>
          <w:sz w:val="22"/>
        </w:rPr>
        <w:t> </w:t>
      </w:r>
      <w:r>
        <w:rPr>
          <w:sz w:val="22"/>
        </w:rPr>
        <w:t>et</w:t>
      </w:r>
      <w:r>
        <w:rPr>
          <w:spacing w:val="40"/>
          <w:sz w:val="22"/>
        </w:rPr>
        <w:t> </w:t>
      </w:r>
      <w:r>
        <w:rPr>
          <w:sz w:val="22"/>
        </w:rPr>
        <w:t>al;</w:t>
      </w:r>
      <w:r>
        <w:rPr>
          <w:spacing w:val="40"/>
          <w:sz w:val="22"/>
        </w:rPr>
        <w:t> </w:t>
      </w:r>
      <w:r>
        <w:rPr>
          <w:sz w:val="22"/>
        </w:rPr>
        <w:t>FREEDOM</w:t>
      </w:r>
      <w:r>
        <w:rPr>
          <w:spacing w:val="40"/>
          <w:sz w:val="22"/>
        </w:rPr>
        <w:t> </w:t>
      </w:r>
      <w:r>
        <w:rPr>
          <w:sz w:val="22"/>
        </w:rPr>
        <w:t>Trial.</w:t>
      </w:r>
      <w:r>
        <w:rPr>
          <w:spacing w:val="40"/>
          <w:sz w:val="22"/>
        </w:rPr>
        <w:t> </w:t>
      </w:r>
      <w:r>
        <w:rPr>
          <w:sz w:val="22"/>
        </w:rPr>
        <w:t>Denosumab</w:t>
      </w:r>
      <w:r>
        <w:rPr>
          <w:spacing w:val="40"/>
          <w:sz w:val="22"/>
        </w:rPr>
        <w:t> </w:t>
      </w:r>
      <w:r>
        <w:rPr>
          <w:sz w:val="22"/>
        </w:rPr>
        <w:t>for prevention of fractures in postmenopausal women with osteoporosis. </w:t>
      </w:r>
      <w:r>
        <w:rPr>
          <w:i/>
          <w:sz w:val="22"/>
        </w:rPr>
        <w:t>N Engl J Med</w:t>
      </w:r>
      <w:r>
        <w:rPr>
          <w:sz w:val="22"/>
        </w:rPr>
        <w:t>. </w:t>
      </w:r>
      <w:r>
        <w:rPr>
          <w:spacing w:val="-2"/>
          <w:sz w:val="22"/>
        </w:rPr>
        <w:t>2009;361:756.</w:t>
      </w:r>
    </w:p>
    <w:p>
      <w:pPr>
        <w:pStyle w:val="ListParagraph"/>
        <w:numPr>
          <w:ilvl w:val="0"/>
          <w:numId w:val="8"/>
        </w:numPr>
        <w:tabs>
          <w:tab w:pos="709" w:val="left" w:leader="none"/>
          <w:tab w:pos="718" w:val="left" w:leader="none"/>
        </w:tabs>
        <w:spacing w:line="256" w:lineRule="auto" w:before="0" w:after="0"/>
        <w:ind w:left="718" w:right="104" w:hanging="507"/>
        <w:jc w:val="both"/>
        <w:rPr>
          <w:sz w:val="22"/>
        </w:rPr>
      </w:pPr>
      <w:r>
        <w:rPr>
          <w:sz w:val="22"/>
        </w:rPr>
        <w:t>Brown</w:t>
      </w:r>
      <w:r>
        <w:rPr>
          <w:spacing w:val="25"/>
          <w:sz w:val="22"/>
        </w:rPr>
        <w:t> </w:t>
      </w:r>
      <w:r>
        <w:rPr>
          <w:sz w:val="22"/>
        </w:rPr>
        <w:t>JP,</w:t>
      </w:r>
      <w:r>
        <w:rPr>
          <w:spacing w:val="25"/>
          <w:sz w:val="22"/>
        </w:rPr>
        <w:t> </w:t>
      </w:r>
      <w:r>
        <w:rPr>
          <w:sz w:val="22"/>
        </w:rPr>
        <w:t>Prince</w:t>
      </w:r>
      <w:r>
        <w:rPr>
          <w:spacing w:val="25"/>
          <w:sz w:val="22"/>
        </w:rPr>
        <w:t> </w:t>
      </w:r>
      <w:r>
        <w:rPr>
          <w:sz w:val="22"/>
        </w:rPr>
        <w:t>RL,</w:t>
      </w:r>
      <w:r>
        <w:rPr>
          <w:spacing w:val="25"/>
          <w:sz w:val="22"/>
        </w:rPr>
        <w:t> </w:t>
      </w:r>
      <w:r>
        <w:rPr>
          <w:sz w:val="22"/>
        </w:rPr>
        <w:t>Deal</w:t>
      </w:r>
      <w:r>
        <w:rPr>
          <w:spacing w:val="25"/>
          <w:sz w:val="22"/>
        </w:rPr>
        <w:t> </w:t>
      </w:r>
      <w:r>
        <w:rPr>
          <w:sz w:val="22"/>
        </w:rPr>
        <w:t>C,</w:t>
      </w:r>
      <w:r>
        <w:rPr>
          <w:spacing w:val="25"/>
          <w:sz w:val="22"/>
        </w:rPr>
        <w:t> </w:t>
      </w:r>
      <w:r>
        <w:rPr>
          <w:sz w:val="22"/>
        </w:rPr>
        <w:t>et</w:t>
      </w:r>
      <w:r>
        <w:rPr>
          <w:spacing w:val="25"/>
          <w:sz w:val="22"/>
        </w:rPr>
        <w:t> </w:t>
      </w:r>
      <w:r>
        <w:rPr>
          <w:sz w:val="22"/>
        </w:rPr>
        <w:t>al.</w:t>
      </w:r>
      <w:r>
        <w:rPr>
          <w:spacing w:val="23"/>
          <w:sz w:val="22"/>
        </w:rPr>
        <w:t> </w:t>
      </w:r>
      <w:r>
        <w:rPr>
          <w:sz w:val="22"/>
        </w:rPr>
        <w:t>Comparison</w:t>
      </w:r>
      <w:r>
        <w:rPr>
          <w:spacing w:val="25"/>
          <w:sz w:val="22"/>
        </w:rPr>
        <w:t> </w:t>
      </w:r>
      <w:r>
        <w:rPr>
          <w:sz w:val="22"/>
        </w:rPr>
        <w:t>of</w:t>
      </w:r>
      <w:r>
        <w:rPr>
          <w:spacing w:val="25"/>
          <w:sz w:val="22"/>
        </w:rPr>
        <w:t> </w:t>
      </w:r>
      <w:r>
        <w:rPr>
          <w:sz w:val="22"/>
        </w:rPr>
        <w:t>the</w:t>
      </w:r>
      <w:r>
        <w:rPr>
          <w:spacing w:val="25"/>
          <w:sz w:val="22"/>
        </w:rPr>
        <w:t> </w:t>
      </w:r>
      <w:r>
        <w:rPr>
          <w:sz w:val="22"/>
        </w:rPr>
        <w:t>effect</w:t>
      </w:r>
      <w:r>
        <w:rPr>
          <w:spacing w:val="25"/>
          <w:sz w:val="22"/>
        </w:rPr>
        <w:t> </w:t>
      </w:r>
      <w:r>
        <w:rPr>
          <w:sz w:val="22"/>
        </w:rPr>
        <w:t>of</w:t>
      </w:r>
      <w:r>
        <w:rPr>
          <w:spacing w:val="25"/>
          <w:sz w:val="22"/>
        </w:rPr>
        <w:t> </w:t>
      </w:r>
      <w:r>
        <w:rPr>
          <w:sz w:val="22"/>
        </w:rPr>
        <w:t>denosumab</w:t>
      </w:r>
      <w:r>
        <w:rPr>
          <w:spacing w:val="25"/>
          <w:sz w:val="22"/>
        </w:rPr>
        <w:t> </w:t>
      </w:r>
      <w:r>
        <w:rPr>
          <w:sz w:val="22"/>
        </w:rPr>
        <w:t>and</w:t>
      </w:r>
      <w:r>
        <w:rPr>
          <w:spacing w:val="25"/>
          <w:sz w:val="22"/>
        </w:rPr>
        <w:t> </w:t>
      </w:r>
      <w:r>
        <w:rPr>
          <w:sz w:val="22"/>
        </w:rPr>
        <w:t>alendronate on BMD and biochemical markers of bone turnover in postmenopausal women with low bone mass: a randomized, blinded phase 3 trial. </w:t>
      </w:r>
      <w:r>
        <w:rPr>
          <w:i/>
          <w:sz w:val="22"/>
        </w:rPr>
        <w:t>J Bone Miner Res</w:t>
      </w:r>
      <w:r>
        <w:rPr>
          <w:sz w:val="22"/>
        </w:rPr>
        <w:t>. 2009;24:153.</w:t>
      </w:r>
    </w:p>
    <w:p>
      <w:pPr>
        <w:pStyle w:val="ListParagraph"/>
        <w:numPr>
          <w:ilvl w:val="0"/>
          <w:numId w:val="8"/>
        </w:numPr>
        <w:tabs>
          <w:tab w:pos="709" w:val="left" w:leader="none"/>
          <w:tab w:pos="718" w:val="left" w:leader="none"/>
        </w:tabs>
        <w:spacing w:line="256" w:lineRule="auto" w:before="0" w:after="0"/>
        <w:ind w:left="718" w:right="100" w:hanging="507"/>
        <w:jc w:val="both"/>
        <w:rPr>
          <w:sz w:val="22"/>
        </w:rPr>
      </w:pPr>
      <w:r>
        <w:rPr>
          <w:sz w:val="22"/>
        </w:rPr>
        <w:t>Bone</w:t>
      </w:r>
      <w:r>
        <w:rPr>
          <w:spacing w:val="40"/>
          <w:sz w:val="22"/>
        </w:rPr>
        <w:t> </w:t>
      </w:r>
      <w:r>
        <w:rPr>
          <w:sz w:val="22"/>
        </w:rPr>
        <w:t>HG,</w:t>
      </w:r>
      <w:r>
        <w:rPr>
          <w:spacing w:val="40"/>
          <w:sz w:val="22"/>
        </w:rPr>
        <w:t> </w:t>
      </w:r>
      <w:r>
        <w:rPr>
          <w:sz w:val="22"/>
        </w:rPr>
        <w:t>Wagman</w:t>
      </w:r>
      <w:r>
        <w:rPr>
          <w:spacing w:val="40"/>
          <w:sz w:val="22"/>
        </w:rPr>
        <w:t> </w:t>
      </w:r>
      <w:r>
        <w:rPr>
          <w:sz w:val="22"/>
        </w:rPr>
        <w:t>RB,</w:t>
      </w:r>
      <w:r>
        <w:rPr>
          <w:spacing w:val="40"/>
          <w:sz w:val="22"/>
        </w:rPr>
        <w:t> </w:t>
      </w:r>
      <w:r>
        <w:rPr>
          <w:sz w:val="22"/>
        </w:rPr>
        <w:t>Brandi</w:t>
      </w:r>
      <w:r>
        <w:rPr>
          <w:spacing w:val="40"/>
          <w:sz w:val="22"/>
        </w:rPr>
        <w:t> </w:t>
      </w:r>
      <w:r>
        <w:rPr>
          <w:sz w:val="22"/>
        </w:rPr>
        <w:t>ML,</w:t>
      </w:r>
      <w:r>
        <w:rPr>
          <w:spacing w:val="40"/>
          <w:sz w:val="22"/>
        </w:rPr>
        <w:t> </w:t>
      </w:r>
      <w:r>
        <w:rPr>
          <w:sz w:val="22"/>
        </w:rPr>
        <w:t>et</w:t>
      </w:r>
      <w:r>
        <w:rPr>
          <w:spacing w:val="40"/>
          <w:sz w:val="22"/>
        </w:rPr>
        <w:t> </w:t>
      </w:r>
      <w:r>
        <w:rPr>
          <w:sz w:val="22"/>
        </w:rPr>
        <w:t>al.</w:t>
      </w:r>
      <w:r>
        <w:rPr>
          <w:spacing w:val="40"/>
          <w:sz w:val="22"/>
        </w:rPr>
        <w:t> </w:t>
      </w:r>
      <w:r>
        <w:rPr>
          <w:sz w:val="22"/>
        </w:rPr>
        <w:t>10</w:t>
      </w:r>
      <w:r>
        <w:rPr>
          <w:spacing w:val="40"/>
          <w:sz w:val="22"/>
        </w:rPr>
        <w:t> </w:t>
      </w:r>
      <w:r>
        <w:rPr>
          <w:sz w:val="22"/>
        </w:rPr>
        <w:t>years</w:t>
      </w:r>
      <w:r>
        <w:rPr>
          <w:spacing w:val="40"/>
          <w:sz w:val="22"/>
        </w:rPr>
        <w:t> </w:t>
      </w:r>
      <w:r>
        <w:rPr>
          <w:sz w:val="22"/>
        </w:rPr>
        <w:t>of</w:t>
      </w:r>
      <w:r>
        <w:rPr>
          <w:spacing w:val="40"/>
          <w:sz w:val="22"/>
        </w:rPr>
        <w:t> </w:t>
      </w:r>
      <w:r>
        <w:rPr>
          <w:sz w:val="22"/>
        </w:rPr>
        <w:t>denosumab</w:t>
      </w:r>
      <w:r>
        <w:rPr>
          <w:spacing w:val="40"/>
          <w:sz w:val="22"/>
        </w:rPr>
        <w:t> </w:t>
      </w:r>
      <w:r>
        <w:rPr>
          <w:sz w:val="22"/>
        </w:rPr>
        <w:t>treatment</w:t>
      </w:r>
      <w:r>
        <w:rPr>
          <w:spacing w:val="40"/>
          <w:sz w:val="22"/>
        </w:rPr>
        <w:t> </w:t>
      </w:r>
      <w:r>
        <w:rPr>
          <w:sz w:val="22"/>
        </w:rPr>
        <w:t>in postmenopausal women with osteoporosis: results from the phase 3 randomised FREEDOM</w:t>
      </w:r>
      <w:r>
        <w:rPr>
          <w:spacing w:val="80"/>
          <w:sz w:val="22"/>
        </w:rPr>
        <w:t> </w:t>
      </w:r>
      <w:r>
        <w:rPr>
          <w:sz w:val="22"/>
        </w:rPr>
        <w:t>trial and open-label extension. </w:t>
      </w:r>
      <w:r>
        <w:rPr>
          <w:i/>
          <w:sz w:val="22"/>
        </w:rPr>
        <w:t>Lancet Diabetes Endocrinol</w:t>
      </w:r>
      <w:r>
        <w:rPr>
          <w:sz w:val="22"/>
        </w:rPr>
        <w:t>. 2017;5(7):513.</w:t>
      </w:r>
    </w:p>
    <w:p>
      <w:pPr>
        <w:pStyle w:val="ListParagraph"/>
        <w:numPr>
          <w:ilvl w:val="0"/>
          <w:numId w:val="8"/>
        </w:numPr>
        <w:tabs>
          <w:tab w:pos="709" w:val="left" w:leader="none"/>
          <w:tab w:pos="718" w:val="left" w:leader="none"/>
        </w:tabs>
        <w:spacing w:line="256" w:lineRule="auto" w:before="0" w:after="0"/>
        <w:ind w:left="718" w:right="107" w:hanging="507"/>
        <w:jc w:val="both"/>
        <w:rPr>
          <w:sz w:val="22"/>
        </w:rPr>
      </w:pPr>
      <w:r>
        <w:rPr>
          <w:sz w:val="22"/>
        </w:rPr>
        <w:t>Amgen Manufacturing Limited. Prolia (denosumab) injection, for subcutaneous use: </w:t>
      </w:r>
      <w:r>
        <w:rPr>
          <w:sz w:val="22"/>
        </w:rPr>
        <w:t>US prescribing information 2017. </w:t>
      </w:r>
      <w:hyperlink r:id="rId22">
        <w:r>
          <w:rPr>
            <w:sz w:val="22"/>
          </w:rPr>
          <w:t>http://pi.amgen.com/united_states/prolia/prolia_pi.pdf</w:t>
        </w:r>
      </w:hyperlink>
    </w:p>
    <w:p>
      <w:pPr>
        <w:pStyle w:val="ListParagraph"/>
        <w:numPr>
          <w:ilvl w:val="0"/>
          <w:numId w:val="8"/>
        </w:numPr>
        <w:tabs>
          <w:tab w:pos="709" w:val="left" w:leader="none"/>
          <w:tab w:pos="718" w:val="left" w:leader="none"/>
        </w:tabs>
        <w:spacing w:line="256" w:lineRule="auto" w:before="0" w:after="0"/>
        <w:ind w:left="718" w:right="104" w:hanging="507"/>
        <w:jc w:val="both"/>
        <w:rPr>
          <w:sz w:val="22"/>
        </w:rPr>
      </w:pPr>
      <w:r>
        <w:rPr>
          <w:sz w:val="22"/>
        </w:rPr>
        <w:t>Chesnut CH III, Silverman S, Andriano K, et al; PROOF Study Group. A randomized trial </w:t>
      </w:r>
      <w:r>
        <w:rPr>
          <w:sz w:val="22"/>
        </w:rPr>
        <w:t>of nasal spray salmon calcitonin in postmenopausal women with established osteoporosis: the prevent recurrence of osteoporotic fractures study. </w:t>
      </w:r>
      <w:r>
        <w:rPr>
          <w:i/>
          <w:sz w:val="22"/>
        </w:rPr>
        <w:t>Am J Med</w:t>
      </w:r>
      <w:r>
        <w:rPr>
          <w:sz w:val="22"/>
        </w:rPr>
        <w:t>. 2000;109:267.</w:t>
      </w:r>
    </w:p>
    <w:p>
      <w:pPr>
        <w:pStyle w:val="ListParagraph"/>
        <w:numPr>
          <w:ilvl w:val="0"/>
          <w:numId w:val="8"/>
        </w:numPr>
        <w:tabs>
          <w:tab w:pos="709" w:val="left" w:leader="none"/>
          <w:tab w:pos="718" w:val="left" w:leader="none"/>
        </w:tabs>
        <w:spacing w:line="256" w:lineRule="auto" w:before="0" w:after="0"/>
        <w:ind w:left="718" w:right="100" w:hanging="507"/>
        <w:jc w:val="both"/>
        <w:rPr>
          <w:sz w:val="22"/>
        </w:rPr>
      </w:pPr>
      <w:r>
        <w:rPr>
          <w:sz w:val="22"/>
        </w:rPr>
        <w:t>Ito A, Yoshimura M. Mechanisms of the analgesic effect of calcitonin on chronic pain by alteration of receptor or channel expression. </w:t>
      </w:r>
      <w:r>
        <w:rPr>
          <w:i/>
          <w:sz w:val="22"/>
        </w:rPr>
        <w:t>Mol Pain</w:t>
      </w:r>
      <w:r>
        <w:rPr>
          <w:sz w:val="22"/>
        </w:rPr>
        <w:t>. 2017;13:174.</w:t>
      </w:r>
    </w:p>
    <w:p>
      <w:pPr>
        <w:pStyle w:val="ListParagraph"/>
        <w:numPr>
          <w:ilvl w:val="0"/>
          <w:numId w:val="8"/>
        </w:numPr>
        <w:tabs>
          <w:tab w:pos="709" w:val="left" w:leader="none"/>
          <w:tab w:pos="718" w:val="left" w:leader="none"/>
        </w:tabs>
        <w:spacing w:line="256" w:lineRule="auto" w:before="0" w:after="0"/>
        <w:ind w:left="718" w:right="103" w:hanging="507"/>
        <w:jc w:val="both"/>
        <w:rPr>
          <w:sz w:val="22"/>
        </w:rPr>
      </w:pPr>
      <w:r>
        <w:rPr>
          <w:sz w:val="22"/>
        </w:rPr>
        <w:t>Pak CY, Sakhaee K, Adams-Huet B, Piziak V, Peterson RD, Poindexter JR. Treatment of postmenopausal osteoporosis with slow-release sodium fluoride: final update of a randomized controlled trial. </w:t>
      </w:r>
      <w:r>
        <w:rPr>
          <w:i/>
          <w:sz w:val="22"/>
        </w:rPr>
        <w:t>Ann Intern Med</w:t>
      </w:r>
      <w:r>
        <w:rPr>
          <w:sz w:val="22"/>
        </w:rPr>
        <w:t>. 1995;123:401.</w:t>
      </w:r>
    </w:p>
    <w:p>
      <w:pPr>
        <w:pStyle w:val="ListParagraph"/>
        <w:numPr>
          <w:ilvl w:val="0"/>
          <w:numId w:val="8"/>
        </w:numPr>
        <w:tabs>
          <w:tab w:pos="710" w:val="left" w:leader="none"/>
        </w:tabs>
        <w:spacing w:line="251" w:lineRule="exact" w:before="0" w:after="0"/>
        <w:ind w:left="710" w:right="0" w:hanging="498"/>
        <w:jc w:val="both"/>
        <w:rPr>
          <w:sz w:val="22"/>
        </w:rPr>
      </w:pPr>
      <w:r>
        <w:rPr>
          <w:sz w:val="22"/>
        </w:rPr>
        <w:t>Pak</w:t>
      </w:r>
      <w:r>
        <w:rPr>
          <w:spacing w:val="30"/>
          <w:sz w:val="22"/>
        </w:rPr>
        <w:t> </w:t>
      </w:r>
      <w:r>
        <w:rPr>
          <w:sz w:val="22"/>
        </w:rPr>
        <w:t>CYC,</w:t>
      </w:r>
      <w:r>
        <w:rPr>
          <w:spacing w:val="31"/>
          <w:sz w:val="22"/>
        </w:rPr>
        <w:t> </w:t>
      </w:r>
      <w:r>
        <w:rPr>
          <w:sz w:val="22"/>
        </w:rPr>
        <w:t>Sakhaee</w:t>
      </w:r>
      <w:r>
        <w:rPr>
          <w:spacing w:val="31"/>
          <w:sz w:val="22"/>
        </w:rPr>
        <w:t> </w:t>
      </w:r>
      <w:r>
        <w:rPr>
          <w:sz w:val="22"/>
        </w:rPr>
        <w:t>K,</w:t>
      </w:r>
      <w:r>
        <w:rPr>
          <w:spacing w:val="31"/>
          <w:sz w:val="22"/>
        </w:rPr>
        <w:t> </w:t>
      </w:r>
      <w:r>
        <w:rPr>
          <w:sz w:val="22"/>
        </w:rPr>
        <w:t>Rubin</w:t>
      </w:r>
      <w:r>
        <w:rPr>
          <w:spacing w:val="31"/>
          <w:sz w:val="22"/>
        </w:rPr>
        <w:t> </w:t>
      </w:r>
      <w:r>
        <w:rPr>
          <w:sz w:val="22"/>
        </w:rPr>
        <w:t>C,</w:t>
      </w:r>
      <w:r>
        <w:rPr>
          <w:spacing w:val="31"/>
          <w:sz w:val="22"/>
        </w:rPr>
        <w:t> </w:t>
      </w:r>
      <w:r>
        <w:rPr>
          <w:sz w:val="22"/>
        </w:rPr>
        <w:t>Rao</w:t>
      </w:r>
      <w:r>
        <w:rPr>
          <w:spacing w:val="31"/>
          <w:sz w:val="22"/>
        </w:rPr>
        <w:t> </w:t>
      </w:r>
      <w:r>
        <w:rPr>
          <w:sz w:val="22"/>
        </w:rPr>
        <w:t>S.</w:t>
      </w:r>
      <w:r>
        <w:rPr>
          <w:spacing w:val="31"/>
          <w:sz w:val="22"/>
        </w:rPr>
        <w:t> </w:t>
      </w:r>
      <w:r>
        <w:rPr>
          <w:sz w:val="22"/>
        </w:rPr>
        <w:t>Update</w:t>
      </w:r>
      <w:r>
        <w:rPr>
          <w:spacing w:val="34"/>
          <w:sz w:val="22"/>
        </w:rPr>
        <w:t> </w:t>
      </w:r>
      <w:r>
        <w:rPr>
          <w:sz w:val="22"/>
        </w:rPr>
        <w:t>of</w:t>
      </w:r>
      <w:r>
        <w:rPr>
          <w:spacing w:val="34"/>
          <w:sz w:val="22"/>
        </w:rPr>
        <w:t> </w:t>
      </w:r>
      <w:r>
        <w:rPr>
          <w:sz w:val="22"/>
        </w:rPr>
        <w:t>fluoride</w:t>
      </w:r>
      <w:r>
        <w:rPr>
          <w:spacing w:val="34"/>
          <w:sz w:val="22"/>
        </w:rPr>
        <w:t> </w:t>
      </w:r>
      <w:r>
        <w:rPr>
          <w:sz w:val="22"/>
        </w:rPr>
        <w:t>in</w:t>
      </w:r>
      <w:r>
        <w:rPr>
          <w:spacing w:val="34"/>
          <w:sz w:val="22"/>
        </w:rPr>
        <w:t> </w:t>
      </w:r>
      <w:r>
        <w:rPr>
          <w:sz w:val="22"/>
        </w:rPr>
        <w:t>the</w:t>
      </w:r>
      <w:r>
        <w:rPr>
          <w:spacing w:val="35"/>
          <w:sz w:val="22"/>
        </w:rPr>
        <w:t> </w:t>
      </w:r>
      <w:r>
        <w:rPr>
          <w:sz w:val="22"/>
        </w:rPr>
        <w:t>treatment</w:t>
      </w:r>
      <w:r>
        <w:rPr>
          <w:spacing w:val="34"/>
          <w:sz w:val="22"/>
        </w:rPr>
        <w:t> </w:t>
      </w:r>
      <w:r>
        <w:rPr>
          <w:sz w:val="22"/>
        </w:rPr>
        <w:t>of</w:t>
      </w:r>
      <w:r>
        <w:rPr>
          <w:spacing w:val="34"/>
          <w:sz w:val="22"/>
        </w:rPr>
        <w:t> </w:t>
      </w:r>
      <w:r>
        <w:rPr>
          <w:spacing w:val="-2"/>
          <w:sz w:val="22"/>
        </w:rPr>
        <w:t>osteoporosis.</w:t>
      </w:r>
    </w:p>
    <w:p>
      <w:pPr>
        <w:spacing w:before="0"/>
        <w:ind w:left="718" w:right="0" w:firstLine="0"/>
        <w:jc w:val="both"/>
        <w:rPr>
          <w:sz w:val="22"/>
        </w:rPr>
      </w:pPr>
      <w:r>
        <w:rPr>
          <w:i/>
          <w:sz w:val="22"/>
        </w:rPr>
        <w:t>Endocrinologist</w:t>
      </w:r>
      <w:r>
        <w:rPr>
          <w:sz w:val="22"/>
        </w:rPr>
        <w:t>.</w:t>
      </w:r>
      <w:r>
        <w:rPr>
          <w:spacing w:val="29"/>
          <w:sz w:val="22"/>
        </w:rPr>
        <w:t> </w:t>
      </w:r>
      <w:r>
        <w:rPr>
          <w:spacing w:val="-2"/>
          <w:sz w:val="22"/>
        </w:rPr>
        <w:t>1998;8:15.</w:t>
      </w:r>
    </w:p>
    <w:p>
      <w:pPr>
        <w:pStyle w:val="ListParagraph"/>
        <w:numPr>
          <w:ilvl w:val="0"/>
          <w:numId w:val="8"/>
        </w:numPr>
        <w:tabs>
          <w:tab w:pos="709" w:val="left" w:leader="none"/>
          <w:tab w:pos="718" w:val="left" w:leader="none"/>
        </w:tabs>
        <w:spacing w:line="256" w:lineRule="auto" w:before="15" w:after="0"/>
        <w:ind w:left="718" w:right="103" w:hanging="507"/>
        <w:jc w:val="both"/>
        <w:rPr>
          <w:sz w:val="22"/>
        </w:rPr>
      </w:pPr>
      <w:r>
        <w:rPr>
          <w:sz w:val="22"/>
        </w:rPr>
        <w:t>Meunier PJ, Roux C, Ortolani S, et al. Effects of long-term strontium ranelate treatment on vertebral fracture risk in postmenopausal women with osteoporosis. </w:t>
      </w:r>
      <w:r>
        <w:rPr>
          <w:i/>
          <w:sz w:val="22"/>
        </w:rPr>
        <w:t>Osteoporos </w:t>
      </w:r>
      <w:r>
        <w:rPr>
          <w:i/>
          <w:sz w:val="22"/>
        </w:rPr>
        <w:t>Int</w:t>
      </w:r>
      <w:r>
        <w:rPr>
          <w:sz w:val="22"/>
        </w:rPr>
        <w:t>. </w:t>
      </w:r>
      <w:r>
        <w:rPr>
          <w:spacing w:val="-2"/>
          <w:sz w:val="22"/>
        </w:rPr>
        <w:t>2009;20:1663.</w:t>
      </w:r>
    </w:p>
    <w:p>
      <w:pPr>
        <w:pStyle w:val="ListParagraph"/>
        <w:numPr>
          <w:ilvl w:val="0"/>
          <w:numId w:val="8"/>
        </w:numPr>
        <w:tabs>
          <w:tab w:pos="709" w:val="left" w:leader="none"/>
          <w:tab w:pos="718" w:val="left" w:leader="none"/>
        </w:tabs>
        <w:spacing w:line="256" w:lineRule="auto" w:before="0" w:after="0"/>
        <w:ind w:left="718" w:right="103" w:hanging="507"/>
        <w:jc w:val="both"/>
        <w:rPr>
          <w:sz w:val="22"/>
        </w:rPr>
      </w:pPr>
      <w:r>
        <w:rPr>
          <w:sz w:val="22"/>
        </w:rPr>
        <w:t>Reginster JY, Felsenberg D, Boonen S, et al. Effects of long-term strontium ranelate treatment on the risk of nonvertebral and vertebral fractures in postmenopausal osteoporosis: results of a five-year, randomized, placebo-controlled trial. </w:t>
      </w:r>
      <w:r>
        <w:rPr>
          <w:i/>
          <w:sz w:val="22"/>
        </w:rPr>
        <w:t>Arthritis Rheum</w:t>
      </w:r>
      <w:r>
        <w:rPr>
          <w:sz w:val="22"/>
        </w:rPr>
        <w:t>. 2009;58:1687.</w:t>
      </w:r>
    </w:p>
    <w:p>
      <w:pPr>
        <w:pStyle w:val="ListParagraph"/>
        <w:numPr>
          <w:ilvl w:val="0"/>
          <w:numId w:val="8"/>
        </w:numPr>
        <w:tabs>
          <w:tab w:pos="709" w:val="left" w:leader="none"/>
          <w:tab w:pos="718" w:val="left" w:leader="none"/>
        </w:tabs>
        <w:spacing w:line="256" w:lineRule="auto" w:before="0" w:after="0"/>
        <w:ind w:left="718" w:right="103" w:hanging="507"/>
        <w:jc w:val="both"/>
        <w:rPr>
          <w:sz w:val="22"/>
        </w:rPr>
      </w:pPr>
      <w:r>
        <w:rPr>
          <w:sz w:val="22"/>
        </w:rPr>
        <w:t>Deeks</w:t>
      </w:r>
      <w:r>
        <w:rPr>
          <w:spacing w:val="40"/>
          <w:sz w:val="22"/>
        </w:rPr>
        <w:t> </w:t>
      </w:r>
      <w:r>
        <w:rPr>
          <w:sz w:val="22"/>
        </w:rPr>
        <w:t>ED,</w:t>
      </w:r>
      <w:r>
        <w:rPr>
          <w:spacing w:val="40"/>
          <w:sz w:val="22"/>
        </w:rPr>
        <w:t> </w:t>
      </w:r>
      <w:r>
        <w:rPr>
          <w:sz w:val="22"/>
        </w:rPr>
        <w:t>Dhillon</w:t>
      </w:r>
      <w:r>
        <w:rPr>
          <w:spacing w:val="40"/>
          <w:sz w:val="22"/>
        </w:rPr>
        <w:t> </w:t>
      </w:r>
      <w:r>
        <w:rPr>
          <w:sz w:val="22"/>
        </w:rPr>
        <w:t>S.</w:t>
      </w:r>
      <w:r>
        <w:rPr>
          <w:spacing w:val="40"/>
          <w:sz w:val="22"/>
        </w:rPr>
        <w:t> </w:t>
      </w:r>
      <w:r>
        <w:rPr>
          <w:sz w:val="22"/>
        </w:rPr>
        <w:t>Strontium</w:t>
      </w:r>
      <w:r>
        <w:rPr>
          <w:spacing w:val="40"/>
          <w:sz w:val="22"/>
        </w:rPr>
        <w:t> </w:t>
      </w:r>
      <w:r>
        <w:rPr>
          <w:sz w:val="22"/>
        </w:rPr>
        <w:t>ranelate:</w:t>
      </w:r>
      <w:r>
        <w:rPr>
          <w:spacing w:val="40"/>
          <w:sz w:val="22"/>
        </w:rPr>
        <w:t> </w:t>
      </w:r>
      <w:r>
        <w:rPr>
          <w:sz w:val="22"/>
        </w:rPr>
        <w:t>a</w:t>
      </w:r>
      <w:r>
        <w:rPr>
          <w:spacing w:val="40"/>
          <w:sz w:val="22"/>
        </w:rPr>
        <w:t> </w:t>
      </w:r>
      <w:r>
        <w:rPr>
          <w:sz w:val="22"/>
        </w:rPr>
        <w:t>review</w:t>
      </w:r>
      <w:r>
        <w:rPr>
          <w:spacing w:val="40"/>
          <w:sz w:val="22"/>
        </w:rPr>
        <w:t> </w:t>
      </w:r>
      <w:r>
        <w:rPr>
          <w:sz w:val="22"/>
        </w:rPr>
        <w:t>of</w:t>
      </w:r>
      <w:r>
        <w:rPr>
          <w:spacing w:val="40"/>
          <w:sz w:val="22"/>
        </w:rPr>
        <w:t> </w:t>
      </w:r>
      <w:r>
        <w:rPr>
          <w:sz w:val="22"/>
        </w:rPr>
        <w:t>its</w:t>
      </w:r>
      <w:r>
        <w:rPr>
          <w:spacing w:val="40"/>
          <w:sz w:val="22"/>
        </w:rPr>
        <w:t> </w:t>
      </w:r>
      <w:r>
        <w:rPr>
          <w:sz w:val="22"/>
        </w:rPr>
        <w:t>use</w:t>
      </w:r>
      <w:r>
        <w:rPr>
          <w:spacing w:val="40"/>
          <w:sz w:val="22"/>
        </w:rPr>
        <w:t> </w:t>
      </w:r>
      <w:r>
        <w:rPr>
          <w:sz w:val="22"/>
        </w:rPr>
        <w:t>in</w:t>
      </w:r>
      <w:r>
        <w:rPr>
          <w:spacing w:val="40"/>
          <w:sz w:val="22"/>
        </w:rPr>
        <w:t> </w:t>
      </w:r>
      <w:r>
        <w:rPr>
          <w:sz w:val="22"/>
        </w:rPr>
        <w:t>the</w:t>
      </w:r>
      <w:r>
        <w:rPr>
          <w:spacing w:val="40"/>
          <w:sz w:val="22"/>
        </w:rPr>
        <w:t> </w:t>
      </w:r>
      <w:r>
        <w:rPr>
          <w:sz w:val="22"/>
        </w:rPr>
        <w:t>treatment</w:t>
      </w:r>
      <w:r>
        <w:rPr>
          <w:spacing w:val="40"/>
          <w:sz w:val="22"/>
        </w:rPr>
        <w:t> </w:t>
      </w:r>
      <w:r>
        <w:rPr>
          <w:sz w:val="22"/>
        </w:rPr>
        <w:t>of postmenopausal osteoporosis. </w:t>
      </w:r>
      <w:r>
        <w:rPr>
          <w:i/>
          <w:sz w:val="22"/>
        </w:rPr>
        <w:t>Drugs</w:t>
      </w:r>
      <w:r>
        <w:rPr>
          <w:sz w:val="22"/>
        </w:rPr>
        <w:t>. 2010;70(6):733.</w:t>
      </w:r>
    </w:p>
    <w:p>
      <w:pPr>
        <w:pStyle w:val="ListParagraph"/>
        <w:numPr>
          <w:ilvl w:val="0"/>
          <w:numId w:val="8"/>
        </w:numPr>
        <w:tabs>
          <w:tab w:pos="709" w:val="left" w:leader="none"/>
          <w:tab w:pos="718" w:val="left" w:leader="none"/>
        </w:tabs>
        <w:spacing w:line="256" w:lineRule="auto" w:before="0" w:after="0"/>
        <w:ind w:left="718" w:right="104" w:hanging="507"/>
        <w:jc w:val="both"/>
        <w:rPr>
          <w:sz w:val="22"/>
        </w:rPr>
      </w:pPr>
      <w:r>
        <w:rPr>
          <w:sz w:val="22"/>
        </w:rPr>
        <w:t>Castelo-Branco C, Vicente JJ, Figueras F, et al. Comparative effects of estrogens plus</w:t>
      </w:r>
      <w:r>
        <w:rPr>
          <w:spacing w:val="80"/>
          <w:sz w:val="22"/>
        </w:rPr>
        <w:t> </w:t>
      </w:r>
      <w:r>
        <w:rPr>
          <w:sz w:val="22"/>
        </w:rPr>
        <w:t>androgens and tibolone on bone, lipid pattern and sexuality in postmenopausal women. </w:t>
      </w:r>
      <w:r>
        <w:rPr>
          <w:i/>
          <w:sz w:val="22"/>
        </w:rPr>
        <w:t>Maturitas</w:t>
      </w:r>
      <w:r>
        <w:rPr>
          <w:sz w:val="22"/>
        </w:rPr>
        <w:t>. 2000;34:161.</w:t>
      </w:r>
    </w:p>
    <w:p>
      <w:pPr>
        <w:pStyle w:val="ListParagraph"/>
        <w:numPr>
          <w:ilvl w:val="0"/>
          <w:numId w:val="8"/>
        </w:numPr>
        <w:tabs>
          <w:tab w:pos="709" w:val="left" w:leader="none"/>
          <w:tab w:pos="718" w:val="left" w:leader="none"/>
        </w:tabs>
        <w:spacing w:line="256" w:lineRule="auto" w:before="0" w:after="0"/>
        <w:ind w:left="718" w:right="102" w:hanging="507"/>
        <w:jc w:val="both"/>
        <w:rPr>
          <w:sz w:val="22"/>
        </w:rPr>
      </w:pPr>
      <w:r>
        <w:rPr>
          <w:sz w:val="22"/>
        </w:rPr>
        <w:t>Gallagher JC, Baylink DJ, Freeman R, McClung M. Prevention of bone loss with tibolone </w:t>
      </w:r>
      <w:r>
        <w:rPr>
          <w:sz w:val="22"/>
        </w:rPr>
        <w:t>in postmenopausal women: results of two randomized double-blind, placebo-controlled, dose-finding studies. </w:t>
      </w:r>
      <w:r>
        <w:rPr>
          <w:i/>
          <w:sz w:val="22"/>
        </w:rPr>
        <w:t>J Clin Endocrinol Metab</w:t>
      </w:r>
      <w:r>
        <w:rPr>
          <w:sz w:val="22"/>
        </w:rPr>
        <w:t>. 2001;86:4717.</w:t>
      </w:r>
    </w:p>
    <w:p>
      <w:pPr>
        <w:pStyle w:val="ListParagraph"/>
        <w:spacing w:after="0" w:line="256" w:lineRule="auto"/>
        <w:jc w:val="both"/>
        <w:rPr>
          <w:sz w:val="22"/>
        </w:rPr>
        <w:sectPr>
          <w:pgSz w:w="12240" w:h="15840"/>
          <w:pgMar w:top="1360" w:bottom="280" w:left="1440" w:right="1440"/>
        </w:sectPr>
      </w:pPr>
    </w:p>
    <w:p>
      <w:pPr>
        <w:pStyle w:val="ListParagraph"/>
        <w:numPr>
          <w:ilvl w:val="0"/>
          <w:numId w:val="8"/>
        </w:numPr>
        <w:tabs>
          <w:tab w:pos="709" w:val="left" w:leader="none"/>
          <w:tab w:pos="718" w:val="left" w:leader="none"/>
        </w:tabs>
        <w:spacing w:line="256" w:lineRule="auto" w:before="84" w:after="0"/>
        <w:ind w:left="718" w:right="103" w:hanging="507"/>
        <w:jc w:val="both"/>
        <w:rPr>
          <w:sz w:val="22"/>
        </w:rPr>
      </w:pPr>
      <w:r>
        <w:rPr>
          <w:sz w:val="22"/>
        </w:rPr>
        <w:t>Berning</w:t>
      </w:r>
      <w:r>
        <w:rPr>
          <w:spacing w:val="22"/>
          <w:sz w:val="22"/>
        </w:rPr>
        <w:t> </w:t>
      </w:r>
      <w:r>
        <w:rPr>
          <w:sz w:val="22"/>
        </w:rPr>
        <w:t>B,</w:t>
      </w:r>
      <w:r>
        <w:rPr>
          <w:spacing w:val="22"/>
          <w:sz w:val="22"/>
        </w:rPr>
        <w:t> </w:t>
      </w:r>
      <w:r>
        <w:rPr>
          <w:sz w:val="22"/>
        </w:rPr>
        <w:t>Kuijk</w:t>
      </w:r>
      <w:r>
        <w:rPr>
          <w:spacing w:val="22"/>
          <w:sz w:val="22"/>
        </w:rPr>
        <w:t> </w:t>
      </w:r>
      <w:r>
        <w:rPr>
          <w:sz w:val="22"/>
        </w:rPr>
        <w:t>CV,</w:t>
      </w:r>
      <w:r>
        <w:rPr>
          <w:spacing w:val="22"/>
          <w:sz w:val="22"/>
        </w:rPr>
        <w:t> </w:t>
      </w:r>
      <w:r>
        <w:rPr>
          <w:sz w:val="22"/>
        </w:rPr>
        <w:t>Kuper</w:t>
      </w:r>
      <w:r>
        <w:rPr>
          <w:spacing w:val="22"/>
          <w:sz w:val="22"/>
        </w:rPr>
        <w:t> </w:t>
      </w:r>
      <w:r>
        <w:rPr>
          <w:sz w:val="22"/>
        </w:rPr>
        <w:t>JW,</w:t>
      </w:r>
      <w:r>
        <w:rPr>
          <w:spacing w:val="22"/>
          <w:sz w:val="22"/>
        </w:rPr>
        <w:t> </w:t>
      </w:r>
      <w:r>
        <w:rPr>
          <w:sz w:val="22"/>
        </w:rPr>
        <w:t>Bennink</w:t>
      </w:r>
      <w:r>
        <w:rPr>
          <w:spacing w:val="22"/>
          <w:sz w:val="22"/>
        </w:rPr>
        <w:t> </w:t>
      </w:r>
      <w:r>
        <w:rPr>
          <w:sz w:val="22"/>
        </w:rPr>
        <w:t>HJ,</w:t>
      </w:r>
      <w:r>
        <w:rPr>
          <w:spacing w:val="22"/>
          <w:sz w:val="22"/>
        </w:rPr>
        <w:t> </w:t>
      </w:r>
      <w:r>
        <w:rPr>
          <w:sz w:val="22"/>
        </w:rPr>
        <w:t>Kicovic</w:t>
      </w:r>
      <w:r>
        <w:rPr>
          <w:spacing w:val="22"/>
          <w:sz w:val="22"/>
        </w:rPr>
        <w:t> </w:t>
      </w:r>
      <w:r>
        <w:rPr>
          <w:sz w:val="22"/>
        </w:rPr>
        <w:t>PM,</w:t>
      </w:r>
      <w:r>
        <w:rPr>
          <w:spacing w:val="22"/>
          <w:sz w:val="22"/>
        </w:rPr>
        <w:t> </w:t>
      </w:r>
      <w:r>
        <w:rPr>
          <w:sz w:val="22"/>
        </w:rPr>
        <w:t>Fauser</w:t>
      </w:r>
      <w:r>
        <w:rPr>
          <w:spacing w:val="22"/>
          <w:sz w:val="22"/>
        </w:rPr>
        <w:t> </w:t>
      </w:r>
      <w:r>
        <w:rPr>
          <w:sz w:val="22"/>
        </w:rPr>
        <w:t>BC.</w:t>
      </w:r>
      <w:r>
        <w:rPr>
          <w:spacing w:val="22"/>
          <w:sz w:val="22"/>
        </w:rPr>
        <w:t> </w:t>
      </w:r>
      <w:r>
        <w:rPr>
          <w:sz w:val="22"/>
        </w:rPr>
        <w:t>Effects</w:t>
      </w:r>
      <w:r>
        <w:rPr>
          <w:spacing w:val="21"/>
          <w:sz w:val="22"/>
        </w:rPr>
        <w:t> </w:t>
      </w:r>
      <w:r>
        <w:rPr>
          <w:sz w:val="22"/>
        </w:rPr>
        <w:t>of</w:t>
      </w:r>
      <w:r>
        <w:rPr>
          <w:spacing w:val="21"/>
          <w:sz w:val="22"/>
        </w:rPr>
        <w:t> </w:t>
      </w:r>
      <w:r>
        <w:rPr>
          <w:sz w:val="22"/>
        </w:rPr>
        <w:t>two</w:t>
      </w:r>
      <w:r>
        <w:rPr>
          <w:spacing w:val="21"/>
          <w:sz w:val="22"/>
        </w:rPr>
        <w:t> </w:t>
      </w:r>
      <w:r>
        <w:rPr>
          <w:sz w:val="22"/>
        </w:rPr>
        <w:t>doses of tibolone on trabecular and cortical bone loss in early postmenopausal women: a two-</w:t>
      </w:r>
      <w:r>
        <w:rPr>
          <w:sz w:val="22"/>
        </w:rPr>
        <w:t>year randomized placebo-controlled study. </w:t>
      </w:r>
      <w:r>
        <w:rPr>
          <w:i/>
          <w:sz w:val="22"/>
        </w:rPr>
        <w:t>Bone</w:t>
      </w:r>
      <w:r>
        <w:rPr>
          <w:sz w:val="22"/>
        </w:rPr>
        <w:t>. 1996;19:395.</w:t>
      </w:r>
    </w:p>
    <w:p>
      <w:pPr>
        <w:pStyle w:val="ListParagraph"/>
        <w:numPr>
          <w:ilvl w:val="0"/>
          <w:numId w:val="8"/>
        </w:numPr>
        <w:tabs>
          <w:tab w:pos="709" w:val="left" w:leader="none"/>
          <w:tab w:pos="718" w:val="left" w:leader="none"/>
        </w:tabs>
        <w:spacing w:line="256" w:lineRule="auto" w:before="0" w:after="0"/>
        <w:ind w:left="718" w:right="108" w:hanging="507"/>
        <w:jc w:val="both"/>
        <w:rPr>
          <w:sz w:val="22"/>
        </w:rPr>
      </w:pPr>
      <w:r>
        <w:rPr>
          <w:sz w:val="22"/>
        </w:rPr>
        <w:t>Lippuner K, Haenggi W, Birkhaeuser MH, Casez J-P, Jaeger P. Prevention of </w:t>
      </w:r>
      <w:r>
        <w:rPr>
          <w:sz w:val="22"/>
        </w:rPr>
        <w:t>postmenopausal bone loss using tibolone or conventional peroral or transdermal hormone replacement therapy with 17beta-estradiol and dydrogesterone. </w:t>
      </w:r>
      <w:r>
        <w:rPr>
          <w:i/>
          <w:sz w:val="22"/>
        </w:rPr>
        <w:t>J Bone Miner Res</w:t>
      </w:r>
      <w:r>
        <w:rPr>
          <w:sz w:val="22"/>
        </w:rPr>
        <w:t>. 1997;12:806.</w:t>
      </w:r>
    </w:p>
    <w:p>
      <w:pPr>
        <w:pStyle w:val="ListParagraph"/>
        <w:numPr>
          <w:ilvl w:val="0"/>
          <w:numId w:val="8"/>
        </w:numPr>
        <w:tabs>
          <w:tab w:pos="709" w:val="left" w:leader="none"/>
          <w:tab w:pos="718" w:val="left" w:leader="none"/>
        </w:tabs>
        <w:spacing w:line="256" w:lineRule="auto" w:before="0" w:after="0"/>
        <w:ind w:left="718" w:right="105" w:hanging="507"/>
        <w:jc w:val="both"/>
        <w:rPr>
          <w:sz w:val="22"/>
        </w:rPr>
      </w:pPr>
      <w:r>
        <w:rPr>
          <w:sz w:val="22"/>
        </w:rPr>
        <w:t>Studd J, Arnala I, Kicovic PM, Zamblera D, Kröger H, Holland N. A randomized study of tibolone on bone mineral density in osteoporotic postmenopausal women with </w:t>
      </w:r>
      <w:r>
        <w:rPr>
          <w:sz w:val="22"/>
        </w:rPr>
        <w:t>previous fractures. </w:t>
      </w:r>
      <w:r>
        <w:rPr>
          <w:i/>
          <w:sz w:val="22"/>
        </w:rPr>
        <w:t>Obstet Gynecol</w:t>
      </w:r>
      <w:r>
        <w:rPr>
          <w:sz w:val="22"/>
        </w:rPr>
        <w:t>. 1998;92:574.</w:t>
      </w:r>
    </w:p>
    <w:p>
      <w:pPr>
        <w:pStyle w:val="ListParagraph"/>
        <w:numPr>
          <w:ilvl w:val="0"/>
          <w:numId w:val="8"/>
        </w:numPr>
        <w:tabs>
          <w:tab w:pos="709" w:val="left" w:leader="none"/>
          <w:tab w:pos="718" w:val="left" w:leader="none"/>
        </w:tabs>
        <w:spacing w:line="256" w:lineRule="auto" w:before="0" w:after="0"/>
        <w:ind w:left="718" w:right="102" w:hanging="507"/>
        <w:jc w:val="both"/>
        <w:rPr>
          <w:sz w:val="22"/>
        </w:rPr>
      </w:pPr>
      <w:r>
        <w:rPr>
          <w:sz w:val="22"/>
        </w:rPr>
        <w:t>Milner</w:t>
      </w:r>
      <w:r>
        <w:rPr>
          <w:spacing w:val="40"/>
          <w:sz w:val="22"/>
        </w:rPr>
        <w:t> </w:t>
      </w:r>
      <w:r>
        <w:rPr>
          <w:sz w:val="22"/>
        </w:rPr>
        <w:t>M,</w:t>
      </w:r>
      <w:r>
        <w:rPr>
          <w:spacing w:val="40"/>
          <w:sz w:val="22"/>
        </w:rPr>
        <w:t> </w:t>
      </w:r>
      <w:r>
        <w:rPr>
          <w:sz w:val="22"/>
        </w:rPr>
        <w:t>Harrison</w:t>
      </w:r>
      <w:r>
        <w:rPr>
          <w:spacing w:val="40"/>
          <w:sz w:val="22"/>
        </w:rPr>
        <w:t> </w:t>
      </w:r>
      <w:r>
        <w:rPr>
          <w:sz w:val="22"/>
        </w:rPr>
        <w:t>RF,</w:t>
      </w:r>
      <w:r>
        <w:rPr>
          <w:spacing w:val="40"/>
          <w:sz w:val="22"/>
        </w:rPr>
        <w:t> </w:t>
      </w:r>
      <w:r>
        <w:rPr>
          <w:sz w:val="22"/>
        </w:rPr>
        <w:t>Gilligan</w:t>
      </w:r>
      <w:r>
        <w:rPr>
          <w:spacing w:val="40"/>
          <w:sz w:val="22"/>
        </w:rPr>
        <w:t> </w:t>
      </w:r>
      <w:r>
        <w:rPr>
          <w:sz w:val="22"/>
        </w:rPr>
        <w:t>E,</w:t>
      </w:r>
      <w:r>
        <w:rPr>
          <w:spacing w:val="40"/>
          <w:sz w:val="22"/>
        </w:rPr>
        <w:t> </w:t>
      </w:r>
      <w:r>
        <w:rPr>
          <w:sz w:val="22"/>
        </w:rPr>
        <w:t>Kelly</w:t>
      </w:r>
      <w:r>
        <w:rPr>
          <w:spacing w:val="40"/>
          <w:sz w:val="22"/>
        </w:rPr>
        <w:t> </w:t>
      </w:r>
      <w:r>
        <w:rPr>
          <w:sz w:val="22"/>
        </w:rPr>
        <w:t>A.</w:t>
      </w:r>
      <w:r>
        <w:rPr>
          <w:spacing w:val="40"/>
          <w:sz w:val="22"/>
        </w:rPr>
        <w:t> </w:t>
      </w:r>
      <w:r>
        <w:rPr>
          <w:sz w:val="22"/>
        </w:rPr>
        <w:t>Bone</w:t>
      </w:r>
      <w:r>
        <w:rPr>
          <w:spacing w:val="40"/>
          <w:sz w:val="22"/>
        </w:rPr>
        <w:t> </w:t>
      </w:r>
      <w:r>
        <w:rPr>
          <w:sz w:val="22"/>
        </w:rPr>
        <w:t>density</w:t>
      </w:r>
      <w:r>
        <w:rPr>
          <w:spacing w:val="40"/>
          <w:sz w:val="22"/>
        </w:rPr>
        <w:t> </w:t>
      </w:r>
      <w:r>
        <w:rPr>
          <w:sz w:val="22"/>
        </w:rPr>
        <w:t>changes</w:t>
      </w:r>
      <w:r>
        <w:rPr>
          <w:spacing w:val="40"/>
          <w:sz w:val="22"/>
        </w:rPr>
        <w:t> </w:t>
      </w:r>
      <w:r>
        <w:rPr>
          <w:sz w:val="22"/>
        </w:rPr>
        <w:t>during</w:t>
      </w:r>
      <w:r>
        <w:rPr>
          <w:spacing w:val="40"/>
          <w:sz w:val="22"/>
        </w:rPr>
        <w:t> </w:t>
      </w:r>
      <w:r>
        <w:rPr>
          <w:sz w:val="22"/>
        </w:rPr>
        <w:t>two</w:t>
      </w:r>
      <w:r>
        <w:rPr>
          <w:spacing w:val="40"/>
          <w:sz w:val="22"/>
        </w:rPr>
        <w:t> </w:t>
      </w:r>
      <w:r>
        <w:rPr>
          <w:sz w:val="22"/>
        </w:rPr>
        <w:t>years’ treatment with tibolone or conjugated estrogens and norgestrel, compared with untreated</w:t>
      </w:r>
      <w:r>
        <w:rPr>
          <w:spacing w:val="40"/>
          <w:sz w:val="22"/>
        </w:rPr>
        <w:t> </w:t>
      </w:r>
      <w:r>
        <w:rPr>
          <w:sz w:val="22"/>
        </w:rPr>
        <w:t>controls in postmenopausal women. </w:t>
      </w:r>
      <w:r>
        <w:rPr>
          <w:i/>
          <w:sz w:val="22"/>
        </w:rPr>
        <w:t>Menopause</w:t>
      </w:r>
      <w:r>
        <w:rPr>
          <w:sz w:val="22"/>
        </w:rPr>
        <w:t>. 2000;7:327.</w:t>
      </w:r>
    </w:p>
    <w:p>
      <w:pPr>
        <w:pStyle w:val="ListParagraph"/>
        <w:numPr>
          <w:ilvl w:val="0"/>
          <w:numId w:val="8"/>
        </w:numPr>
        <w:tabs>
          <w:tab w:pos="709" w:val="left" w:leader="none"/>
          <w:tab w:pos="718" w:val="left" w:leader="none"/>
        </w:tabs>
        <w:spacing w:line="256" w:lineRule="auto" w:before="0" w:after="0"/>
        <w:ind w:left="718" w:right="103" w:hanging="507"/>
        <w:jc w:val="both"/>
        <w:rPr>
          <w:sz w:val="22"/>
        </w:rPr>
      </w:pPr>
      <w:r>
        <w:rPr>
          <w:sz w:val="22"/>
        </w:rPr>
        <w:t>Rymer J. Effects of 8 years of treatment with tibolone 2.5 mg daily on postmenopausal bone</w:t>
      </w:r>
      <w:r>
        <w:rPr>
          <w:spacing w:val="40"/>
          <w:sz w:val="22"/>
        </w:rPr>
        <w:t> </w:t>
      </w:r>
      <w:r>
        <w:rPr>
          <w:sz w:val="22"/>
        </w:rPr>
        <w:t>loss. </w:t>
      </w:r>
      <w:r>
        <w:rPr>
          <w:i/>
          <w:sz w:val="22"/>
        </w:rPr>
        <w:t>Osteoporos Int</w:t>
      </w:r>
      <w:r>
        <w:rPr>
          <w:sz w:val="22"/>
        </w:rPr>
        <w:t>. 2001;12:478.</w:t>
      </w:r>
    </w:p>
    <w:p>
      <w:pPr>
        <w:pStyle w:val="ListParagraph"/>
        <w:numPr>
          <w:ilvl w:val="0"/>
          <w:numId w:val="8"/>
        </w:numPr>
        <w:tabs>
          <w:tab w:pos="709" w:val="left" w:leader="none"/>
          <w:tab w:pos="718" w:val="left" w:leader="none"/>
        </w:tabs>
        <w:spacing w:line="256" w:lineRule="auto" w:before="0" w:after="0"/>
        <w:ind w:left="718" w:right="102" w:hanging="507"/>
        <w:jc w:val="both"/>
        <w:rPr>
          <w:sz w:val="22"/>
        </w:rPr>
      </w:pPr>
      <w:r>
        <w:rPr>
          <w:sz w:val="22"/>
        </w:rPr>
        <w:t>Landgren MB, Coelingh Benink HJT, Helmond FA, Engelen S. Dose-response analysis of effects of tibolone on climacteric symptoms. </w:t>
      </w:r>
      <w:r>
        <w:rPr>
          <w:i/>
          <w:sz w:val="22"/>
        </w:rPr>
        <w:t>Br J Obstet Gynaecol</w:t>
      </w:r>
      <w:r>
        <w:rPr>
          <w:sz w:val="22"/>
        </w:rPr>
        <w:t>. 2002;109:1109.</w:t>
      </w:r>
    </w:p>
    <w:p>
      <w:pPr>
        <w:pStyle w:val="ListParagraph"/>
        <w:numPr>
          <w:ilvl w:val="0"/>
          <w:numId w:val="8"/>
        </w:numPr>
        <w:tabs>
          <w:tab w:pos="709" w:val="left" w:leader="none"/>
          <w:tab w:pos="718" w:val="left" w:leader="none"/>
        </w:tabs>
        <w:spacing w:line="256" w:lineRule="auto" w:before="0" w:after="0"/>
        <w:ind w:left="718" w:right="101" w:hanging="507"/>
        <w:jc w:val="both"/>
        <w:rPr>
          <w:sz w:val="22"/>
        </w:rPr>
      </w:pPr>
      <w:r>
        <w:rPr>
          <w:sz w:val="22"/>
        </w:rPr>
        <w:t>Ederveen AGH, Kloosterboer HJ. Tibolone exerts an estrogenic effect on bone leading </w:t>
      </w:r>
      <w:r>
        <w:rPr>
          <w:sz w:val="22"/>
        </w:rPr>
        <w:t>to prevention</w:t>
      </w:r>
      <w:r>
        <w:rPr>
          <w:spacing w:val="32"/>
          <w:sz w:val="22"/>
        </w:rPr>
        <w:t> </w:t>
      </w:r>
      <w:r>
        <w:rPr>
          <w:sz w:val="22"/>
        </w:rPr>
        <w:t>of</w:t>
      </w:r>
      <w:r>
        <w:rPr>
          <w:spacing w:val="32"/>
          <w:sz w:val="22"/>
        </w:rPr>
        <w:t> </w:t>
      </w:r>
      <w:r>
        <w:rPr>
          <w:sz w:val="22"/>
        </w:rPr>
        <w:t>bone</w:t>
      </w:r>
      <w:r>
        <w:rPr>
          <w:spacing w:val="32"/>
          <w:sz w:val="22"/>
        </w:rPr>
        <w:t> </w:t>
      </w:r>
      <w:r>
        <w:rPr>
          <w:sz w:val="22"/>
        </w:rPr>
        <w:t>loss</w:t>
      </w:r>
      <w:r>
        <w:rPr>
          <w:spacing w:val="32"/>
          <w:sz w:val="22"/>
        </w:rPr>
        <w:t> </w:t>
      </w:r>
      <w:r>
        <w:rPr>
          <w:sz w:val="22"/>
        </w:rPr>
        <w:t>and</w:t>
      </w:r>
      <w:r>
        <w:rPr>
          <w:spacing w:val="32"/>
          <w:sz w:val="22"/>
        </w:rPr>
        <w:t> </w:t>
      </w:r>
      <w:r>
        <w:rPr>
          <w:sz w:val="22"/>
        </w:rPr>
        <w:t>reduction</w:t>
      </w:r>
      <w:r>
        <w:rPr>
          <w:spacing w:val="32"/>
          <w:sz w:val="22"/>
        </w:rPr>
        <w:t> </w:t>
      </w:r>
      <w:r>
        <w:rPr>
          <w:sz w:val="22"/>
        </w:rPr>
        <w:t>in</w:t>
      </w:r>
      <w:r>
        <w:rPr>
          <w:spacing w:val="32"/>
          <w:sz w:val="22"/>
        </w:rPr>
        <w:t> </w:t>
      </w:r>
      <w:r>
        <w:rPr>
          <w:sz w:val="22"/>
        </w:rPr>
        <w:t>bone</w:t>
      </w:r>
      <w:r>
        <w:rPr>
          <w:spacing w:val="32"/>
          <w:sz w:val="22"/>
        </w:rPr>
        <w:t> </w:t>
      </w:r>
      <w:r>
        <w:rPr>
          <w:sz w:val="22"/>
        </w:rPr>
        <w:t>resorption</w:t>
      </w:r>
      <w:r>
        <w:rPr>
          <w:spacing w:val="32"/>
          <w:sz w:val="22"/>
        </w:rPr>
        <w:t> </w:t>
      </w:r>
      <w:r>
        <w:rPr>
          <w:sz w:val="22"/>
        </w:rPr>
        <w:t>in</w:t>
      </w:r>
      <w:r>
        <w:rPr>
          <w:spacing w:val="32"/>
          <w:sz w:val="22"/>
        </w:rPr>
        <w:t> </w:t>
      </w:r>
      <w:r>
        <w:rPr>
          <w:sz w:val="22"/>
        </w:rPr>
        <w:t>ovariectomized</w:t>
      </w:r>
      <w:r>
        <w:rPr>
          <w:spacing w:val="32"/>
          <w:sz w:val="22"/>
        </w:rPr>
        <w:t> </w:t>
      </w:r>
      <w:r>
        <w:rPr>
          <w:sz w:val="22"/>
        </w:rPr>
        <w:t>rats.</w:t>
      </w:r>
      <w:r>
        <w:rPr>
          <w:spacing w:val="32"/>
          <w:sz w:val="22"/>
        </w:rPr>
        <w:t> </w:t>
      </w:r>
      <w:r>
        <w:rPr>
          <w:i/>
          <w:sz w:val="22"/>
        </w:rPr>
        <w:t>Osteoporos</w:t>
      </w:r>
      <w:r>
        <w:rPr>
          <w:i/>
          <w:sz w:val="22"/>
        </w:rPr>
        <w:t> Int</w:t>
      </w:r>
      <w:r>
        <w:rPr>
          <w:sz w:val="22"/>
        </w:rPr>
        <w:t>. 1999;8:95.</w:t>
      </w:r>
    </w:p>
    <w:p>
      <w:pPr>
        <w:pStyle w:val="ListParagraph"/>
        <w:numPr>
          <w:ilvl w:val="0"/>
          <w:numId w:val="8"/>
        </w:numPr>
        <w:tabs>
          <w:tab w:pos="709" w:val="left" w:leader="none"/>
          <w:tab w:pos="718" w:val="left" w:leader="none"/>
        </w:tabs>
        <w:spacing w:line="256" w:lineRule="auto" w:before="0" w:after="0"/>
        <w:ind w:left="718" w:right="105" w:hanging="507"/>
        <w:jc w:val="both"/>
        <w:rPr>
          <w:sz w:val="22"/>
        </w:rPr>
      </w:pPr>
      <w:r>
        <w:rPr>
          <w:sz w:val="22"/>
        </w:rPr>
        <w:t>Palomba S, Affinito P, Tommaselli GA, Nappi C. A clinical trial of the effects of tibolone administered with gonadotropin-releasing hormone analogues for the treatment of </w:t>
      </w:r>
      <w:r>
        <w:rPr>
          <w:sz w:val="22"/>
        </w:rPr>
        <w:t>uterine leiomyomata. </w:t>
      </w:r>
      <w:r>
        <w:rPr>
          <w:i/>
          <w:sz w:val="22"/>
        </w:rPr>
        <w:t>Fertil Steril</w:t>
      </w:r>
      <w:r>
        <w:rPr>
          <w:sz w:val="22"/>
        </w:rPr>
        <w:t>. 1998;70:111.</w:t>
      </w:r>
    </w:p>
    <w:p>
      <w:pPr>
        <w:pStyle w:val="ListParagraph"/>
        <w:numPr>
          <w:ilvl w:val="0"/>
          <w:numId w:val="8"/>
        </w:numPr>
        <w:tabs>
          <w:tab w:pos="709" w:val="left" w:leader="none"/>
          <w:tab w:pos="718" w:val="left" w:leader="none"/>
        </w:tabs>
        <w:spacing w:line="256" w:lineRule="auto" w:before="0" w:after="0"/>
        <w:ind w:left="718" w:right="104" w:hanging="507"/>
        <w:jc w:val="both"/>
        <w:rPr>
          <w:sz w:val="22"/>
        </w:rPr>
      </w:pPr>
      <w:r>
        <w:rPr>
          <w:sz w:val="22"/>
        </w:rPr>
        <w:t>Palomba S, Morelli M, Di Carlo C, Noia R, Pellicano M, Zullo F. Bone metabolism </w:t>
      </w:r>
      <w:r>
        <w:rPr>
          <w:sz w:val="22"/>
        </w:rPr>
        <w:t>in postmenopausal women who were treated with a gonadotropin-releasing hormone agonist and tibolone. </w:t>
      </w:r>
      <w:r>
        <w:rPr>
          <w:i/>
          <w:sz w:val="22"/>
        </w:rPr>
        <w:t>Fertil Steril</w:t>
      </w:r>
      <w:r>
        <w:rPr>
          <w:sz w:val="22"/>
        </w:rPr>
        <w:t>. 2002;78:63.</w:t>
      </w:r>
    </w:p>
    <w:p>
      <w:pPr>
        <w:pStyle w:val="ListParagraph"/>
        <w:numPr>
          <w:ilvl w:val="0"/>
          <w:numId w:val="8"/>
        </w:numPr>
        <w:tabs>
          <w:tab w:pos="699" w:val="left" w:leader="none"/>
          <w:tab w:pos="718" w:val="left" w:leader="none"/>
        </w:tabs>
        <w:spacing w:line="256" w:lineRule="auto" w:before="0" w:after="0"/>
        <w:ind w:left="718" w:right="101" w:hanging="507"/>
        <w:jc w:val="both"/>
        <w:rPr>
          <w:sz w:val="22"/>
        </w:rPr>
      </w:pPr>
      <w:r>
        <w:rPr>
          <w:sz w:val="22"/>
        </w:rPr>
        <w:t>Cummings SR, Ettinger B, Delmas PD, et al; LIFT Trial Investigators. The</w:t>
      </w:r>
      <w:r>
        <w:rPr>
          <w:spacing w:val="20"/>
          <w:sz w:val="22"/>
        </w:rPr>
        <w:t> </w:t>
      </w:r>
      <w:r>
        <w:rPr>
          <w:sz w:val="22"/>
        </w:rPr>
        <w:t>effects</w:t>
      </w:r>
      <w:r>
        <w:rPr>
          <w:spacing w:val="20"/>
          <w:sz w:val="22"/>
        </w:rPr>
        <w:t> </w:t>
      </w:r>
      <w:r>
        <w:rPr>
          <w:sz w:val="22"/>
        </w:rPr>
        <w:t>of</w:t>
      </w:r>
      <w:r>
        <w:rPr>
          <w:spacing w:val="20"/>
          <w:sz w:val="22"/>
        </w:rPr>
        <w:t> </w:t>
      </w:r>
      <w:r>
        <w:rPr>
          <w:sz w:val="22"/>
        </w:rPr>
        <w:t>tibolone</w:t>
      </w:r>
      <w:r>
        <w:rPr>
          <w:spacing w:val="80"/>
          <w:sz w:val="22"/>
        </w:rPr>
        <w:t> </w:t>
      </w:r>
      <w:r>
        <w:rPr>
          <w:sz w:val="22"/>
        </w:rPr>
        <w:t>in older postmenopausal women. </w:t>
      </w:r>
      <w:r>
        <w:rPr>
          <w:i/>
          <w:sz w:val="22"/>
        </w:rPr>
        <w:t>N Engl J Med</w:t>
      </w:r>
      <w:r>
        <w:rPr>
          <w:sz w:val="22"/>
        </w:rPr>
        <w:t>. 2008;359:697.</w:t>
      </w:r>
    </w:p>
    <w:p>
      <w:pPr>
        <w:pStyle w:val="ListParagraph"/>
        <w:numPr>
          <w:ilvl w:val="0"/>
          <w:numId w:val="8"/>
        </w:numPr>
        <w:tabs>
          <w:tab w:pos="709" w:val="left" w:leader="none"/>
          <w:tab w:pos="718" w:val="left" w:leader="none"/>
        </w:tabs>
        <w:spacing w:line="256" w:lineRule="auto" w:before="0" w:after="0"/>
        <w:ind w:left="718" w:right="99" w:hanging="507"/>
        <w:jc w:val="both"/>
        <w:rPr>
          <w:sz w:val="22"/>
        </w:rPr>
      </w:pPr>
      <w:r>
        <w:rPr>
          <w:sz w:val="22"/>
        </w:rPr>
        <w:t>Bots</w:t>
      </w:r>
      <w:r>
        <w:rPr>
          <w:spacing w:val="40"/>
          <w:sz w:val="22"/>
        </w:rPr>
        <w:t> </w:t>
      </w:r>
      <w:r>
        <w:rPr>
          <w:sz w:val="22"/>
        </w:rPr>
        <w:t>ML,</w:t>
      </w:r>
      <w:r>
        <w:rPr>
          <w:spacing w:val="40"/>
          <w:sz w:val="22"/>
        </w:rPr>
        <w:t> </w:t>
      </w:r>
      <w:r>
        <w:rPr>
          <w:sz w:val="22"/>
        </w:rPr>
        <w:t>Evans</w:t>
      </w:r>
      <w:r>
        <w:rPr>
          <w:spacing w:val="40"/>
          <w:sz w:val="22"/>
        </w:rPr>
        <w:t> </w:t>
      </w:r>
      <w:r>
        <w:rPr>
          <w:sz w:val="22"/>
        </w:rPr>
        <w:t>GW,</w:t>
      </w:r>
      <w:r>
        <w:rPr>
          <w:spacing w:val="40"/>
          <w:sz w:val="22"/>
        </w:rPr>
        <w:t> </w:t>
      </w:r>
      <w:r>
        <w:rPr>
          <w:sz w:val="22"/>
        </w:rPr>
        <w:t>Riley</w:t>
      </w:r>
      <w:r>
        <w:rPr>
          <w:spacing w:val="40"/>
          <w:sz w:val="22"/>
        </w:rPr>
        <w:t> </w:t>
      </w:r>
      <w:r>
        <w:rPr>
          <w:sz w:val="22"/>
        </w:rPr>
        <w:t>W,</w:t>
      </w:r>
      <w:r>
        <w:rPr>
          <w:spacing w:val="40"/>
          <w:sz w:val="22"/>
        </w:rPr>
        <w:t> </w:t>
      </w:r>
      <w:r>
        <w:rPr>
          <w:sz w:val="22"/>
        </w:rPr>
        <w:t>et</w:t>
      </w:r>
      <w:r>
        <w:rPr>
          <w:spacing w:val="40"/>
          <w:sz w:val="22"/>
        </w:rPr>
        <w:t> </w:t>
      </w:r>
      <w:r>
        <w:rPr>
          <w:sz w:val="22"/>
        </w:rPr>
        <w:t>al;</w:t>
      </w:r>
      <w:r>
        <w:rPr>
          <w:spacing w:val="40"/>
          <w:sz w:val="22"/>
        </w:rPr>
        <w:t> </w:t>
      </w:r>
      <w:r>
        <w:rPr>
          <w:sz w:val="22"/>
        </w:rPr>
        <w:t>OPAL</w:t>
      </w:r>
      <w:r>
        <w:rPr>
          <w:spacing w:val="40"/>
          <w:sz w:val="22"/>
        </w:rPr>
        <w:t> </w:t>
      </w:r>
      <w:r>
        <w:rPr>
          <w:sz w:val="22"/>
        </w:rPr>
        <w:t>Investigators.</w:t>
      </w:r>
      <w:r>
        <w:rPr>
          <w:spacing w:val="40"/>
          <w:sz w:val="22"/>
        </w:rPr>
        <w:t> </w:t>
      </w:r>
      <w:r>
        <w:rPr>
          <w:sz w:val="22"/>
        </w:rPr>
        <w:t>The</w:t>
      </w:r>
      <w:r>
        <w:rPr>
          <w:spacing w:val="40"/>
          <w:sz w:val="22"/>
        </w:rPr>
        <w:t> </w:t>
      </w:r>
      <w:r>
        <w:rPr>
          <w:sz w:val="22"/>
        </w:rPr>
        <w:t>effect</w:t>
      </w:r>
      <w:r>
        <w:rPr>
          <w:spacing w:val="40"/>
          <w:sz w:val="22"/>
        </w:rPr>
        <w:t> </w:t>
      </w:r>
      <w:r>
        <w:rPr>
          <w:sz w:val="22"/>
        </w:rPr>
        <w:t>of</w:t>
      </w:r>
      <w:r>
        <w:rPr>
          <w:spacing w:val="40"/>
          <w:sz w:val="22"/>
        </w:rPr>
        <w:t> </w:t>
      </w:r>
      <w:r>
        <w:rPr>
          <w:sz w:val="22"/>
        </w:rPr>
        <w:t>tibolone</w:t>
      </w:r>
      <w:r>
        <w:rPr>
          <w:spacing w:val="40"/>
          <w:sz w:val="22"/>
        </w:rPr>
        <w:t> </w:t>
      </w:r>
      <w:r>
        <w:rPr>
          <w:sz w:val="22"/>
        </w:rPr>
        <w:t>and continuous combined conjugated equine oestrogens plus medroxyprogesterone acetate </w:t>
      </w:r>
      <w:r>
        <w:rPr>
          <w:sz w:val="22"/>
        </w:rPr>
        <w:t>on progression of carotid intima-media thickness. </w:t>
      </w:r>
      <w:r>
        <w:rPr>
          <w:i/>
          <w:sz w:val="22"/>
        </w:rPr>
        <w:t>Eur Heart J</w:t>
      </w:r>
      <w:r>
        <w:rPr>
          <w:sz w:val="22"/>
        </w:rPr>
        <w:t>. 2006;27:746.</w:t>
      </w:r>
    </w:p>
    <w:p>
      <w:pPr>
        <w:pStyle w:val="ListParagraph"/>
        <w:numPr>
          <w:ilvl w:val="0"/>
          <w:numId w:val="8"/>
        </w:numPr>
        <w:tabs>
          <w:tab w:pos="709" w:val="left" w:leader="none"/>
          <w:tab w:pos="718" w:val="left" w:leader="none"/>
        </w:tabs>
        <w:spacing w:line="256" w:lineRule="auto" w:before="0" w:after="0"/>
        <w:ind w:left="718" w:right="105" w:hanging="507"/>
        <w:jc w:val="both"/>
        <w:rPr>
          <w:sz w:val="22"/>
        </w:rPr>
      </w:pPr>
      <w:r>
        <w:rPr>
          <w:sz w:val="22"/>
        </w:rPr>
        <w:t>Zanchetta JR, Bogado CE, Cisari C, et al. Treatment of postmenopausal women </w:t>
      </w:r>
      <w:r>
        <w:rPr>
          <w:sz w:val="22"/>
        </w:rPr>
        <w:t>with osteoporosis with PTH(1-84) for 36 months: treatment extension study. </w:t>
      </w:r>
      <w:r>
        <w:rPr>
          <w:i/>
          <w:sz w:val="22"/>
        </w:rPr>
        <w:t>Curr Med Res Opin</w:t>
      </w:r>
      <w:r>
        <w:rPr>
          <w:sz w:val="22"/>
        </w:rPr>
        <w:t>. </w:t>
      </w:r>
      <w:r>
        <w:rPr>
          <w:spacing w:val="-2"/>
          <w:sz w:val="22"/>
        </w:rPr>
        <w:t>2010;26(11):2627-2633.</w:t>
      </w:r>
    </w:p>
    <w:p>
      <w:pPr>
        <w:pStyle w:val="ListParagraph"/>
        <w:numPr>
          <w:ilvl w:val="0"/>
          <w:numId w:val="8"/>
        </w:numPr>
        <w:tabs>
          <w:tab w:pos="709" w:val="left" w:leader="none"/>
          <w:tab w:pos="718" w:val="left" w:leader="none"/>
        </w:tabs>
        <w:spacing w:line="256" w:lineRule="auto" w:before="0" w:after="0"/>
        <w:ind w:left="718" w:right="107" w:hanging="507"/>
        <w:jc w:val="both"/>
        <w:rPr>
          <w:sz w:val="22"/>
        </w:rPr>
      </w:pPr>
      <w:r>
        <w:rPr>
          <w:sz w:val="22"/>
        </w:rPr>
        <w:t>Cosman F, Nieves J, Woelfert L, et al. Parathyroid hormone added to established </w:t>
      </w:r>
      <w:r>
        <w:rPr>
          <w:sz w:val="22"/>
        </w:rPr>
        <w:t>hormone therapy: effects on vertebral fracture and maintenance of bone mass after parathyroid hormone withdrawal. </w:t>
      </w:r>
      <w:r>
        <w:rPr>
          <w:i/>
          <w:sz w:val="22"/>
        </w:rPr>
        <w:t>J Bone Miner Res</w:t>
      </w:r>
      <w:r>
        <w:rPr>
          <w:sz w:val="22"/>
        </w:rPr>
        <w:t>. 2001;16:925.</w:t>
      </w:r>
    </w:p>
    <w:p>
      <w:pPr>
        <w:pStyle w:val="ListParagraph"/>
        <w:numPr>
          <w:ilvl w:val="0"/>
          <w:numId w:val="8"/>
        </w:numPr>
        <w:tabs>
          <w:tab w:pos="709" w:val="left" w:leader="none"/>
          <w:tab w:pos="718" w:val="left" w:leader="none"/>
        </w:tabs>
        <w:spacing w:line="256" w:lineRule="auto" w:before="0" w:after="0"/>
        <w:ind w:left="718" w:right="104" w:hanging="507"/>
        <w:jc w:val="both"/>
        <w:rPr>
          <w:sz w:val="22"/>
        </w:rPr>
      </w:pPr>
      <w:r>
        <w:rPr>
          <w:sz w:val="22"/>
        </w:rPr>
        <w:t>Body JJ, Gaich GA, Scheele WH, et al. A</w:t>
      </w:r>
      <w:r>
        <w:rPr>
          <w:spacing w:val="40"/>
          <w:sz w:val="22"/>
        </w:rPr>
        <w:t> </w:t>
      </w:r>
      <w:r>
        <w:rPr>
          <w:sz w:val="22"/>
        </w:rPr>
        <w:t>randomized</w:t>
      </w:r>
      <w:r>
        <w:rPr>
          <w:spacing w:val="40"/>
          <w:sz w:val="22"/>
        </w:rPr>
        <w:t> </w:t>
      </w:r>
      <w:r>
        <w:rPr>
          <w:sz w:val="22"/>
        </w:rPr>
        <w:t>double-blind</w:t>
      </w:r>
      <w:r>
        <w:rPr>
          <w:spacing w:val="40"/>
          <w:sz w:val="22"/>
        </w:rPr>
        <w:t> </w:t>
      </w:r>
      <w:r>
        <w:rPr>
          <w:sz w:val="22"/>
        </w:rPr>
        <w:t>trial</w:t>
      </w:r>
      <w:r>
        <w:rPr>
          <w:spacing w:val="40"/>
          <w:sz w:val="22"/>
        </w:rPr>
        <w:t> </w:t>
      </w:r>
      <w:r>
        <w:rPr>
          <w:sz w:val="22"/>
        </w:rPr>
        <w:t>to</w:t>
      </w:r>
      <w:r>
        <w:rPr>
          <w:spacing w:val="40"/>
          <w:sz w:val="22"/>
        </w:rPr>
        <w:t> </w:t>
      </w:r>
      <w:r>
        <w:rPr>
          <w:sz w:val="22"/>
        </w:rPr>
        <w:t>compare</w:t>
      </w:r>
      <w:r>
        <w:rPr>
          <w:spacing w:val="40"/>
          <w:sz w:val="22"/>
        </w:rPr>
        <w:t> </w:t>
      </w:r>
      <w:r>
        <w:rPr>
          <w:sz w:val="22"/>
        </w:rPr>
        <w:t>the efficacy of teriparatide (recombinant human parathyroid hormone, 1-34) with alendronate in postmenopausal women with osteoporosis. </w:t>
      </w:r>
      <w:r>
        <w:rPr>
          <w:i/>
          <w:sz w:val="22"/>
        </w:rPr>
        <w:t>J Clin Endocrinol Metab</w:t>
      </w:r>
      <w:r>
        <w:rPr>
          <w:sz w:val="22"/>
        </w:rPr>
        <w:t>. 2002;87:4528.</w:t>
      </w:r>
    </w:p>
    <w:p>
      <w:pPr>
        <w:pStyle w:val="ListParagraph"/>
        <w:numPr>
          <w:ilvl w:val="0"/>
          <w:numId w:val="8"/>
        </w:numPr>
        <w:tabs>
          <w:tab w:pos="709" w:val="left" w:leader="none"/>
          <w:tab w:pos="718" w:val="left" w:leader="none"/>
        </w:tabs>
        <w:spacing w:line="256" w:lineRule="auto" w:before="0" w:after="0"/>
        <w:ind w:left="718" w:right="100" w:hanging="507"/>
        <w:jc w:val="both"/>
        <w:rPr>
          <w:sz w:val="22"/>
        </w:rPr>
      </w:pPr>
      <w:r>
        <w:rPr>
          <w:sz w:val="22"/>
        </w:rPr>
        <w:t>Neer RM, Arnaud CD, Zanchetta JR, et al. Effect of parathyroid hormone (1-34) on fractures</w:t>
      </w:r>
      <w:r>
        <w:rPr>
          <w:spacing w:val="40"/>
          <w:sz w:val="22"/>
        </w:rPr>
        <w:t> </w:t>
      </w:r>
      <w:r>
        <w:rPr>
          <w:sz w:val="22"/>
        </w:rPr>
        <w:t>and bone mineral density in postmenopausal women with osteoporosis. </w:t>
      </w:r>
      <w:r>
        <w:rPr>
          <w:i/>
          <w:sz w:val="22"/>
        </w:rPr>
        <w:t>N Engl J Med</w:t>
      </w:r>
      <w:r>
        <w:rPr>
          <w:sz w:val="22"/>
        </w:rPr>
        <w:t>. </w:t>
      </w:r>
      <w:r>
        <w:rPr>
          <w:spacing w:val="-2"/>
          <w:sz w:val="22"/>
        </w:rPr>
        <w:t>2001;344(19):1434-1441.</w:t>
      </w:r>
    </w:p>
    <w:p>
      <w:pPr>
        <w:pStyle w:val="ListParagraph"/>
        <w:numPr>
          <w:ilvl w:val="0"/>
          <w:numId w:val="8"/>
        </w:numPr>
        <w:tabs>
          <w:tab w:pos="709" w:val="left" w:leader="none"/>
          <w:tab w:pos="718" w:val="left" w:leader="none"/>
        </w:tabs>
        <w:spacing w:line="256" w:lineRule="auto" w:before="0" w:after="0"/>
        <w:ind w:left="718" w:right="101" w:hanging="507"/>
        <w:jc w:val="both"/>
        <w:rPr>
          <w:sz w:val="22"/>
        </w:rPr>
      </w:pPr>
      <w:r>
        <w:rPr>
          <w:sz w:val="22"/>
        </w:rPr>
        <w:t>Eastell R, Nickelsen T, Marin F, et al. Sequential treatment of severe </w:t>
      </w:r>
      <w:r>
        <w:rPr>
          <w:sz w:val="22"/>
        </w:rPr>
        <w:t>postmenopausal osteoporosis after teriparatide: final results of the randomized, controlled European Study of Forsteo (EUROFORS). </w:t>
      </w:r>
      <w:r>
        <w:rPr>
          <w:i/>
          <w:sz w:val="22"/>
        </w:rPr>
        <w:t>J Bone Miner Res</w:t>
      </w:r>
      <w:r>
        <w:rPr>
          <w:sz w:val="22"/>
        </w:rPr>
        <w:t>. 2009;24:726.</w:t>
      </w:r>
    </w:p>
    <w:p>
      <w:pPr>
        <w:pStyle w:val="ListParagraph"/>
        <w:numPr>
          <w:ilvl w:val="0"/>
          <w:numId w:val="8"/>
        </w:numPr>
        <w:tabs>
          <w:tab w:pos="709" w:val="left" w:leader="none"/>
          <w:tab w:pos="718" w:val="left" w:leader="none"/>
        </w:tabs>
        <w:spacing w:line="256" w:lineRule="auto" w:before="0" w:after="0"/>
        <w:ind w:left="718" w:right="103" w:hanging="507"/>
        <w:jc w:val="both"/>
        <w:rPr>
          <w:sz w:val="22"/>
        </w:rPr>
      </w:pPr>
      <w:r>
        <w:rPr>
          <w:sz w:val="22"/>
        </w:rPr>
        <w:t>Díez-Pérez A, Marin F, Eriksen EF, Kendler DL, Krege JH, Delgado-Rodríguez M. Effects of teriparatide on hip and upper limb fractures in patients with osteoporosis: a systematic </w:t>
      </w:r>
      <w:r>
        <w:rPr>
          <w:sz w:val="22"/>
        </w:rPr>
        <w:t>review and meta-analysis. </w:t>
      </w:r>
      <w:r>
        <w:rPr>
          <w:i/>
          <w:sz w:val="22"/>
        </w:rPr>
        <w:t>Bone</w:t>
      </w:r>
      <w:r>
        <w:rPr>
          <w:sz w:val="22"/>
        </w:rPr>
        <w:t>. 2018;120:1.</w:t>
      </w:r>
    </w:p>
    <w:p>
      <w:pPr>
        <w:pStyle w:val="ListParagraph"/>
        <w:spacing w:after="0" w:line="256" w:lineRule="auto"/>
        <w:jc w:val="both"/>
        <w:rPr>
          <w:sz w:val="22"/>
        </w:rPr>
        <w:sectPr>
          <w:pgSz w:w="12240" w:h="15840"/>
          <w:pgMar w:top="1360" w:bottom="280" w:left="1440" w:right="1440"/>
        </w:sectPr>
      </w:pPr>
    </w:p>
    <w:p>
      <w:pPr>
        <w:pStyle w:val="ListParagraph"/>
        <w:numPr>
          <w:ilvl w:val="0"/>
          <w:numId w:val="8"/>
        </w:numPr>
        <w:tabs>
          <w:tab w:pos="709" w:val="left" w:leader="none"/>
          <w:tab w:pos="718" w:val="left" w:leader="none"/>
        </w:tabs>
        <w:spacing w:line="256" w:lineRule="auto" w:before="84" w:after="0"/>
        <w:ind w:left="718" w:right="100" w:hanging="507"/>
        <w:jc w:val="both"/>
        <w:rPr>
          <w:sz w:val="22"/>
        </w:rPr>
      </w:pPr>
      <w:r>
        <w:rPr>
          <w:sz w:val="22"/>
        </w:rPr>
        <w:t>Cosman F. Anabolic and antiresorptive therapy for osteoporosis: combination and sequential approaches. </w:t>
      </w:r>
      <w:r>
        <w:rPr>
          <w:i/>
          <w:sz w:val="22"/>
        </w:rPr>
        <w:t>Curr Osteoporos Rep</w:t>
      </w:r>
      <w:r>
        <w:rPr>
          <w:sz w:val="22"/>
        </w:rPr>
        <w:t>. 2014;12(4):385.</w:t>
      </w:r>
    </w:p>
    <w:p>
      <w:pPr>
        <w:pStyle w:val="ListParagraph"/>
        <w:numPr>
          <w:ilvl w:val="0"/>
          <w:numId w:val="8"/>
        </w:numPr>
        <w:tabs>
          <w:tab w:pos="709" w:val="left" w:leader="none"/>
          <w:tab w:pos="718" w:val="left" w:leader="none"/>
        </w:tabs>
        <w:spacing w:line="256" w:lineRule="auto" w:before="0" w:after="0"/>
        <w:ind w:left="718" w:right="99" w:hanging="507"/>
        <w:jc w:val="both"/>
        <w:rPr>
          <w:sz w:val="22"/>
        </w:rPr>
      </w:pPr>
      <w:r>
        <w:rPr>
          <w:sz w:val="22"/>
        </w:rPr>
        <w:t>Niimi R, Kono T, Nishihara A, Hasegawa M, Kono T, Sudo A. Efficacy of switching from teriparatide</w:t>
      </w:r>
      <w:r>
        <w:rPr>
          <w:spacing w:val="40"/>
          <w:sz w:val="22"/>
        </w:rPr>
        <w:t> </w:t>
      </w:r>
      <w:r>
        <w:rPr>
          <w:sz w:val="22"/>
        </w:rPr>
        <w:t>to</w:t>
      </w:r>
      <w:r>
        <w:rPr>
          <w:spacing w:val="40"/>
          <w:sz w:val="22"/>
        </w:rPr>
        <w:t> </w:t>
      </w:r>
      <w:r>
        <w:rPr>
          <w:sz w:val="22"/>
        </w:rPr>
        <w:t>bisphosphonate</w:t>
      </w:r>
      <w:r>
        <w:rPr>
          <w:spacing w:val="40"/>
          <w:sz w:val="22"/>
        </w:rPr>
        <w:t> </w:t>
      </w:r>
      <w:r>
        <w:rPr>
          <w:sz w:val="22"/>
        </w:rPr>
        <w:t>or</w:t>
      </w:r>
      <w:r>
        <w:rPr>
          <w:spacing w:val="40"/>
          <w:sz w:val="22"/>
        </w:rPr>
        <w:t> </w:t>
      </w:r>
      <w:r>
        <w:rPr>
          <w:sz w:val="22"/>
        </w:rPr>
        <w:t>denosumab:</w:t>
      </w:r>
      <w:r>
        <w:rPr>
          <w:spacing w:val="40"/>
          <w:sz w:val="22"/>
        </w:rPr>
        <w:t> </w:t>
      </w:r>
      <w:r>
        <w:rPr>
          <w:sz w:val="22"/>
        </w:rPr>
        <w:t>a</w:t>
      </w:r>
      <w:r>
        <w:rPr>
          <w:spacing w:val="40"/>
          <w:sz w:val="22"/>
        </w:rPr>
        <w:t> </w:t>
      </w:r>
      <w:r>
        <w:rPr>
          <w:sz w:val="22"/>
        </w:rPr>
        <w:t>prospective,</w:t>
      </w:r>
      <w:r>
        <w:rPr>
          <w:spacing w:val="40"/>
          <w:sz w:val="22"/>
        </w:rPr>
        <w:t> </w:t>
      </w:r>
      <w:r>
        <w:rPr>
          <w:sz w:val="22"/>
        </w:rPr>
        <w:t>randomized,</w:t>
      </w:r>
      <w:r>
        <w:rPr>
          <w:spacing w:val="40"/>
          <w:sz w:val="22"/>
        </w:rPr>
        <w:t> </w:t>
      </w:r>
      <w:r>
        <w:rPr>
          <w:sz w:val="22"/>
        </w:rPr>
        <w:t>open-label</w:t>
      </w:r>
      <w:r>
        <w:rPr>
          <w:spacing w:val="40"/>
          <w:sz w:val="22"/>
        </w:rPr>
        <w:t> </w:t>
      </w:r>
      <w:r>
        <w:rPr>
          <w:sz w:val="22"/>
        </w:rPr>
        <w:t>trial. </w:t>
      </w:r>
      <w:r>
        <w:rPr>
          <w:i/>
          <w:sz w:val="22"/>
        </w:rPr>
        <w:t>JBMR Plus</w:t>
      </w:r>
      <w:r>
        <w:rPr>
          <w:sz w:val="22"/>
        </w:rPr>
        <w:t>. 2018;2(5):289.</w:t>
      </w:r>
    </w:p>
    <w:p>
      <w:pPr>
        <w:pStyle w:val="ListParagraph"/>
        <w:numPr>
          <w:ilvl w:val="0"/>
          <w:numId w:val="8"/>
        </w:numPr>
        <w:tabs>
          <w:tab w:pos="709" w:val="left" w:leader="none"/>
          <w:tab w:pos="718" w:val="left" w:leader="none"/>
        </w:tabs>
        <w:spacing w:line="256" w:lineRule="auto" w:before="0" w:after="0"/>
        <w:ind w:left="718" w:right="111" w:hanging="507"/>
        <w:jc w:val="both"/>
        <w:rPr>
          <w:sz w:val="22"/>
        </w:rPr>
      </w:pPr>
      <w:r>
        <w:rPr>
          <w:sz w:val="22"/>
        </w:rPr>
        <w:t>LeBoff</w:t>
      </w:r>
      <w:r>
        <w:rPr>
          <w:spacing w:val="40"/>
          <w:sz w:val="22"/>
        </w:rPr>
        <w:t> </w:t>
      </w:r>
      <w:r>
        <w:rPr>
          <w:sz w:val="22"/>
        </w:rPr>
        <w:t>MS,</w:t>
      </w:r>
      <w:r>
        <w:rPr>
          <w:spacing w:val="40"/>
          <w:sz w:val="22"/>
        </w:rPr>
        <w:t> </w:t>
      </w:r>
      <w:r>
        <w:rPr>
          <w:sz w:val="22"/>
        </w:rPr>
        <w:t>Greenspan</w:t>
      </w:r>
      <w:r>
        <w:rPr>
          <w:spacing w:val="40"/>
          <w:sz w:val="22"/>
        </w:rPr>
        <w:t> </w:t>
      </w:r>
      <w:r>
        <w:rPr>
          <w:sz w:val="22"/>
        </w:rPr>
        <w:t>SL,</w:t>
      </w:r>
      <w:r>
        <w:rPr>
          <w:spacing w:val="40"/>
          <w:sz w:val="22"/>
        </w:rPr>
        <w:t> </w:t>
      </w:r>
      <w:r>
        <w:rPr>
          <w:sz w:val="22"/>
        </w:rPr>
        <w:t>Insogna</w:t>
      </w:r>
      <w:r>
        <w:rPr>
          <w:spacing w:val="40"/>
          <w:sz w:val="22"/>
        </w:rPr>
        <w:t> </w:t>
      </w:r>
      <w:r>
        <w:rPr>
          <w:sz w:val="22"/>
        </w:rPr>
        <w:t>KL,</w:t>
      </w:r>
      <w:r>
        <w:rPr>
          <w:spacing w:val="40"/>
          <w:sz w:val="22"/>
        </w:rPr>
        <w:t> </w:t>
      </w:r>
      <w:r>
        <w:rPr>
          <w:sz w:val="22"/>
        </w:rPr>
        <w:t>et</w:t>
      </w:r>
      <w:r>
        <w:rPr>
          <w:spacing w:val="40"/>
          <w:sz w:val="22"/>
        </w:rPr>
        <w:t> </w:t>
      </w:r>
      <w:r>
        <w:rPr>
          <w:sz w:val="22"/>
        </w:rPr>
        <w:t>al.</w:t>
      </w:r>
      <w:r>
        <w:rPr>
          <w:spacing w:val="40"/>
          <w:sz w:val="22"/>
        </w:rPr>
        <w:t> </w:t>
      </w:r>
      <w:r>
        <w:rPr>
          <w:sz w:val="22"/>
        </w:rPr>
        <w:t>The</w:t>
      </w:r>
      <w:r>
        <w:rPr>
          <w:spacing w:val="40"/>
          <w:sz w:val="22"/>
        </w:rPr>
        <w:t> </w:t>
      </w:r>
      <w:r>
        <w:rPr>
          <w:sz w:val="22"/>
        </w:rPr>
        <w:t>clinician’s</w:t>
      </w:r>
      <w:r>
        <w:rPr>
          <w:spacing w:val="40"/>
          <w:sz w:val="22"/>
        </w:rPr>
        <w:t> </w:t>
      </w:r>
      <w:r>
        <w:rPr>
          <w:sz w:val="22"/>
        </w:rPr>
        <w:t>guide</w:t>
      </w:r>
      <w:r>
        <w:rPr>
          <w:spacing w:val="40"/>
          <w:sz w:val="22"/>
        </w:rPr>
        <w:t> </w:t>
      </w:r>
      <w:r>
        <w:rPr>
          <w:sz w:val="22"/>
        </w:rPr>
        <w:t>to</w:t>
      </w:r>
      <w:r>
        <w:rPr>
          <w:spacing w:val="40"/>
          <w:sz w:val="22"/>
        </w:rPr>
        <w:t> </w:t>
      </w:r>
      <w:r>
        <w:rPr>
          <w:sz w:val="22"/>
        </w:rPr>
        <w:t>prevention</w:t>
      </w:r>
      <w:r>
        <w:rPr>
          <w:spacing w:val="40"/>
          <w:sz w:val="22"/>
        </w:rPr>
        <w:t> </w:t>
      </w:r>
      <w:r>
        <w:rPr>
          <w:sz w:val="22"/>
        </w:rPr>
        <w:t>and treatment of osteoporosis [published correction appears in </w:t>
      </w:r>
      <w:r>
        <w:rPr>
          <w:i/>
          <w:sz w:val="22"/>
        </w:rPr>
        <w:t>Osteoporos Int</w:t>
      </w:r>
      <w:r>
        <w:rPr>
          <w:sz w:val="22"/>
        </w:rPr>
        <w:t>. 2022;33(10):2243]. </w:t>
      </w:r>
      <w:r>
        <w:rPr>
          <w:i/>
          <w:sz w:val="22"/>
        </w:rPr>
        <w:t>Osteoporos Int</w:t>
      </w:r>
      <w:r>
        <w:rPr>
          <w:sz w:val="22"/>
        </w:rPr>
        <w:t>. 2022;33(10):2049-2102. .</w:t>
      </w:r>
    </w:p>
    <w:p>
      <w:pPr>
        <w:pStyle w:val="ListParagraph"/>
        <w:numPr>
          <w:ilvl w:val="0"/>
          <w:numId w:val="8"/>
        </w:numPr>
        <w:tabs>
          <w:tab w:pos="709" w:val="left" w:leader="none"/>
          <w:tab w:pos="718" w:val="left" w:leader="none"/>
        </w:tabs>
        <w:spacing w:line="256" w:lineRule="auto" w:before="0" w:after="0"/>
        <w:ind w:left="718" w:right="102" w:hanging="507"/>
        <w:jc w:val="both"/>
        <w:rPr>
          <w:sz w:val="22"/>
        </w:rPr>
      </w:pPr>
      <w:r>
        <w:rPr>
          <w:sz w:val="22"/>
        </w:rPr>
        <w:t>Lewiecki EM, Gordon CM, Baim S, et al. Special report on the 2007 adult and pediatric</w:t>
      </w:r>
      <w:r>
        <w:rPr>
          <w:spacing w:val="80"/>
          <w:sz w:val="22"/>
        </w:rPr>
        <w:t> </w:t>
      </w:r>
      <w:r>
        <w:rPr>
          <w:sz w:val="22"/>
        </w:rPr>
        <w:t>Position Development Conferences of the International Society for Clinical Densitometry. </w:t>
      </w:r>
      <w:r>
        <w:rPr>
          <w:i/>
          <w:sz w:val="22"/>
        </w:rPr>
        <w:t>Osteoporos Int</w:t>
      </w:r>
      <w:r>
        <w:rPr>
          <w:sz w:val="22"/>
        </w:rPr>
        <w:t>. 2008;19(10):1369-1378.</w:t>
      </w:r>
    </w:p>
    <w:p>
      <w:pPr>
        <w:pStyle w:val="ListParagraph"/>
        <w:numPr>
          <w:ilvl w:val="0"/>
          <w:numId w:val="8"/>
        </w:numPr>
        <w:tabs>
          <w:tab w:pos="709" w:val="left" w:leader="none"/>
          <w:tab w:pos="718" w:val="left" w:leader="none"/>
        </w:tabs>
        <w:spacing w:line="256" w:lineRule="auto" w:before="0" w:after="0"/>
        <w:ind w:left="718" w:right="107" w:hanging="507"/>
        <w:jc w:val="both"/>
        <w:rPr>
          <w:sz w:val="22"/>
        </w:rPr>
      </w:pPr>
      <w:r>
        <w:rPr>
          <w:sz w:val="22"/>
        </w:rPr>
        <w:t>Cosman F, Crittenden DB, Adachi JD, et al. Romosozumab treatment in </w:t>
      </w:r>
      <w:r>
        <w:rPr>
          <w:sz w:val="22"/>
        </w:rPr>
        <w:t>postmenopausal</w:t>
      </w:r>
      <w:r>
        <w:rPr>
          <w:spacing w:val="80"/>
          <w:sz w:val="22"/>
        </w:rPr>
        <w:t> </w:t>
      </w:r>
      <w:r>
        <w:rPr>
          <w:sz w:val="22"/>
        </w:rPr>
        <w:t>women with osteoporosis. </w:t>
      </w:r>
      <w:r>
        <w:rPr>
          <w:i/>
          <w:sz w:val="22"/>
        </w:rPr>
        <w:t>N Engl J Med</w:t>
      </w:r>
      <w:r>
        <w:rPr>
          <w:sz w:val="22"/>
        </w:rPr>
        <w:t>. 2016;375(16):1532-1543.</w:t>
      </w:r>
    </w:p>
    <w:p>
      <w:pPr>
        <w:pStyle w:val="ListParagraph"/>
        <w:numPr>
          <w:ilvl w:val="0"/>
          <w:numId w:val="8"/>
        </w:numPr>
        <w:tabs>
          <w:tab w:pos="709" w:val="left" w:leader="none"/>
          <w:tab w:pos="718" w:val="left" w:leader="none"/>
        </w:tabs>
        <w:spacing w:line="256" w:lineRule="auto" w:before="0" w:after="0"/>
        <w:ind w:left="718" w:right="111" w:hanging="507"/>
        <w:jc w:val="both"/>
        <w:rPr>
          <w:sz w:val="22"/>
        </w:rPr>
      </w:pPr>
      <w:r>
        <w:rPr>
          <w:sz w:val="22"/>
        </w:rPr>
        <w:t>Arjmandi BH, Birnbaum R, Goyal NV, et al. Bone-sparing effect of soy protein in </w:t>
      </w:r>
      <w:r>
        <w:rPr>
          <w:sz w:val="22"/>
        </w:rPr>
        <w:t>ovarian hormone-deficient rats is related to its isoflavone content. </w:t>
      </w:r>
      <w:r>
        <w:rPr>
          <w:i/>
          <w:sz w:val="22"/>
        </w:rPr>
        <w:t>Am J Clin Nutr</w:t>
      </w:r>
      <w:r>
        <w:rPr>
          <w:sz w:val="22"/>
        </w:rPr>
        <w:t>.</w:t>
      </w:r>
      <w:r>
        <w:rPr>
          <w:spacing w:val="40"/>
          <w:sz w:val="22"/>
        </w:rPr>
        <w:t> </w:t>
      </w:r>
      <w:r>
        <w:rPr>
          <w:spacing w:val="-2"/>
          <w:sz w:val="22"/>
        </w:rPr>
        <w:t>1998;68(suppl):1364S.</w:t>
      </w:r>
    </w:p>
    <w:p>
      <w:pPr>
        <w:pStyle w:val="ListParagraph"/>
        <w:numPr>
          <w:ilvl w:val="0"/>
          <w:numId w:val="8"/>
        </w:numPr>
        <w:tabs>
          <w:tab w:pos="709" w:val="left" w:leader="none"/>
          <w:tab w:pos="718" w:val="left" w:leader="none"/>
        </w:tabs>
        <w:spacing w:line="256" w:lineRule="auto" w:before="0" w:after="0"/>
        <w:ind w:left="718" w:right="111" w:hanging="507"/>
        <w:jc w:val="both"/>
        <w:rPr>
          <w:sz w:val="22"/>
        </w:rPr>
      </w:pPr>
      <w:r>
        <w:rPr>
          <w:sz w:val="22"/>
        </w:rPr>
        <w:t>Lees CJ, Ginn TA. Soy protein isolate diet does not prevent increased cortical bone turnover </w:t>
      </w:r>
      <w:r>
        <w:rPr>
          <w:sz w:val="22"/>
        </w:rPr>
        <w:t>in ovariectomized macaques. </w:t>
      </w:r>
      <w:r>
        <w:rPr>
          <w:i/>
          <w:sz w:val="22"/>
        </w:rPr>
        <w:t>Calcif Tissue Int</w:t>
      </w:r>
      <w:r>
        <w:rPr>
          <w:sz w:val="22"/>
        </w:rPr>
        <w:t>. 1998;62:557.</w:t>
      </w:r>
    </w:p>
    <w:p>
      <w:pPr>
        <w:pStyle w:val="ListParagraph"/>
        <w:numPr>
          <w:ilvl w:val="0"/>
          <w:numId w:val="8"/>
        </w:numPr>
        <w:tabs>
          <w:tab w:pos="709" w:val="left" w:leader="none"/>
          <w:tab w:pos="718" w:val="left" w:leader="none"/>
        </w:tabs>
        <w:spacing w:line="256" w:lineRule="auto" w:before="0" w:after="0"/>
        <w:ind w:left="718" w:right="104" w:hanging="507"/>
        <w:jc w:val="both"/>
        <w:rPr>
          <w:sz w:val="22"/>
        </w:rPr>
      </w:pPr>
      <w:r>
        <w:rPr>
          <w:sz w:val="22"/>
        </w:rPr>
        <w:t>Register TC, Jayo MJ, Anthony MS. Soy phytoestrogens do not prevent bone loss </w:t>
      </w:r>
      <w:r>
        <w:rPr>
          <w:sz w:val="22"/>
        </w:rPr>
        <w:t>in postmenopausal monkeys. </w:t>
      </w:r>
      <w:r>
        <w:rPr>
          <w:i/>
          <w:sz w:val="22"/>
        </w:rPr>
        <w:t>J Clin Endocrinol Metab</w:t>
      </w:r>
      <w:r>
        <w:rPr>
          <w:sz w:val="22"/>
        </w:rPr>
        <w:t>. 2003;88:4362.</w:t>
      </w:r>
    </w:p>
    <w:p>
      <w:pPr>
        <w:pStyle w:val="ListParagraph"/>
        <w:numPr>
          <w:ilvl w:val="0"/>
          <w:numId w:val="8"/>
        </w:numPr>
        <w:tabs>
          <w:tab w:pos="709" w:val="left" w:leader="none"/>
          <w:tab w:pos="718" w:val="left" w:leader="none"/>
        </w:tabs>
        <w:spacing w:line="256" w:lineRule="auto" w:before="0" w:after="0"/>
        <w:ind w:left="718" w:right="105" w:hanging="507"/>
        <w:jc w:val="both"/>
        <w:rPr>
          <w:sz w:val="22"/>
        </w:rPr>
      </w:pPr>
      <w:r>
        <w:rPr>
          <w:sz w:val="22"/>
        </w:rPr>
        <w:t>Potter SM, Baum JA, Teng H, Stillman RJ, Shay NF, Erdman JW Jr. Soy protein and isoflavones:</w:t>
      </w:r>
      <w:r>
        <w:rPr>
          <w:spacing w:val="34"/>
          <w:sz w:val="22"/>
        </w:rPr>
        <w:t> </w:t>
      </w:r>
      <w:r>
        <w:rPr>
          <w:sz w:val="22"/>
        </w:rPr>
        <w:t>their</w:t>
      </w:r>
      <w:r>
        <w:rPr>
          <w:spacing w:val="34"/>
          <w:sz w:val="22"/>
        </w:rPr>
        <w:t> </w:t>
      </w:r>
      <w:r>
        <w:rPr>
          <w:sz w:val="22"/>
        </w:rPr>
        <w:t>effects</w:t>
      </w:r>
      <w:r>
        <w:rPr>
          <w:spacing w:val="34"/>
          <w:sz w:val="22"/>
        </w:rPr>
        <w:t> </w:t>
      </w:r>
      <w:r>
        <w:rPr>
          <w:sz w:val="22"/>
        </w:rPr>
        <w:t>on</w:t>
      </w:r>
      <w:r>
        <w:rPr>
          <w:spacing w:val="34"/>
          <w:sz w:val="22"/>
        </w:rPr>
        <w:t> </w:t>
      </w:r>
      <w:r>
        <w:rPr>
          <w:sz w:val="22"/>
        </w:rPr>
        <w:t>blood</w:t>
      </w:r>
      <w:r>
        <w:rPr>
          <w:spacing w:val="34"/>
          <w:sz w:val="22"/>
        </w:rPr>
        <w:t> </w:t>
      </w:r>
      <w:r>
        <w:rPr>
          <w:sz w:val="22"/>
        </w:rPr>
        <w:t>lipids</w:t>
      </w:r>
      <w:r>
        <w:rPr>
          <w:spacing w:val="34"/>
          <w:sz w:val="22"/>
        </w:rPr>
        <w:t> </w:t>
      </w:r>
      <w:r>
        <w:rPr>
          <w:sz w:val="22"/>
        </w:rPr>
        <w:t>and</w:t>
      </w:r>
      <w:r>
        <w:rPr>
          <w:spacing w:val="34"/>
          <w:sz w:val="22"/>
        </w:rPr>
        <w:t> </w:t>
      </w:r>
      <w:r>
        <w:rPr>
          <w:sz w:val="22"/>
        </w:rPr>
        <w:t>bone</w:t>
      </w:r>
      <w:r>
        <w:rPr>
          <w:spacing w:val="34"/>
          <w:sz w:val="22"/>
        </w:rPr>
        <w:t> </w:t>
      </w:r>
      <w:r>
        <w:rPr>
          <w:sz w:val="22"/>
        </w:rPr>
        <w:t>density</w:t>
      </w:r>
      <w:r>
        <w:rPr>
          <w:spacing w:val="34"/>
          <w:sz w:val="22"/>
        </w:rPr>
        <w:t> </w:t>
      </w:r>
      <w:r>
        <w:rPr>
          <w:sz w:val="22"/>
        </w:rPr>
        <w:t>in</w:t>
      </w:r>
      <w:r>
        <w:rPr>
          <w:spacing w:val="34"/>
          <w:sz w:val="22"/>
        </w:rPr>
        <w:t> </w:t>
      </w:r>
      <w:r>
        <w:rPr>
          <w:sz w:val="22"/>
        </w:rPr>
        <w:t>postmenopausal</w:t>
      </w:r>
      <w:r>
        <w:rPr>
          <w:spacing w:val="34"/>
          <w:sz w:val="22"/>
        </w:rPr>
        <w:t> </w:t>
      </w:r>
      <w:r>
        <w:rPr>
          <w:sz w:val="22"/>
        </w:rPr>
        <w:t>women. </w:t>
      </w:r>
      <w:r>
        <w:rPr>
          <w:i/>
          <w:sz w:val="22"/>
        </w:rPr>
        <w:t>Am</w:t>
      </w:r>
      <w:r>
        <w:rPr>
          <w:i/>
          <w:spacing w:val="40"/>
          <w:sz w:val="22"/>
        </w:rPr>
        <w:t> </w:t>
      </w:r>
      <w:r>
        <w:rPr>
          <w:i/>
          <w:sz w:val="22"/>
        </w:rPr>
        <w:t>J</w:t>
      </w:r>
      <w:r>
        <w:rPr>
          <w:i/>
          <w:sz w:val="22"/>
        </w:rPr>
        <w:t> Clin Nutr</w:t>
      </w:r>
      <w:r>
        <w:rPr>
          <w:sz w:val="22"/>
        </w:rPr>
        <w:t>. 1998;68(suppl):1375S.</w:t>
      </w:r>
    </w:p>
    <w:p>
      <w:pPr>
        <w:pStyle w:val="ListParagraph"/>
        <w:numPr>
          <w:ilvl w:val="0"/>
          <w:numId w:val="8"/>
        </w:numPr>
        <w:tabs>
          <w:tab w:pos="709" w:val="left" w:leader="none"/>
          <w:tab w:pos="718" w:val="left" w:leader="none"/>
        </w:tabs>
        <w:spacing w:line="256" w:lineRule="auto" w:before="0" w:after="0"/>
        <w:ind w:left="718" w:right="101" w:hanging="507"/>
        <w:jc w:val="both"/>
        <w:rPr>
          <w:sz w:val="22"/>
        </w:rPr>
      </w:pPr>
      <w:r>
        <w:rPr>
          <w:sz w:val="22"/>
        </w:rPr>
        <w:t>Gallagher JC, Satpathy R, Rafferty K, Haynatzka V. The effect of soy protein on bone metabolism. </w:t>
      </w:r>
      <w:r>
        <w:rPr>
          <w:i/>
          <w:sz w:val="22"/>
        </w:rPr>
        <w:t>Menopause</w:t>
      </w:r>
      <w:r>
        <w:rPr>
          <w:sz w:val="22"/>
        </w:rPr>
        <w:t>. 2004;11:290.</w:t>
      </w:r>
    </w:p>
    <w:p>
      <w:pPr>
        <w:pStyle w:val="ListParagraph"/>
        <w:numPr>
          <w:ilvl w:val="0"/>
          <w:numId w:val="8"/>
        </w:numPr>
        <w:tabs>
          <w:tab w:pos="709" w:val="left" w:leader="none"/>
          <w:tab w:pos="718" w:val="left" w:leader="none"/>
        </w:tabs>
        <w:spacing w:line="256" w:lineRule="auto" w:before="0" w:after="0"/>
        <w:ind w:left="718" w:right="102" w:hanging="507"/>
        <w:jc w:val="both"/>
        <w:rPr>
          <w:sz w:val="22"/>
        </w:rPr>
      </w:pPr>
      <w:r>
        <w:rPr>
          <w:sz w:val="22"/>
        </w:rPr>
        <w:t>Vupadhyayula PM, Gallagher JC, Templin T, Logsdon SM, Smith LM. Effects of soy protein isolate</w:t>
      </w:r>
      <w:r>
        <w:rPr>
          <w:spacing w:val="31"/>
          <w:sz w:val="22"/>
        </w:rPr>
        <w:t> </w:t>
      </w:r>
      <w:r>
        <w:rPr>
          <w:sz w:val="22"/>
        </w:rPr>
        <w:t>on</w:t>
      </w:r>
      <w:r>
        <w:rPr>
          <w:spacing w:val="31"/>
          <w:sz w:val="22"/>
        </w:rPr>
        <w:t> </w:t>
      </w:r>
      <w:r>
        <w:rPr>
          <w:sz w:val="22"/>
        </w:rPr>
        <w:t>bone</w:t>
      </w:r>
      <w:r>
        <w:rPr>
          <w:spacing w:val="31"/>
          <w:sz w:val="22"/>
        </w:rPr>
        <w:t> </w:t>
      </w:r>
      <w:r>
        <w:rPr>
          <w:sz w:val="22"/>
        </w:rPr>
        <w:t>mineral</w:t>
      </w:r>
      <w:r>
        <w:rPr>
          <w:spacing w:val="31"/>
          <w:sz w:val="22"/>
        </w:rPr>
        <w:t> </w:t>
      </w:r>
      <w:r>
        <w:rPr>
          <w:sz w:val="22"/>
        </w:rPr>
        <w:t>density</w:t>
      </w:r>
      <w:r>
        <w:rPr>
          <w:spacing w:val="31"/>
          <w:sz w:val="22"/>
        </w:rPr>
        <w:t> </w:t>
      </w:r>
      <w:r>
        <w:rPr>
          <w:sz w:val="22"/>
        </w:rPr>
        <w:t>and</w:t>
      </w:r>
      <w:r>
        <w:rPr>
          <w:spacing w:val="31"/>
          <w:sz w:val="22"/>
        </w:rPr>
        <w:t> </w:t>
      </w:r>
      <w:r>
        <w:rPr>
          <w:sz w:val="22"/>
        </w:rPr>
        <w:t>physical</w:t>
      </w:r>
      <w:r>
        <w:rPr>
          <w:spacing w:val="31"/>
          <w:sz w:val="22"/>
        </w:rPr>
        <w:t> </w:t>
      </w:r>
      <w:r>
        <w:rPr>
          <w:sz w:val="22"/>
        </w:rPr>
        <w:t>performance</w:t>
      </w:r>
      <w:r>
        <w:rPr>
          <w:spacing w:val="31"/>
          <w:sz w:val="22"/>
        </w:rPr>
        <w:t> </w:t>
      </w:r>
      <w:r>
        <w:rPr>
          <w:sz w:val="22"/>
        </w:rPr>
        <w:t>indices</w:t>
      </w:r>
      <w:r>
        <w:rPr>
          <w:spacing w:val="31"/>
          <w:sz w:val="22"/>
        </w:rPr>
        <w:t> </w:t>
      </w:r>
      <w:r>
        <w:rPr>
          <w:sz w:val="22"/>
        </w:rPr>
        <w:t>in</w:t>
      </w:r>
      <w:r>
        <w:rPr>
          <w:spacing w:val="31"/>
          <w:sz w:val="22"/>
        </w:rPr>
        <w:t> </w:t>
      </w:r>
      <w:r>
        <w:rPr>
          <w:sz w:val="22"/>
        </w:rPr>
        <w:t>postmenopausal</w:t>
      </w:r>
      <w:r>
        <w:rPr>
          <w:spacing w:val="31"/>
          <w:sz w:val="22"/>
        </w:rPr>
        <w:t> </w:t>
      </w:r>
      <w:r>
        <w:rPr>
          <w:sz w:val="22"/>
        </w:rPr>
        <w:t>women</w:t>
      </w:r>
    </w:p>
    <w:p>
      <w:pPr>
        <w:spacing w:line="252" w:lineRule="exact" w:before="0"/>
        <w:ind w:left="718" w:right="0" w:firstLine="0"/>
        <w:jc w:val="both"/>
        <w:rPr>
          <w:sz w:val="22"/>
        </w:rPr>
      </w:pPr>
      <w:r>
        <w:rPr>
          <w:sz w:val="22"/>
        </w:rPr>
        <w:t>—a</w:t>
      </w:r>
      <w:r>
        <w:rPr>
          <w:spacing w:val="18"/>
          <w:sz w:val="22"/>
        </w:rPr>
        <w:t> </w:t>
      </w:r>
      <w:r>
        <w:rPr>
          <w:sz w:val="22"/>
        </w:rPr>
        <w:t>2-year</w:t>
      </w:r>
      <w:r>
        <w:rPr>
          <w:spacing w:val="19"/>
          <w:sz w:val="22"/>
        </w:rPr>
        <w:t> </w:t>
      </w:r>
      <w:r>
        <w:rPr>
          <w:sz w:val="22"/>
        </w:rPr>
        <w:t>randomized,</w:t>
      </w:r>
      <w:r>
        <w:rPr>
          <w:spacing w:val="19"/>
          <w:sz w:val="22"/>
        </w:rPr>
        <w:t> </w:t>
      </w:r>
      <w:r>
        <w:rPr>
          <w:sz w:val="22"/>
        </w:rPr>
        <w:t>double-blind,</w:t>
      </w:r>
      <w:r>
        <w:rPr>
          <w:spacing w:val="19"/>
          <w:sz w:val="22"/>
        </w:rPr>
        <w:t> </w:t>
      </w:r>
      <w:r>
        <w:rPr>
          <w:sz w:val="22"/>
        </w:rPr>
        <w:t>placebo-controlled</w:t>
      </w:r>
      <w:r>
        <w:rPr>
          <w:spacing w:val="19"/>
          <w:sz w:val="22"/>
        </w:rPr>
        <w:t> </w:t>
      </w:r>
      <w:r>
        <w:rPr>
          <w:sz w:val="22"/>
        </w:rPr>
        <w:t>trial.</w:t>
      </w:r>
      <w:r>
        <w:rPr>
          <w:spacing w:val="18"/>
          <w:sz w:val="22"/>
        </w:rPr>
        <w:t> </w:t>
      </w:r>
      <w:r>
        <w:rPr>
          <w:i/>
          <w:sz w:val="22"/>
        </w:rPr>
        <w:t>Menopause</w:t>
      </w:r>
      <w:r>
        <w:rPr>
          <w:sz w:val="22"/>
        </w:rPr>
        <w:t>.</w:t>
      </w:r>
      <w:r>
        <w:rPr>
          <w:spacing w:val="19"/>
          <w:sz w:val="22"/>
        </w:rPr>
        <w:t> </w:t>
      </w:r>
      <w:r>
        <w:rPr>
          <w:spacing w:val="-2"/>
          <w:sz w:val="22"/>
        </w:rPr>
        <w:t>2009;16:320.</w:t>
      </w:r>
    </w:p>
    <w:p>
      <w:pPr>
        <w:pStyle w:val="ListParagraph"/>
        <w:numPr>
          <w:ilvl w:val="0"/>
          <w:numId w:val="8"/>
        </w:numPr>
        <w:tabs>
          <w:tab w:pos="709" w:val="left" w:leader="none"/>
          <w:tab w:pos="718" w:val="left" w:leader="none"/>
        </w:tabs>
        <w:spacing w:line="256" w:lineRule="auto" w:before="0" w:after="0"/>
        <w:ind w:left="718" w:right="106" w:hanging="507"/>
        <w:jc w:val="both"/>
        <w:rPr>
          <w:sz w:val="22"/>
        </w:rPr>
      </w:pPr>
      <w:r>
        <w:rPr>
          <w:sz w:val="22"/>
        </w:rPr>
        <w:t>Lucas EA, Wild RD, Hammond LJ, et al. Flaxseed improves lipid profile without altering biomarkers of bone metabolism in postmenopausal women. </w:t>
      </w:r>
      <w:r>
        <w:rPr>
          <w:i/>
          <w:sz w:val="22"/>
        </w:rPr>
        <w:t>J Clin Endocrinol </w:t>
      </w:r>
      <w:r>
        <w:rPr>
          <w:i/>
          <w:sz w:val="22"/>
        </w:rPr>
        <w:t>Metab</w:t>
      </w:r>
      <w:r>
        <w:rPr>
          <w:sz w:val="22"/>
        </w:rPr>
        <w:t>. </w:t>
      </w:r>
      <w:r>
        <w:rPr>
          <w:spacing w:val="-2"/>
          <w:sz w:val="22"/>
        </w:rPr>
        <w:t>2002;87:1527.</w:t>
      </w:r>
    </w:p>
    <w:p>
      <w:pPr>
        <w:pStyle w:val="ListParagraph"/>
        <w:numPr>
          <w:ilvl w:val="0"/>
          <w:numId w:val="8"/>
        </w:numPr>
        <w:tabs>
          <w:tab w:pos="709" w:val="left" w:leader="none"/>
          <w:tab w:pos="718" w:val="left" w:leader="none"/>
        </w:tabs>
        <w:spacing w:line="256" w:lineRule="auto" w:before="0" w:after="0"/>
        <w:ind w:left="718" w:right="109" w:hanging="507"/>
        <w:jc w:val="both"/>
        <w:rPr>
          <w:sz w:val="22"/>
        </w:rPr>
      </w:pPr>
      <w:r>
        <w:rPr>
          <w:sz w:val="22"/>
        </w:rPr>
        <w:t>Nakamura</w:t>
      </w:r>
      <w:r>
        <w:rPr>
          <w:spacing w:val="40"/>
          <w:sz w:val="22"/>
        </w:rPr>
        <w:t> </w:t>
      </w:r>
      <w:r>
        <w:rPr>
          <w:sz w:val="22"/>
        </w:rPr>
        <w:t>T,</w:t>
      </w:r>
      <w:r>
        <w:rPr>
          <w:spacing w:val="40"/>
          <w:sz w:val="22"/>
        </w:rPr>
        <w:t> </w:t>
      </w:r>
      <w:r>
        <w:rPr>
          <w:sz w:val="22"/>
        </w:rPr>
        <w:t>Turner</w:t>
      </w:r>
      <w:r>
        <w:rPr>
          <w:spacing w:val="40"/>
          <w:sz w:val="22"/>
        </w:rPr>
        <w:t> </w:t>
      </w:r>
      <w:r>
        <w:rPr>
          <w:sz w:val="22"/>
        </w:rPr>
        <w:t>CH,</w:t>
      </w:r>
      <w:r>
        <w:rPr>
          <w:spacing w:val="40"/>
          <w:sz w:val="22"/>
        </w:rPr>
        <w:t> </w:t>
      </w:r>
      <w:r>
        <w:rPr>
          <w:sz w:val="22"/>
        </w:rPr>
        <w:t>Yoshikawa</w:t>
      </w:r>
      <w:r>
        <w:rPr>
          <w:spacing w:val="40"/>
          <w:sz w:val="22"/>
        </w:rPr>
        <w:t> </w:t>
      </w:r>
      <w:r>
        <w:rPr>
          <w:sz w:val="22"/>
        </w:rPr>
        <w:t>T,</w:t>
      </w:r>
      <w:r>
        <w:rPr>
          <w:spacing w:val="40"/>
          <w:sz w:val="22"/>
        </w:rPr>
        <w:t> </w:t>
      </w:r>
      <w:r>
        <w:rPr>
          <w:sz w:val="22"/>
        </w:rPr>
        <w:t>et</w:t>
      </w:r>
      <w:r>
        <w:rPr>
          <w:spacing w:val="40"/>
          <w:sz w:val="22"/>
        </w:rPr>
        <w:t> </w:t>
      </w:r>
      <w:r>
        <w:rPr>
          <w:sz w:val="22"/>
        </w:rPr>
        <w:t>al.</w:t>
      </w:r>
      <w:r>
        <w:rPr>
          <w:spacing w:val="40"/>
          <w:sz w:val="22"/>
        </w:rPr>
        <w:t> </w:t>
      </w:r>
      <w:r>
        <w:rPr>
          <w:sz w:val="22"/>
        </w:rPr>
        <w:t>Do</w:t>
      </w:r>
      <w:r>
        <w:rPr>
          <w:spacing w:val="40"/>
          <w:sz w:val="22"/>
        </w:rPr>
        <w:t> </w:t>
      </w:r>
      <w:r>
        <w:rPr>
          <w:sz w:val="22"/>
        </w:rPr>
        <w:t>variations</w:t>
      </w:r>
      <w:r>
        <w:rPr>
          <w:spacing w:val="40"/>
          <w:sz w:val="22"/>
        </w:rPr>
        <w:t> </w:t>
      </w:r>
      <w:r>
        <w:rPr>
          <w:sz w:val="22"/>
        </w:rPr>
        <w:t>in</w:t>
      </w:r>
      <w:r>
        <w:rPr>
          <w:spacing w:val="40"/>
          <w:sz w:val="22"/>
        </w:rPr>
        <w:t> </w:t>
      </w:r>
      <w:r>
        <w:rPr>
          <w:sz w:val="22"/>
        </w:rPr>
        <w:t>hip</w:t>
      </w:r>
      <w:r>
        <w:rPr>
          <w:spacing w:val="40"/>
          <w:sz w:val="22"/>
        </w:rPr>
        <w:t> </w:t>
      </w:r>
      <w:r>
        <w:rPr>
          <w:sz w:val="22"/>
        </w:rPr>
        <w:t>geometry</w:t>
      </w:r>
      <w:r>
        <w:rPr>
          <w:spacing w:val="40"/>
          <w:sz w:val="22"/>
        </w:rPr>
        <w:t> </w:t>
      </w:r>
      <w:r>
        <w:rPr>
          <w:sz w:val="22"/>
        </w:rPr>
        <w:t>explain differences in hip fracture risk between Japanese and white Americans? </w:t>
      </w:r>
      <w:r>
        <w:rPr>
          <w:i/>
          <w:sz w:val="22"/>
        </w:rPr>
        <w:t>J Bone Miner Res</w:t>
      </w:r>
      <w:r>
        <w:rPr>
          <w:sz w:val="22"/>
        </w:rPr>
        <w:t>. </w:t>
      </w:r>
      <w:r>
        <w:rPr>
          <w:spacing w:val="-2"/>
          <w:sz w:val="22"/>
        </w:rPr>
        <w:t>1994;9:1071.</w:t>
      </w:r>
    </w:p>
    <w:p>
      <w:pPr>
        <w:pStyle w:val="ListParagraph"/>
        <w:numPr>
          <w:ilvl w:val="0"/>
          <w:numId w:val="8"/>
        </w:numPr>
        <w:tabs>
          <w:tab w:pos="709" w:val="left" w:leader="none"/>
          <w:tab w:pos="718" w:val="left" w:leader="none"/>
        </w:tabs>
        <w:spacing w:line="256" w:lineRule="auto" w:before="0" w:after="0"/>
        <w:ind w:left="718" w:right="107" w:hanging="507"/>
        <w:jc w:val="both"/>
        <w:rPr>
          <w:sz w:val="22"/>
        </w:rPr>
      </w:pPr>
      <w:r>
        <w:rPr>
          <w:sz w:val="22"/>
        </w:rPr>
        <w:t>Melis</w:t>
      </w:r>
      <w:r>
        <w:rPr>
          <w:spacing w:val="40"/>
          <w:sz w:val="22"/>
        </w:rPr>
        <w:t> </w:t>
      </w:r>
      <w:r>
        <w:rPr>
          <w:sz w:val="22"/>
        </w:rPr>
        <w:t>GB,</w:t>
      </w:r>
      <w:r>
        <w:rPr>
          <w:spacing w:val="40"/>
          <w:sz w:val="22"/>
        </w:rPr>
        <w:t> </w:t>
      </w:r>
      <w:r>
        <w:rPr>
          <w:sz w:val="22"/>
        </w:rPr>
        <w:t>Paoletti</w:t>
      </w:r>
      <w:r>
        <w:rPr>
          <w:spacing w:val="40"/>
          <w:sz w:val="22"/>
        </w:rPr>
        <w:t> </w:t>
      </w:r>
      <w:r>
        <w:rPr>
          <w:sz w:val="22"/>
        </w:rPr>
        <w:t>AM,</w:t>
      </w:r>
      <w:r>
        <w:rPr>
          <w:spacing w:val="40"/>
          <w:sz w:val="22"/>
        </w:rPr>
        <w:t> </w:t>
      </w:r>
      <w:r>
        <w:rPr>
          <w:sz w:val="22"/>
        </w:rPr>
        <w:t>Cagnacci</w:t>
      </w:r>
      <w:r>
        <w:rPr>
          <w:spacing w:val="40"/>
          <w:sz w:val="22"/>
        </w:rPr>
        <w:t> </w:t>
      </w:r>
      <w:r>
        <w:rPr>
          <w:sz w:val="22"/>
        </w:rPr>
        <w:t>A.</w:t>
      </w:r>
      <w:r>
        <w:rPr>
          <w:spacing w:val="40"/>
          <w:sz w:val="22"/>
        </w:rPr>
        <w:t> </w:t>
      </w:r>
      <w:r>
        <w:rPr>
          <w:sz w:val="22"/>
        </w:rPr>
        <w:t>Ipriflavone</w:t>
      </w:r>
      <w:r>
        <w:rPr>
          <w:spacing w:val="40"/>
          <w:sz w:val="22"/>
        </w:rPr>
        <w:t> </w:t>
      </w:r>
      <w:r>
        <w:rPr>
          <w:sz w:val="22"/>
        </w:rPr>
        <w:t>prevents</w:t>
      </w:r>
      <w:r>
        <w:rPr>
          <w:spacing w:val="40"/>
          <w:sz w:val="22"/>
        </w:rPr>
        <w:t> </w:t>
      </w:r>
      <w:r>
        <w:rPr>
          <w:sz w:val="22"/>
        </w:rPr>
        <w:t>bone</w:t>
      </w:r>
      <w:r>
        <w:rPr>
          <w:spacing w:val="40"/>
          <w:sz w:val="22"/>
        </w:rPr>
        <w:t> </w:t>
      </w:r>
      <w:r>
        <w:rPr>
          <w:sz w:val="22"/>
        </w:rPr>
        <w:t>loss</w:t>
      </w:r>
      <w:r>
        <w:rPr>
          <w:spacing w:val="40"/>
          <w:sz w:val="22"/>
        </w:rPr>
        <w:t> </w:t>
      </w:r>
      <w:r>
        <w:rPr>
          <w:sz w:val="22"/>
        </w:rPr>
        <w:t>in</w:t>
      </w:r>
      <w:r>
        <w:rPr>
          <w:spacing w:val="40"/>
          <w:sz w:val="22"/>
        </w:rPr>
        <w:t> </w:t>
      </w:r>
      <w:r>
        <w:rPr>
          <w:sz w:val="22"/>
        </w:rPr>
        <w:t>postmenopausal women. </w:t>
      </w:r>
      <w:r>
        <w:rPr>
          <w:i/>
          <w:sz w:val="22"/>
        </w:rPr>
        <w:t>Menopause</w:t>
      </w:r>
      <w:r>
        <w:rPr>
          <w:sz w:val="22"/>
        </w:rPr>
        <w:t>. 1996;3:27.</w:t>
      </w:r>
    </w:p>
    <w:p>
      <w:pPr>
        <w:pStyle w:val="ListParagraph"/>
        <w:numPr>
          <w:ilvl w:val="0"/>
          <w:numId w:val="8"/>
        </w:numPr>
        <w:tabs>
          <w:tab w:pos="709" w:val="left" w:leader="none"/>
          <w:tab w:pos="718" w:val="left" w:leader="none"/>
        </w:tabs>
        <w:spacing w:line="256" w:lineRule="auto" w:before="0" w:after="0"/>
        <w:ind w:left="718" w:right="104" w:hanging="507"/>
        <w:jc w:val="both"/>
        <w:rPr>
          <w:sz w:val="22"/>
        </w:rPr>
      </w:pPr>
      <w:r>
        <w:rPr>
          <w:sz w:val="22"/>
        </w:rPr>
        <w:t>Gennari C, Agnusdei D, Crepaldi G, et al. Effect of ipriflavone—a synthetic derivative of</w:t>
      </w:r>
      <w:r>
        <w:rPr>
          <w:spacing w:val="40"/>
          <w:sz w:val="22"/>
        </w:rPr>
        <w:t> </w:t>
      </w:r>
      <w:r>
        <w:rPr>
          <w:sz w:val="22"/>
        </w:rPr>
        <w:t>natural isoflavones—on bone mass loss in the early years after menopause. </w:t>
      </w:r>
      <w:r>
        <w:rPr>
          <w:i/>
          <w:sz w:val="22"/>
        </w:rPr>
        <w:t>Menopause</w:t>
      </w:r>
      <w:r>
        <w:rPr>
          <w:sz w:val="22"/>
        </w:rPr>
        <w:t>. </w:t>
      </w:r>
      <w:r>
        <w:rPr>
          <w:spacing w:val="-2"/>
          <w:sz w:val="22"/>
        </w:rPr>
        <w:t>1998;5:9.</w:t>
      </w:r>
    </w:p>
    <w:p>
      <w:pPr>
        <w:pStyle w:val="ListParagraph"/>
        <w:numPr>
          <w:ilvl w:val="0"/>
          <w:numId w:val="8"/>
        </w:numPr>
        <w:tabs>
          <w:tab w:pos="709" w:val="left" w:leader="none"/>
          <w:tab w:pos="718" w:val="left" w:leader="none"/>
        </w:tabs>
        <w:spacing w:line="256" w:lineRule="auto" w:before="0" w:after="0"/>
        <w:ind w:left="718" w:right="99" w:hanging="507"/>
        <w:jc w:val="both"/>
        <w:rPr>
          <w:sz w:val="22"/>
        </w:rPr>
      </w:pPr>
      <w:r>
        <w:rPr>
          <w:sz w:val="22"/>
        </w:rPr>
        <w:t>de</w:t>
      </w:r>
      <w:r>
        <w:rPr>
          <w:spacing w:val="40"/>
          <w:sz w:val="22"/>
        </w:rPr>
        <w:t> </w:t>
      </w:r>
      <w:r>
        <w:rPr>
          <w:sz w:val="22"/>
        </w:rPr>
        <w:t>Aloysio</w:t>
      </w:r>
      <w:r>
        <w:rPr>
          <w:spacing w:val="40"/>
          <w:sz w:val="22"/>
        </w:rPr>
        <w:t> </w:t>
      </w:r>
      <w:r>
        <w:rPr>
          <w:sz w:val="22"/>
        </w:rPr>
        <w:t>D,</w:t>
      </w:r>
      <w:r>
        <w:rPr>
          <w:spacing w:val="40"/>
          <w:sz w:val="22"/>
        </w:rPr>
        <w:t> </w:t>
      </w:r>
      <w:r>
        <w:rPr>
          <w:sz w:val="22"/>
        </w:rPr>
        <w:t>Gambacciani</w:t>
      </w:r>
      <w:r>
        <w:rPr>
          <w:spacing w:val="40"/>
          <w:sz w:val="22"/>
        </w:rPr>
        <w:t> </w:t>
      </w:r>
      <w:r>
        <w:rPr>
          <w:sz w:val="22"/>
        </w:rPr>
        <w:t>M,</w:t>
      </w:r>
      <w:r>
        <w:rPr>
          <w:spacing w:val="40"/>
          <w:sz w:val="22"/>
        </w:rPr>
        <w:t> </w:t>
      </w:r>
      <w:r>
        <w:rPr>
          <w:sz w:val="22"/>
        </w:rPr>
        <w:t>Altieri</w:t>
      </w:r>
      <w:r>
        <w:rPr>
          <w:spacing w:val="40"/>
          <w:sz w:val="22"/>
        </w:rPr>
        <w:t> </w:t>
      </w:r>
      <w:r>
        <w:rPr>
          <w:sz w:val="22"/>
        </w:rPr>
        <w:t>P,</w:t>
      </w:r>
      <w:r>
        <w:rPr>
          <w:spacing w:val="40"/>
          <w:sz w:val="22"/>
        </w:rPr>
        <w:t> </w:t>
      </w:r>
      <w:r>
        <w:rPr>
          <w:sz w:val="22"/>
        </w:rPr>
        <w:t>et</w:t>
      </w:r>
      <w:r>
        <w:rPr>
          <w:spacing w:val="40"/>
          <w:sz w:val="22"/>
        </w:rPr>
        <w:t> </w:t>
      </w:r>
      <w:r>
        <w:rPr>
          <w:sz w:val="22"/>
        </w:rPr>
        <w:t>al.</w:t>
      </w:r>
      <w:r>
        <w:rPr>
          <w:spacing w:val="40"/>
          <w:sz w:val="22"/>
        </w:rPr>
        <w:t> </w:t>
      </w:r>
      <w:r>
        <w:rPr>
          <w:sz w:val="22"/>
        </w:rPr>
        <w:t>Bone</w:t>
      </w:r>
      <w:r>
        <w:rPr>
          <w:spacing w:val="40"/>
          <w:sz w:val="22"/>
        </w:rPr>
        <w:t> </w:t>
      </w:r>
      <w:r>
        <w:rPr>
          <w:sz w:val="22"/>
        </w:rPr>
        <w:t>density</w:t>
      </w:r>
      <w:r>
        <w:rPr>
          <w:spacing w:val="40"/>
          <w:sz w:val="22"/>
        </w:rPr>
        <w:t> </w:t>
      </w:r>
      <w:r>
        <w:rPr>
          <w:sz w:val="22"/>
        </w:rPr>
        <w:t>changes</w:t>
      </w:r>
      <w:r>
        <w:rPr>
          <w:spacing w:val="40"/>
          <w:sz w:val="22"/>
        </w:rPr>
        <w:t> </w:t>
      </w:r>
      <w:r>
        <w:rPr>
          <w:sz w:val="22"/>
        </w:rPr>
        <w:t>in</w:t>
      </w:r>
      <w:r>
        <w:rPr>
          <w:spacing w:val="40"/>
          <w:sz w:val="22"/>
        </w:rPr>
        <w:t> </w:t>
      </w:r>
      <w:r>
        <w:rPr>
          <w:sz w:val="22"/>
        </w:rPr>
        <w:t>postmenopausal women with the administration of ipriflavone alone or in association with low-dose ERT. </w:t>
      </w:r>
      <w:r>
        <w:rPr>
          <w:i/>
          <w:sz w:val="22"/>
        </w:rPr>
        <w:t>Gynecol Endocrinol</w:t>
      </w:r>
      <w:r>
        <w:rPr>
          <w:sz w:val="22"/>
        </w:rPr>
        <w:t>. 1997;11:289.</w:t>
      </w:r>
    </w:p>
    <w:p>
      <w:pPr>
        <w:pStyle w:val="ListParagraph"/>
        <w:numPr>
          <w:ilvl w:val="0"/>
          <w:numId w:val="8"/>
        </w:numPr>
        <w:tabs>
          <w:tab w:pos="709" w:val="left" w:leader="none"/>
          <w:tab w:pos="718" w:val="left" w:leader="none"/>
        </w:tabs>
        <w:spacing w:line="256" w:lineRule="auto" w:before="0" w:after="0"/>
        <w:ind w:left="718" w:right="105" w:hanging="507"/>
        <w:jc w:val="both"/>
        <w:rPr>
          <w:sz w:val="22"/>
        </w:rPr>
      </w:pPr>
      <w:r>
        <w:rPr>
          <w:sz w:val="22"/>
        </w:rPr>
        <w:t>Gambacciani M, Ciaponi M, Cappagli B, Piaggesi L, Genazzani AR. Effects of combined low dose</w:t>
      </w:r>
      <w:r>
        <w:rPr>
          <w:spacing w:val="40"/>
          <w:sz w:val="22"/>
        </w:rPr>
        <w:t> </w:t>
      </w:r>
      <w:r>
        <w:rPr>
          <w:sz w:val="22"/>
        </w:rPr>
        <w:t>of</w:t>
      </w:r>
      <w:r>
        <w:rPr>
          <w:spacing w:val="40"/>
          <w:sz w:val="22"/>
        </w:rPr>
        <w:t> </w:t>
      </w:r>
      <w:r>
        <w:rPr>
          <w:sz w:val="22"/>
        </w:rPr>
        <w:t>the</w:t>
      </w:r>
      <w:r>
        <w:rPr>
          <w:spacing w:val="40"/>
          <w:sz w:val="22"/>
        </w:rPr>
        <w:t> </w:t>
      </w:r>
      <w:r>
        <w:rPr>
          <w:sz w:val="22"/>
        </w:rPr>
        <w:t>isoflavone</w:t>
      </w:r>
      <w:r>
        <w:rPr>
          <w:spacing w:val="40"/>
          <w:sz w:val="22"/>
        </w:rPr>
        <w:t> </w:t>
      </w:r>
      <w:r>
        <w:rPr>
          <w:sz w:val="22"/>
        </w:rPr>
        <w:t>derivative</w:t>
      </w:r>
      <w:r>
        <w:rPr>
          <w:spacing w:val="40"/>
          <w:sz w:val="22"/>
        </w:rPr>
        <w:t> </w:t>
      </w:r>
      <w:r>
        <w:rPr>
          <w:sz w:val="22"/>
        </w:rPr>
        <w:t>ipriflavone</w:t>
      </w:r>
      <w:r>
        <w:rPr>
          <w:spacing w:val="40"/>
          <w:sz w:val="22"/>
        </w:rPr>
        <w:t> </w:t>
      </w:r>
      <w:r>
        <w:rPr>
          <w:sz w:val="22"/>
        </w:rPr>
        <w:t>and</w:t>
      </w:r>
      <w:r>
        <w:rPr>
          <w:spacing w:val="40"/>
          <w:sz w:val="22"/>
        </w:rPr>
        <w:t> </w:t>
      </w:r>
      <w:r>
        <w:rPr>
          <w:sz w:val="22"/>
        </w:rPr>
        <w:t>estrogen</w:t>
      </w:r>
      <w:r>
        <w:rPr>
          <w:spacing w:val="40"/>
          <w:sz w:val="22"/>
        </w:rPr>
        <w:t> </w:t>
      </w:r>
      <w:r>
        <w:rPr>
          <w:sz w:val="22"/>
        </w:rPr>
        <w:t>replacement</w:t>
      </w:r>
      <w:r>
        <w:rPr>
          <w:spacing w:val="40"/>
          <w:sz w:val="22"/>
        </w:rPr>
        <w:t> </w:t>
      </w:r>
      <w:r>
        <w:rPr>
          <w:sz w:val="22"/>
        </w:rPr>
        <w:t>on</w:t>
      </w:r>
      <w:r>
        <w:rPr>
          <w:spacing w:val="40"/>
          <w:sz w:val="22"/>
        </w:rPr>
        <w:t> </w:t>
      </w:r>
      <w:r>
        <w:rPr>
          <w:sz w:val="22"/>
        </w:rPr>
        <w:t>bone</w:t>
      </w:r>
      <w:r>
        <w:rPr>
          <w:spacing w:val="40"/>
          <w:sz w:val="22"/>
        </w:rPr>
        <w:t> </w:t>
      </w:r>
      <w:r>
        <w:rPr>
          <w:sz w:val="22"/>
        </w:rPr>
        <w:t>mineral density and metabolism in postmenopausal women. </w:t>
      </w:r>
      <w:r>
        <w:rPr>
          <w:i/>
          <w:sz w:val="22"/>
        </w:rPr>
        <w:t>Maturitas</w:t>
      </w:r>
      <w:r>
        <w:rPr>
          <w:sz w:val="22"/>
        </w:rPr>
        <w:t>. 1997;28:75.</w:t>
      </w:r>
    </w:p>
    <w:p>
      <w:pPr>
        <w:pStyle w:val="ListParagraph"/>
        <w:numPr>
          <w:ilvl w:val="0"/>
          <w:numId w:val="8"/>
        </w:numPr>
        <w:tabs>
          <w:tab w:pos="709" w:val="left" w:leader="none"/>
          <w:tab w:pos="718" w:val="left" w:leader="none"/>
        </w:tabs>
        <w:spacing w:line="256" w:lineRule="auto" w:before="0" w:after="0"/>
        <w:ind w:left="718" w:right="102" w:hanging="507"/>
        <w:jc w:val="both"/>
        <w:rPr>
          <w:sz w:val="22"/>
        </w:rPr>
      </w:pPr>
      <w:r>
        <w:rPr>
          <w:sz w:val="22"/>
        </w:rPr>
        <w:t>Alexandersen P, Toussaint A, Christiansen C, et al; Ipriflavone Multicenter European </w:t>
      </w:r>
      <w:r>
        <w:rPr>
          <w:sz w:val="22"/>
        </w:rPr>
        <w:t>Fracture Study. Ipriflavone in the treatment of postmenopausal osteoporosis: a randomized controlled trial. </w:t>
      </w:r>
      <w:r>
        <w:rPr>
          <w:i/>
          <w:sz w:val="22"/>
        </w:rPr>
        <w:t>JAMA</w:t>
      </w:r>
      <w:r>
        <w:rPr>
          <w:sz w:val="22"/>
        </w:rPr>
        <w:t>. 2001;285:1482.</w:t>
      </w:r>
    </w:p>
    <w:p>
      <w:pPr>
        <w:pStyle w:val="ListParagraph"/>
        <w:spacing w:after="0" w:line="256" w:lineRule="auto"/>
        <w:jc w:val="both"/>
        <w:rPr>
          <w:sz w:val="22"/>
        </w:rPr>
        <w:sectPr>
          <w:pgSz w:w="12240" w:h="15840"/>
          <w:pgMar w:top="1360" w:bottom="280" w:left="1440" w:right="1440"/>
        </w:sectPr>
      </w:pPr>
    </w:p>
    <w:p>
      <w:pPr>
        <w:pStyle w:val="ListParagraph"/>
        <w:numPr>
          <w:ilvl w:val="0"/>
          <w:numId w:val="8"/>
        </w:numPr>
        <w:tabs>
          <w:tab w:pos="710" w:val="left" w:leader="none"/>
        </w:tabs>
        <w:spacing w:line="240" w:lineRule="auto" w:before="84" w:after="0"/>
        <w:ind w:left="710" w:right="0" w:hanging="498"/>
        <w:jc w:val="both"/>
        <w:rPr>
          <w:sz w:val="22"/>
        </w:rPr>
      </w:pPr>
      <w:r>
        <w:rPr>
          <w:sz w:val="22"/>
        </w:rPr>
        <w:t>Morito</w:t>
      </w:r>
      <w:r>
        <w:rPr>
          <w:spacing w:val="14"/>
          <w:sz w:val="22"/>
        </w:rPr>
        <w:t> </w:t>
      </w:r>
      <w:r>
        <w:rPr>
          <w:sz w:val="22"/>
        </w:rPr>
        <w:t>K,</w:t>
      </w:r>
      <w:r>
        <w:rPr>
          <w:spacing w:val="14"/>
          <w:sz w:val="22"/>
        </w:rPr>
        <w:t> </w:t>
      </w:r>
      <w:r>
        <w:rPr>
          <w:sz w:val="22"/>
        </w:rPr>
        <w:t>Hirose</w:t>
      </w:r>
      <w:r>
        <w:rPr>
          <w:spacing w:val="14"/>
          <w:sz w:val="22"/>
        </w:rPr>
        <w:t> </w:t>
      </w:r>
      <w:r>
        <w:rPr>
          <w:sz w:val="22"/>
        </w:rPr>
        <w:t>T,</w:t>
      </w:r>
      <w:r>
        <w:rPr>
          <w:spacing w:val="14"/>
          <w:sz w:val="22"/>
        </w:rPr>
        <w:t> </w:t>
      </w:r>
      <w:r>
        <w:rPr>
          <w:sz w:val="22"/>
        </w:rPr>
        <w:t>Kinjo</w:t>
      </w:r>
      <w:r>
        <w:rPr>
          <w:spacing w:val="14"/>
          <w:sz w:val="22"/>
        </w:rPr>
        <w:t> </w:t>
      </w:r>
      <w:r>
        <w:rPr>
          <w:sz w:val="22"/>
        </w:rPr>
        <w:t>J,</w:t>
      </w:r>
      <w:r>
        <w:rPr>
          <w:spacing w:val="15"/>
          <w:sz w:val="22"/>
        </w:rPr>
        <w:t> </w:t>
      </w:r>
      <w:r>
        <w:rPr>
          <w:sz w:val="22"/>
        </w:rPr>
        <w:t>et</w:t>
      </w:r>
      <w:r>
        <w:rPr>
          <w:spacing w:val="14"/>
          <w:sz w:val="22"/>
        </w:rPr>
        <w:t> </w:t>
      </w:r>
      <w:r>
        <w:rPr>
          <w:sz w:val="22"/>
        </w:rPr>
        <w:t>al.</w:t>
      </w:r>
      <w:r>
        <w:rPr>
          <w:spacing w:val="14"/>
          <w:sz w:val="22"/>
        </w:rPr>
        <w:t> </w:t>
      </w:r>
      <w:r>
        <w:rPr>
          <w:sz w:val="22"/>
        </w:rPr>
        <w:t>Interaction</w:t>
      </w:r>
      <w:r>
        <w:rPr>
          <w:spacing w:val="18"/>
          <w:sz w:val="22"/>
        </w:rPr>
        <w:t> </w:t>
      </w:r>
      <w:r>
        <w:rPr>
          <w:sz w:val="22"/>
        </w:rPr>
        <w:t>of</w:t>
      </w:r>
      <w:r>
        <w:rPr>
          <w:spacing w:val="17"/>
          <w:sz w:val="22"/>
        </w:rPr>
        <w:t> </w:t>
      </w:r>
      <w:r>
        <w:rPr>
          <w:sz w:val="22"/>
        </w:rPr>
        <w:t>phytoestrogens</w:t>
      </w:r>
      <w:r>
        <w:rPr>
          <w:spacing w:val="18"/>
          <w:sz w:val="22"/>
        </w:rPr>
        <w:t> </w:t>
      </w:r>
      <w:r>
        <w:rPr>
          <w:sz w:val="22"/>
        </w:rPr>
        <w:t>with</w:t>
      </w:r>
      <w:r>
        <w:rPr>
          <w:spacing w:val="17"/>
          <w:sz w:val="22"/>
        </w:rPr>
        <w:t> </w:t>
      </w:r>
      <w:r>
        <w:rPr>
          <w:sz w:val="22"/>
        </w:rPr>
        <w:t>estrogen</w:t>
      </w:r>
      <w:r>
        <w:rPr>
          <w:spacing w:val="18"/>
          <w:sz w:val="22"/>
        </w:rPr>
        <w:t> </w:t>
      </w:r>
      <w:r>
        <w:rPr>
          <w:sz w:val="22"/>
        </w:rPr>
        <w:t>receptors</w:t>
      </w:r>
      <w:r>
        <w:rPr>
          <w:spacing w:val="17"/>
          <w:sz w:val="22"/>
        </w:rPr>
        <w:t> </w:t>
      </w:r>
      <w:r>
        <w:rPr>
          <w:sz w:val="22"/>
        </w:rPr>
        <w:t>a</w:t>
      </w:r>
      <w:r>
        <w:rPr>
          <w:spacing w:val="18"/>
          <w:sz w:val="22"/>
        </w:rPr>
        <w:t> </w:t>
      </w:r>
      <w:r>
        <w:rPr>
          <w:spacing w:val="-5"/>
          <w:sz w:val="22"/>
        </w:rPr>
        <w:t>and</w:t>
      </w:r>
    </w:p>
    <w:p>
      <w:pPr>
        <w:spacing w:before="17"/>
        <w:ind w:left="718" w:right="0" w:firstLine="0"/>
        <w:jc w:val="both"/>
        <w:rPr>
          <w:sz w:val="22"/>
        </w:rPr>
      </w:pPr>
      <w:r>
        <w:rPr>
          <w:sz w:val="22"/>
        </w:rPr>
        <w:t>b.</w:t>
      </w:r>
      <w:r>
        <w:rPr>
          <w:spacing w:val="8"/>
          <w:sz w:val="22"/>
        </w:rPr>
        <w:t> </w:t>
      </w:r>
      <w:r>
        <w:rPr>
          <w:i/>
          <w:sz w:val="22"/>
        </w:rPr>
        <w:t>Biol</w:t>
      </w:r>
      <w:r>
        <w:rPr>
          <w:i/>
          <w:spacing w:val="9"/>
          <w:sz w:val="22"/>
        </w:rPr>
        <w:t> </w:t>
      </w:r>
      <w:r>
        <w:rPr>
          <w:i/>
          <w:sz w:val="22"/>
        </w:rPr>
        <w:t>Pharm</w:t>
      </w:r>
      <w:r>
        <w:rPr>
          <w:i/>
          <w:spacing w:val="8"/>
          <w:sz w:val="22"/>
        </w:rPr>
        <w:t> </w:t>
      </w:r>
      <w:r>
        <w:rPr>
          <w:i/>
          <w:sz w:val="22"/>
        </w:rPr>
        <w:t>Bull</w:t>
      </w:r>
      <w:r>
        <w:rPr>
          <w:sz w:val="22"/>
        </w:rPr>
        <w:t>.</w:t>
      </w:r>
      <w:r>
        <w:rPr>
          <w:spacing w:val="9"/>
          <w:sz w:val="22"/>
        </w:rPr>
        <w:t> </w:t>
      </w:r>
      <w:r>
        <w:rPr>
          <w:spacing w:val="-2"/>
          <w:sz w:val="22"/>
        </w:rPr>
        <w:t>2001;24:351.</w:t>
      </w:r>
    </w:p>
    <w:p>
      <w:pPr>
        <w:pStyle w:val="ListParagraph"/>
        <w:numPr>
          <w:ilvl w:val="0"/>
          <w:numId w:val="8"/>
        </w:numPr>
        <w:tabs>
          <w:tab w:pos="710" w:val="left" w:leader="none"/>
        </w:tabs>
        <w:spacing w:line="240" w:lineRule="auto" w:before="17" w:after="0"/>
        <w:ind w:left="710" w:right="0" w:hanging="498"/>
        <w:jc w:val="both"/>
        <w:rPr>
          <w:sz w:val="22"/>
        </w:rPr>
      </w:pPr>
      <w:r>
        <w:rPr>
          <w:sz w:val="22"/>
        </w:rPr>
        <w:t>Setchell</w:t>
      </w:r>
      <w:r>
        <w:rPr>
          <w:spacing w:val="11"/>
          <w:sz w:val="22"/>
        </w:rPr>
        <w:t> </w:t>
      </w:r>
      <w:r>
        <w:rPr>
          <w:sz w:val="22"/>
        </w:rPr>
        <w:t>KDR,</w:t>
      </w:r>
      <w:r>
        <w:rPr>
          <w:spacing w:val="12"/>
          <w:sz w:val="22"/>
        </w:rPr>
        <w:t> </w:t>
      </w:r>
      <w:r>
        <w:rPr>
          <w:sz w:val="22"/>
        </w:rPr>
        <w:t>Brown</w:t>
      </w:r>
      <w:r>
        <w:rPr>
          <w:spacing w:val="12"/>
          <w:sz w:val="22"/>
        </w:rPr>
        <w:t> </w:t>
      </w:r>
      <w:r>
        <w:rPr>
          <w:sz w:val="22"/>
        </w:rPr>
        <w:t>NM,</w:t>
      </w:r>
      <w:r>
        <w:rPr>
          <w:spacing w:val="12"/>
          <w:sz w:val="22"/>
        </w:rPr>
        <w:t> </w:t>
      </w:r>
      <w:r>
        <w:rPr>
          <w:sz w:val="22"/>
        </w:rPr>
        <w:t>Lydeking-Olsen</w:t>
      </w:r>
      <w:r>
        <w:rPr>
          <w:spacing w:val="12"/>
          <w:sz w:val="22"/>
        </w:rPr>
        <w:t> </w:t>
      </w:r>
      <w:r>
        <w:rPr>
          <w:sz w:val="22"/>
        </w:rPr>
        <w:t>E.</w:t>
      </w:r>
      <w:r>
        <w:rPr>
          <w:spacing w:val="12"/>
          <w:sz w:val="22"/>
        </w:rPr>
        <w:t> </w:t>
      </w:r>
      <w:r>
        <w:rPr>
          <w:sz w:val="22"/>
        </w:rPr>
        <w:t>The</w:t>
      </w:r>
      <w:r>
        <w:rPr>
          <w:spacing w:val="12"/>
          <w:sz w:val="22"/>
        </w:rPr>
        <w:t> </w:t>
      </w:r>
      <w:r>
        <w:rPr>
          <w:sz w:val="22"/>
        </w:rPr>
        <w:t>clinical</w:t>
      </w:r>
      <w:r>
        <w:rPr>
          <w:spacing w:val="12"/>
          <w:sz w:val="22"/>
        </w:rPr>
        <w:t> </w:t>
      </w:r>
      <w:r>
        <w:rPr>
          <w:sz w:val="22"/>
        </w:rPr>
        <w:t>importance</w:t>
      </w:r>
      <w:r>
        <w:rPr>
          <w:spacing w:val="12"/>
          <w:sz w:val="22"/>
        </w:rPr>
        <w:t> </w:t>
      </w:r>
      <w:r>
        <w:rPr>
          <w:sz w:val="22"/>
        </w:rPr>
        <w:t>of</w:t>
      </w:r>
      <w:r>
        <w:rPr>
          <w:spacing w:val="12"/>
          <w:sz w:val="22"/>
        </w:rPr>
        <w:t> </w:t>
      </w:r>
      <w:r>
        <w:rPr>
          <w:sz w:val="22"/>
        </w:rPr>
        <w:t>the</w:t>
      </w:r>
      <w:r>
        <w:rPr>
          <w:spacing w:val="12"/>
          <w:sz w:val="22"/>
        </w:rPr>
        <w:t> </w:t>
      </w:r>
      <w:r>
        <w:rPr>
          <w:sz w:val="22"/>
        </w:rPr>
        <w:t>metabolite</w:t>
      </w:r>
      <w:r>
        <w:rPr>
          <w:spacing w:val="12"/>
          <w:sz w:val="22"/>
        </w:rPr>
        <w:t> </w:t>
      </w:r>
      <w:r>
        <w:rPr>
          <w:spacing w:val="-2"/>
          <w:sz w:val="22"/>
        </w:rPr>
        <w:t>equol</w:t>
      </w:r>
    </w:p>
    <w:p>
      <w:pPr>
        <w:spacing w:before="17"/>
        <w:ind w:left="718" w:right="0" w:firstLine="0"/>
        <w:jc w:val="both"/>
        <w:rPr>
          <w:sz w:val="22"/>
        </w:rPr>
      </w:pPr>
      <w:r>
        <w:rPr>
          <w:sz w:val="22"/>
        </w:rPr>
        <w:t>—a</w:t>
      </w:r>
      <w:r>
        <w:rPr>
          <w:spacing w:val="6"/>
          <w:sz w:val="22"/>
        </w:rPr>
        <w:t> </w:t>
      </w:r>
      <w:r>
        <w:rPr>
          <w:sz w:val="22"/>
        </w:rPr>
        <w:t>clue</w:t>
      </w:r>
      <w:r>
        <w:rPr>
          <w:spacing w:val="9"/>
          <w:sz w:val="22"/>
        </w:rPr>
        <w:t> </w:t>
      </w:r>
      <w:r>
        <w:rPr>
          <w:sz w:val="22"/>
        </w:rPr>
        <w:t>to</w:t>
      </w:r>
      <w:r>
        <w:rPr>
          <w:spacing w:val="9"/>
          <w:sz w:val="22"/>
        </w:rPr>
        <w:t> </w:t>
      </w:r>
      <w:r>
        <w:rPr>
          <w:sz w:val="22"/>
        </w:rPr>
        <w:t>the</w:t>
      </w:r>
      <w:r>
        <w:rPr>
          <w:spacing w:val="8"/>
          <w:sz w:val="22"/>
        </w:rPr>
        <w:t> </w:t>
      </w:r>
      <w:r>
        <w:rPr>
          <w:sz w:val="22"/>
        </w:rPr>
        <w:t>effectiveness</w:t>
      </w:r>
      <w:r>
        <w:rPr>
          <w:spacing w:val="9"/>
          <w:sz w:val="22"/>
        </w:rPr>
        <w:t> </w:t>
      </w:r>
      <w:r>
        <w:rPr>
          <w:sz w:val="22"/>
        </w:rPr>
        <w:t>of</w:t>
      </w:r>
      <w:r>
        <w:rPr>
          <w:spacing w:val="9"/>
          <w:sz w:val="22"/>
        </w:rPr>
        <w:t> </w:t>
      </w:r>
      <w:r>
        <w:rPr>
          <w:sz w:val="22"/>
        </w:rPr>
        <w:t>soy</w:t>
      </w:r>
      <w:r>
        <w:rPr>
          <w:spacing w:val="8"/>
          <w:sz w:val="22"/>
        </w:rPr>
        <w:t> </w:t>
      </w:r>
      <w:r>
        <w:rPr>
          <w:sz w:val="22"/>
        </w:rPr>
        <w:t>and</w:t>
      </w:r>
      <w:r>
        <w:rPr>
          <w:spacing w:val="9"/>
          <w:sz w:val="22"/>
        </w:rPr>
        <w:t> </w:t>
      </w:r>
      <w:r>
        <w:rPr>
          <w:sz w:val="22"/>
        </w:rPr>
        <w:t>its</w:t>
      </w:r>
      <w:r>
        <w:rPr>
          <w:spacing w:val="9"/>
          <w:sz w:val="22"/>
        </w:rPr>
        <w:t> </w:t>
      </w:r>
      <w:r>
        <w:rPr>
          <w:sz w:val="22"/>
        </w:rPr>
        <w:t>isoflavones.</w:t>
      </w:r>
      <w:r>
        <w:rPr>
          <w:spacing w:val="8"/>
          <w:sz w:val="22"/>
        </w:rPr>
        <w:t> </w:t>
      </w:r>
      <w:r>
        <w:rPr>
          <w:i/>
          <w:sz w:val="22"/>
        </w:rPr>
        <w:t>J</w:t>
      </w:r>
      <w:r>
        <w:rPr>
          <w:i/>
          <w:spacing w:val="9"/>
          <w:sz w:val="22"/>
        </w:rPr>
        <w:t> </w:t>
      </w:r>
      <w:r>
        <w:rPr>
          <w:i/>
          <w:sz w:val="22"/>
        </w:rPr>
        <w:t>Nutr</w:t>
      </w:r>
      <w:r>
        <w:rPr>
          <w:sz w:val="22"/>
        </w:rPr>
        <w:t>.</w:t>
      </w:r>
      <w:r>
        <w:rPr>
          <w:spacing w:val="9"/>
          <w:sz w:val="22"/>
        </w:rPr>
        <w:t> </w:t>
      </w:r>
      <w:r>
        <w:rPr>
          <w:spacing w:val="-2"/>
          <w:sz w:val="22"/>
        </w:rPr>
        <w:t>2002;132:3577.</w:t>
      </w:r>
    </w:p>
    <w:p>
      <w:pPr>
        <w:pStyle w:val="ListParagraph"/>
        <w:numPr>
          <w:ilvl w:val="0"/>
          <w:numId w:val="8"/>
        </w:numPr>
        <w:tabs>
          <w:tab w:pos="709" w:val="left" w:leader="none"/>
          <w:tab w:pos="718" w:val="left" w:leader="none"/>
        </w:tabs>
        <w:spacing w:line="256" w:lineRule="auto" w:before="17" w:after="0"/>
        <w:ind w:left="718" w:right="100" w:hanging="507"/>
        <w:jc w:val="both"/>
        <w:rPr>
          <w:sz w:val="22"/>
        </w:rPr>
      </w:pPr>
      <w:r>
        <w:rPr>
          <w:sz w:val="22"/>
        </w:rPr>
        <w:t>Wu</w:t>
      </w:r>
      <w:r>
        <w:rPr>
          <w:spacing w:val="24"/>
          <w:sz w:val="22"/>
        </w:rPr>
        <w:t> </w:t>
      </w:r>
      <w:r>
        <w:rPr>
          <w:sz w:val="22"/>
        </w:rPr>
        <w:t>J,</w:t>
      </w:r>
      <w:r>
        <w:rPr>
          <w:spacing w:val="24"/>
          <w:sz w:val="22"/>
        </w:rPr>
        <w:t> </w:t>
      </w:r>
      <w:r>
        <w:rPr>
          <w:sz w:val="22"/>
        </w:rPr>
        <w:t>Oka</w:t>
      </w:r>
      <w:r>
        <w:rPr>
          <w:spacing w:val="24"/>
          <w:sz w:val="22"/>
        </w:rPr>
        <w:t> </w:t>
      </w:r>
      <w:r>
        <w:rPr>
          <w:sz w:val="22"/>
        </w:rPr>
        <w:t>J,</w:t>
      </w:r>
      <w:r>
        <w:rPr>
          <w:spacing w:val="24"/>
          <w:sz w:val="22"/>
        </w:rPr>
        <w:t> </w:t>
      </w:r>
      <w:r>
        <w:rPr>
          <w:sz w:val="22"/>
        </w:rPr>
        <w:t>Ezaki</w:t>
      </w:r>
      <w:r>
        <w:rPr>
          <w:spacing w:val="24"/>
          <w:sz w:val="22"/>
        </w:rPr>
        <w:t> </w:t>
      </w:r>
      <w:r>
        <w:rPr>
          <w:sz w:val="22"/>
        </w:rPr>
        <w:t>J,</w:t>
      </w:r>
      <w:r>
        <w:rPr>
          <w:spacing w:val="24"/>
          <w:sz w:val="22"/>
        </w:rPr>
        <w:t> </w:t>
      </w:r>
      <w:r>
        <w:rPr>
          <w:sz w:val="22"/>
        </w:rPr>
        <w:t>et</w:t>
      </w:r>
      <w:r>
        <w:rPr>
          <w:spacing w:val="24"/>
          <w:sz w:val="22"/>
        </w:rPr>
        <w:t> </w:t>
      </w:r>
      <w:r>
        <w:rPr>
          <w:sz w:val="22"/>
        </w:rPr>
        <w:t>al.</w:t>
      </w:r>
      <w:r>
        <w:rPr>
          <w:spacing w:val="23"/>
          <w:sz w:val="22"/>
        </w:rPr>
        <w:t> </w:t>
      </w:r>
      <w:r>
        <w:rPr>
          <w:sz w:val="22"/>
        </w:rPr>
        <w:t>Possible</w:t>
      </w:r>
      <w:r>
        <w:rPr>
          <w:spacing w:val="24"/>
          <w:sz w:val="22"/>
        </w:rPr>
        <w:t> </w:t>
      </w:r>
      <w:r>
        <w:rPr>
          <w:sz w:val="22"/>
        </w:rPr>
        <w:t>role</w:t>
      </w:r>
      <w:r>
        <w:rPr>
          <w:spacing w:val="24"/>
          <w:sz w:val="22"/>
        </w:rPr>
        <w:t> </w:t>
      </w:r>
      <w:r>
        <w:rPr>
          <w:sz w:val="22"/>
        </w:rPr>
        <w:t>of</w:t>
      </w:r>
      <w:r>
        <w:rPr>
          <w:spacing w:val="24"/>
          <w:sz w:val="22"/>
        </w:rPr>
        <w:t> </w:t>
      </w:r>
      <w:r>
        <w:rPr>
          <w:sz w:val="22"/>
        </w:rPr>
        <w:t>equol</w:t>
      </w:r>
      <w:r>
        <w:rPr>
          <w:spacing w:val="24"/>
          <w:sz w:val="22"/>
        </w:rPr>
        <w:t> </w:t>
      </w:r>
      <w:r>
        <w:rPr>
          <w:sz w:val="22"/>
        </w:rPr>
        <w:t>status</w:t>
      </w:r>
      <w:r>
        <w:rPr>
          <w:spacing w:val="24"/>
          <w:sz w:val="22"/>
        </w:rPr>
        <w:t> </w:t>
      </w:r>
      <w:r>
        <w:rPr>
          <w:sz w:val="22"/>
        </w:rPr>
        <w:t>in</w:t>
      </w:r>
      <w:r>
        <w:rPr>
          <w:spacing w:val="24"/>
          <w:sz w:val="22"/>
        </w:rPr>
        <w:t> </w:t>
      </w:r>
      <w:r>
        <w:rPr>
          <w:sz w:val="22"/>
        </w:rPr>
        <w:t>the</w:t>
      </w:r>
      <w:r>
        <w:rPr>
          <w:spacing w:val="24"/>
          <w:sz w:val="22"/>
        </w:rPr>
        <w:t> </w:t>
      </w:r>
      <w:r>
        <w:rPr>
          <w:sz w:val="22"/>
        </w:rPr>
        <w:t>effects</w:t>
      </w:r>
      <w:r>
        <w:rPr>
          <w:spacing w:val="24"/>
          <w:sz w:val="22"/>
        </w:rPr>
        <w:t> </w:t>
      </w:r>
      <w:r>
        <w:rPr>
          <w:sz w:val="22"/>
        </w:rPr>
        <w:t>of</w:t>
      </w:r>
      <w:r>
        <w:rPr>
          <w:spacing w:val="24"/>
          <w:sz w:val="22"/>
        </w:rPr>
        <w:t> </w:t>
      </w:r>
      <w:r>
        <w:rPr>
          <w:sz w:val="22"/>
        </w:rPr>
        <w:t>isoflavone</w:t>
      </w:r>
      <w:r>
        <w:rPr>
          <w:spacing w:val="24"/>
          <w:sz w:val="22"/>
        </w:rPr>
        <w:t> </w:t>
      </w:r>
      <w:r>
        <w:rPr>
          <w:sz w:val="22"/>
        </w:rPr>
        <w:t>on</w:t>
      </w:r>
      <w:r>
        <w:rPr>
          <w:spacing w:val="24"/>
          <w:sz w:val="22"/>
        </w:rPr>
        <w:t> </w:t>
      </w:r>
      <w:r>
        <w:rPr>
          <w:sz w:val="22"/>
        </w:rPr>
        <w:t>bone and fat mass in postmenopausal Japanese women: a double-blind, randomized, controlled </w:t>
      </w:r>
      <w:r>
        <w:rPr>
          <w:sz w:val="22"/>
        </w:rPr>
        <w:t>trial. </w:t>
      </w:r>
      <w:r>
        <w:rPr>
          <w:i/>
          <w:sz w:val="22"/>
        </w:rPr>
        <w:t>Menopause</w:t>
      </w:r>
      <w:r>
        <w:rPr>
          <w:sz w:val="22"/>
        </w:rPr>
        <w:t>. 2007;14:866.</w:t>
      </w:r>
    </w:p>
    <w:p>
      <w:pPr>
        <w:pStyle w:val="ListParagraph"/>
        <w:numPr>
          <w:ilvl w:val="0"/>
          <w:numId w:val="8"/>
        </w:numPr>
        <w:tabs>
          <w:tab w:pos="709" w:val="left" w:leader="none"/>
          <w:tab w:pos="718" w:val="left" w:leader="none"/>
        </w:tabs>
        <w:spacing w:line="256" w:lineRule="auto" w:before="0" w:after="0"/>
        <w:ind w:left="718" w:right="100" w:hanging="507"/>
        <w:jc w:val="both"/>
        <w:rPr>
          <w:sz w:val="22"/>
        </w:rPr>
      </w:pPr>
      <w:r>
        <w:rPr>
          <w:sz w:val="22"/>
        </w:rPr>
        <w:t>Ishiwata N, Melby MK, Mizuno S, Watanabe S. New equol supplement for </w:t>
      </w:r>
      <w:r>
        <w:rPr>
          <w:sz w:val="22"/>
        </w:rPr>
        <w:t>relieving</w:t>
      </w:r>
      <w:r>
        <w:rPr>
          <w:spacing w:val="40"/>
          <w:sz w:val="22"/>
        </w:rPr>
        <w:t> </w:t>
      </w:r>
      <w:r>
        <w:rPr>
          <w:sz w:val="22"/>
        </w:rPr>
        <w:t>menopausal symptoms: randomized, placebo-controlled trial of Japanese women. </w:t>
      </w:r>
      <w:r>
        <w:rPr>
          <w:i/>
          <w:sz w:val="22"/>
        </w:rPr>
        <w:t>Menopause</w:t>
      </w:r>
      <w:r>
        <w:rPr>
          <w:sz w:val="22"/>
        </w:rPr>
        <w:t>. </w:t>
      </w:r>
      <w:r>
        <w:rPr>
          <w:spacing w:val="-2"/>
          <w:sz w:val="22"/>
        </w:rPr>
        <w:t>2009;16:141.</w:t>
      </w:r>
    </w:p>
    <w:p>
      <w:pPr>
        <w:pStyle w:val="ListParagraph"/>
        <w:numPr>
          <w:ilvl w:val="0"/>
          <w:numId w:val="8"/>
        </w:numPr>
        <w:tabs>
          <w:tab w:pos="709" w:val="left" w:leader="none"/>
          <w:tab w:pos="718" w:val="left" w:leader="none"/>
        </w:tabs>
        <w:spacing w:line="256" w:lineRule="auto" w:before="0" w:after="0"/>
        <w:ind w:left="718" w:right="101" w:hanging="507"/>
        <w:jc w:val="both"/>
        <w:rPr>
          <w:sz w:val="22"/>
        </w:rPr>
      </w:pPr>
      <w:r>
        <w:rPr>
          <w:sz w:val="22"/>
        </w:rPr>
        <w:t>Setchell KD, Zhao X, Jha P, Heubi JE, Brown NM. The pharmacokinetic behavior of the soy isoflavone metabolite </w:t>
      </w:r>
      <w:r>
        <w:rPr>
          <w:i/>
          <w:sz w:val="22"/>
        </w:rPr>
        <w:t>S</w:t>
      </w:r>
      <w:r>
        <w:rPr>
          <w:sz w:val="22"/>
        </w:rPr>
        <w:t>-(−)equol and its diastereoisomer </w:t>
      </w:r>
      <w:r>
        <w:rPr>
          <w:i/>
          <w:sz w:val="22"/>
        </w:rPr>
        <w:t>R</w:t>
      </w:r>
      <w:r>
        <w:rPr>
          <w:sz w:val="22"/>
        </w:rPr>
        <w:t>-(+)equol in healthy </w:t>
      </w:r>
      <w:r>
        <w:rPr>
          <w:sz w:val="22"/>
        </w:rPr>
        <w:t>adults</w:t>
      </w:r>
      <w:r>
        <w:rPr>
          <w:spacing w:val="40"/>
          <w:sz w:val="22"/>
        </w:rPr>
        <w:t> </w:t>
      </w:r>
      <w:r>
        <w:rPr>
          <w:sz w:val="22"/>
        </w:rPr>
        <w:t>determined by using stable-isotope-labeled tracers. </w:t>
      </w:r>
      <w:r>
        <w:rPr>
          <w:i/>
          <w:sz w:val="22"/>
        </w:rPr>
        <w:t>Am J Clin Nutr</w:t>
      </w:r>
      <w:r>
        <w:rPr>
          <w:sz w:val="22"/>
        </w:rPr>
        <w:t>. 2009;90:1029.</w:t>
      </w:r>
    </w:p>
    <w:p>
      <w:pPr>
        <w:pStyle w:val="ListParagraph"/>
        <w:numPr>
          <w:ilvl w:val="0"/>
          <w:numId w:val="8"/>
        </w:numPr>
        <w:tabs>
          <w:tab w:pos="709" w:val="left" w:leader="none"/>
          <w:tab w:pos="718" w:val="left" w:leader="none"/>
        </w:tabs>
        <w:spacing w:line="256" w:lineRule="auto" w:before="0" w:after="0"/>
        <w:ind w:left="718" w:right="107" w:hanging="507"/>
        <w:jc w:val="both"/>
        <w:rPr>
          <w:sz w:val="22"/>
        </w:rPr>
      </w:pPr>
      <w:r>
        <w:rPr>
          <w:sz w:val="22"/>
        </w:rPr>
        <w:t>Setchell KD, Zhao X, Shoaf SE, Ragland K. The pharmacokinetics of </w:t>
      </w:r>
      <w:r>
        <w:rPr>
          <w:i/>
          <w:sz w:val="22"/>
        </w:rPr>
        <w:t>S</w:t>
      </w:r>
      <w:r>
        <w:rPr>
          <w:sz w:val="22"/>
        </w:rPr>
        <w:t>-(−)equol </w:t>
      </w:r>
      <w:r>
        <w:rPr>
          <w:sz w:val="22"/>
        </w:rPr>
        <w:t>administered</w:t>
      </w:r>
      <w:r>
        <w:rPr>
          <w:spacing w:val="40"/>
          <w:sz w:val="22"/>
        </w:rPr>
        <w:t> </w:t>
      </w:r>
      <w:r>
        <w:rPr>
          <w:sz w:val="22"/>
        </w:rPr>
        <w:t>as SE5-OH tablets to healthy postmenopausal women. </w:t>
      </w:r>
      <w:r>
        <w:rPr>
          <w:i/>
          <w:sz w:val="22"/>
        </w:rPr>
        <w:t>J Nutr</w:t>
      </w:r>
      <w:r>
        <w:rPr>
          <w:sz w:val="22"/>
        </w:rPr>
        <w:t>. 2009;139:2037.</w:t>
      </w:r>
    </w:p>
    <w:p>
      <w:pPr>
        <w:pStyle w:val="ListParagraph"/>
        <w:numPr>
          <w:ilvl w:val="0"/>
          <w:numId w:val="8"/>
        </w:numPr>
        <w:tabs>
          <w:tab w:pos="709" w:val="left" w:leader="none"/>
          <w:tab w:pos="718" w:val="left" w:leader="none"/>
        </w:tabs>
        <w:spacing w:line="256" w:lineRule="auto" w:before="0" w:after="0"/>
        <w:ind w:left="718" w:right="107" w:hanging="507"/>
        <w:jc w:val="both"/>
        <w:rPr>
          <w:sz w:val="22"/>
        </w:rPr>
      </w:pPr>
      <w:r>
        <w:rPr>
          <w:sz w:val="22"/>
        </w:rPr>
        <w:t>Meier CR, Schlienger RG, Kraenzlin ME, Schlegel B, Jick H. HMG-CoA reductase inhibitors and the risk of fractures. </w:t>
      </w:r>
      <w:r>
        <w:rPr>
          <w:i/>
          <w:sz w:val="22"/>
        </w:rPr>
        <w:t>JAMA</w:t>
      </w:r>
      <w:r>
        <w:rPr>
          <w:sz w:val="22"/>
        </w:rPr>
        <w:t>. 2000;283:3205.</w:t>
      </w:r>
    </w:p>
    <w:p>
      <w:pPr>
        <w:pStyle w:val="ListParagraph"/>
        <w:numPr>
          <w:ilvl w:val="0"/>
          <w:numId w:val="8"/>
        </w:numPr>
        <w:tabs>
          <w:tab w:pos="709" w:val="left" w:leader="none"/>
          <w:tab w:pos="718" w:val="left" w:leader="none"/>
        </w:tabs>
        <w:spacing w:line="256" w:lineRule="auto" w:before="0" w:after="0"/>
        <w:ind w:left="718" w:right="107" w:hanging="507"/>
        <w:jc w:val="both"/>
        <w:rPr>
          <w:sz w:val="22"/>
        </w:rPr>
      </w:pPr>
      <w:r>
        <w:rPr>
          <w:sz w:val="22"/>
        </w:rPr>
        <w:t>Wang</w:t>
      </w:r>
      <w:r>
        <w:rPr>
          <w:spacing w:val="28"/>
          <w:sz w:val="22"/>
        </w:rPr>
        <w:t> </w:t>
      </w:r>
      <w:r>
        <w:rPr>
          <w:sz w:val="22"/>
        </w:rPr>
        <w:t>PS,</w:t>
      </w:r>
      <w:r>
        <w:rPr>
          <w:spacing w:val="28"/>
          <w:sz w:val="22"/>
        </w:rPr>
        <w:t> </w:t>
      </w:r>
      <w:r>
        <w:rPr>
          <w:sz w:val="22"/>
        </w:rPr>
        <w:t>Solomon</w:t>
      </w:r>
      <w:r>
        <w:rPr>
          <w:spacing w:val="28"/>
          <w:sz w:val="22"/>
        </w:rPr>
        <w:t> </w:t>
      </w:r>
      <w:r>
        <w:rPr>
          <w:sz w:val="22"/>
        </w:rPr>
        <w:t>DH,</w:t>
      </w:r>
      <w:r>
        <w:rPr>
          <w:spacing w:val="28"/>
          <w:sz w:val="22"/>
        </w:rPr>
        <w:t> </w:t>
      </w:r>
      <w:r>
        <w:rPr>
          <w:sz w:val="22"/>
        </w:rPr>
        <w:t>Mogun</w:t>
      </w:r>
      <w:r>
        <w:rPr>
          <w:spacing w:val="28"/>
          <w:sz w:val="22"/>
        </w:rPr>
        <w:t> </w:t>
      </w:r>
      <w:r>
        <w:rPr>
          <w:sz w:val="22"/>
        </w:rPr>
        <w:t>H,</w:t>
      </w:r>
      <w:r>
        <w:rPr>
          <w:spacing w:val="28"/>
          <w:sz w:val="22"/>
        </w:rPr>
        <w:t> </w:t>
      </w:r>
      <w:r>
        <w:rPr>
          <w:sz w:val="22"/>
        </w:rPr>
        <w:t>Avorn</w:t>
      </w:r>
      <w:r>
        <w:rPr>
          <w:spacing w:val="28"/>
          <w:sz w:val="22"/>
        </w:rPr>
        <w:t> </w:t>
      </w:r>
      <w:r>
        <w:rPr>
          <w:sz w:val="22"/>
        </w:rPr>
        <w:t>J.</w:t>
      </w:r>
      <w:r>
        <w:rPr>
          <w:spacing w:val="28"/>
          <w:sz w:val="22"/>
        </w:rPr>
        <w:t> </w:t>
      </w:r>
      <w:r>
        <w:rPr>
          <w:sz w:val="22"/>
        </w:rPr>
        <w:t>HMG-CoA</w:t>
      </w:r>
      <w:r>
        <w:rPr>
          <w:spacing w:val="30"/>
          <w:sz w:val="22"/>
        </w:rPr>
        <w:t> </w:t>
      </w:r>
      <w:r>
        <w:rPr>
          <w:sz w:val="22"/>
        </w:rPr>
        <w:t>reductase</w:t>
      </w:r>
      <w:r>
        <w:rPr>
          <w:spacing w:val="30"/>
          <w:sz w:val="22"/>
        </w:rPr>
        <w:t> </w:t>
      </w:r>
      <w:r>
        <w:rPr>
          <w:sz w:val="22"/>
        </w:rPr>
        <w:t>inhibitors</w:t>
      </w:r>
      <w:r>
        <w:rPr>
          <w:spacing w:val="30"/>
          <w:sz w:val="22"/>
        </w:rPr>
        <w:t> </w:t>
      </w:r>
      <w:r>
        <w:rPr>
          <w:sz w:val="22"/>
        </w:rPr>
        <w:t>and</w:t>
      </w:r>
      <w:r>
        <w:rPr>
          <w:spacing w:val="30"/>
          <w:sz w:val="22"/>
        </w:rPr>
        <w:t> </w:t>
      </w:r>
      <w:r>
        <w:rPr>
          <w:sz w:val="22"/>
        </w:rPr>
        <w:t>the</w:t>
      </w:r>
      <w:r>
        <w:rPr>
          <w:spacing w:val="30"/>
          <w:sz w:val="22"/>
        </w:rPr>
        <w:t> </w:t>
      </w:r>
      <w:r>
        <w:rPr>
          <w:sz w:val="22"/>
        </w:rPr>
        <w:t>risk</w:t>
      </w:r>
      <w:r>
        <w:rPr>
          <w:spacing w:val="30"/>
          <w:sz w:val="22"/>
        </w:rPr>
        <w:t> </w:t>
      </w:r>
      <w:r>
        <w:rPr>
          <w:sz w:val="22"/>
        </w:rPr>
        <w:t>of hip fractures in elderly patients. </w:t>
      </w:r>
      <w:r>
        <w:rPr>
          <w:i/>
          <w:sz w:val="22"/>
        </w:rPr>
        <w:t>JAMA</w:t>
      </w:r>
      <w:r>
        <w:rPr>
          <w:sz w:val="22"/>
        </w:rPr>
        <w:t>. 2000;283:3211.</w:t>
      </w:r>
    </w:p>
    <w:p>
      <w:pPr>
        <w:pStyle w:val="ListParagraph"/>
        <w:numPr>
          <w:ilvl w:val="0"/>
          <w:numId w:val="8"/>
        </w:numPr>
        <w:tabs>
          <w:tab w:pos="709" w:val="left" w:leader="none"/>
          <w:tab w:pos="718" w:val="left" w:leader="none"/>
        </w:tabs>
        <w:spacing w:line="256" w:lineRule="auto" w:before="0" w:after="0"/>
        <w:ind w:left="718" w:right="105" w:hanging="507"/>
        <w:jc w:val="both"/>
        <w:rPr>
          <w:sz w:val="22"/>
        </w:rPr>
      </w:pPr>
      <w:r>
        <w:rPr>
          <w:sz w:val="22"/>
        </w:rPr>
        <w:t>Reid IR, Hague W, Emberson J, et al. Effect of pravastatin on frequency of fracture in the</w:t>
      </w:r>
      <w:r>
        <w:rPr>
          <w:spacing w:val="80"/>
          <w:sz w:val="22"/>
        </w:rPr>
        <w:t> </w:t>
      </w:r>
      <w:r>
        <w:rPr>
          <w:sz w:val="22"/>
        </w:rPr>
        <w:t>LIPID study: secondary analysis of a randomised controlled trial: long-term intervention with pravastatin in ischaemic disease. </w:t>
      </w:r>
      <w:r>
        <w:rPr>
          <w:i/>
          <w:sz w:val="22"/>
        </w:rPr>
        <w:t>Lancet</w:t>
      </w:r>
      <w:r>
        <w:rPr>
          <w:sz w:val="22"/>
        </w:rPr>
        <w:t>. 2001;357:1887.</w:t>
      </w:r>
    </w:p>
    <w:p>
      <w:pPr>
        <w:pStyle w:val="ListParagraph"/>
        <w:numPr>
          <w:ilvl w:val="0"/>
          <w:numId w:val="8"/>
        </w:numPr>
        <w:tabs>
          <w:tab w:pos="709" w:val="left" w:leader="none"/>
          <w:tab w:pos="718" w:val="left" w:leader="none"/>
        </w:tabs>
        <w:spacing w:line="256" w:lineRule="auto" w:before="0" w:after="0"/>
        <w:ind w:left="718" w:right="110" w:hanging="507"/>
        <w:jc w:val="both"/>
        <w:rPr>
          <w:sz w:val="22"/>
        </w:rPr>
      </w:pPr>
      <w:r>
        <w:rPr>
          <w:sz w:val="22"/>
        </w:rPr>
        <w:t>Ray WA, Daugherty JR, Griffin MR. Lipid-lowering agents and the risk of hip fracture in a Medicaid population. </w:t>
      </w:r>
      <w:r>
        <w:rPr>
          <w:i/>
          <w:sz w:val="22"/>
        </w:rPr>
        <w:t>Inj Prev</w:t>
      </w:r>
      <w:r>
        <w:rPr>
          <w:sz w:val="22"/>
        </w:rPr>
        <w:t>. 2002;8:276.</w:t>
      </w:r>
    </w:p>
    <w:p>
      <w:pPr>
        <w:pStyle w:val="ListParagraph"/>
        <w:numPr>
          <w:ilvl w:val="0"/>
          <w:numId w:val="8"/>
        </w:numPr>
        <w:tabs>
          <w:tab w:pos="709" w:val="left" w:leader="none"/>
          <w:tab w:pos="718" w:val="left" w:leader="none"/>
        </w:tabs>
        <w:spacing w:line="256" w:lineRule="auto" w:before="0" w:after="0"/>
        <w:ind w:left="718" w:right="102" w:hanging="507"/>
        <w:jc w:val="both"/>
        <w:rPr>
          <w:sz w:val="22"/>
        </w:rPr>
      </w:pPr>
      <w:r>
        <w:rPr>
          <w:sz w:val="22"/>
        </w:rPr>
        <w:t>LaCroix AZ, Cauley JA, Pettinger M, et al. Statin use, clinical fracture, and bone density in postmenopausal women: results from the Women’s Health Initiative Observational Study. </w:t>
      </w:r>
      <w:r>
        <w:rPr>
          <w:i/>
          <w:sz w:val="22"/>
        </w:rPr>
        <w:t>Ann</w:t>
      </w:r>
      <w:r>
        <w:rPr>
          <w:i/>
          <w:sz w:val="22"/>
        </w:rPr>
        <w:t> Intern Med</w:t>
      </w:r>
      <w:r>
        <w:rPr>
          <w:sz w:val="22"/>
        </w:rPr>
        <w:t>. 2003;139:97.</w:t>
      </w:r>
    </w:p>
    <w:p>
      <w:pPr>
        <w:pStyle w:val="ListParagraph"/>
        <w:numPr>
          <w:ilvl w:val="0"/>
          <w:numId w:val="8"/>
        </w:numPr>
        <w:tabs>
          <w:tab w:pos="709" w:val="left" w:leader="none"/>
          <w:tab w:pos="718" w:val="left" w:leader="none"/>
        </w:tabs>
        <w:spacing w:line="256" w:lineRule="auto" w:before="0" w:after="0"/>
        <w:ind w:left="718" w:right="98" w:hanging="507"/>
        <w:jc w:val="both"/>
        <w:rPr>
          <w:sz w:val="22"/>
        </w:rPr>
      </w:pPr>
      <w:r>
        <w:rPr>
          <w:sz w:val="22"/>
        </w:rPr>
        <w:t>An T, Hao J, Sun S, et al. Efficacy of statins for osteoporosis: a systematic review and meta-analysis. </w:t>
      </w:r>
      <w:r>
        <w:rPr>
          <w:i/>
          <w:sz w:val="22"/>
        </w:rPr>
        <w:t>Osteoporos Int</w:t>
      </w:r>
      <w:r>
        <w:rPr>
          <w:sz w:val="22"/>
        </w:rPr>
        <w:t>. 2017;28(1):47.</w:t>
      </w:r>
    </w:p>
    <w:p>
      <w:pPr>
        <w:pStyle w:val="ListParagraph"/>
        <w:numPr>
          <w:ilvl w:val="0"/>
          <w:numId w:val="8"/>
        </w:numPr>
        <w:tabs>
          <w:tab w:pos="709" w:val="left" w:leader="none"/>
          <w:tab w:pos="718" w:val="left" w:leader="none"/>
        </w:tabs>
        <w:spacing w:line="256" w:lineRule="auto" w:before="0" w:after="0"/>
        <w:ind w:left="718" w:right="100" w:hanging="507"/>
        <w:jc w:val="both"/>
        <w:rPr>
          <w:sz w:val="22"/>
        </w:rPr>
      </w:pPr>
      <w:r>
        <w:rPr>
          <w:sz w:val="22"/>
        </w:rPr>
        <w:t>Morton DJ, Barrett-Connor EL, Edelstein SL. Thiazides and bone mineral density in </w:t>
      </w:r>
      <w:r>
        <w:rPr>
          <w:sz w:val="22"/>
        </w:rPr>
        <w:t>elderly</w:t>
      </w:r>
      <w:r>
        <w:rPr>
          <w:spacing w:val="80"/>
          <w:sz w:val="22"/>
        </w:rPr>
        <w:t> </w:t>
      </w:r>
      <w:r>
        <w:rPr>
          <w:sz w:val="22"/>
        </w:rPr>
        <w:t>men and women. </w:t>
      </w:r>
      <w:r>
        <w:rPr>
          <w:i/>
          <w:sz w:val="22"/>
        </w:rPr>
        <w:t>Am J Epidemiol</w:t>
      </w:r>
      <w:r>
        <w:rPr>
          <w:sz w:val="22"/>
        </w:rPr>
        <w:t>. 1994;139:1107.</w:t>
      </w:r>
    </w:p>
    <w:p>
      <w:pPr>
        <w:pStyle w:val="ListParagraph"/>
        <w:numPr>
          <w:ilvl w:val="0"/>
          <w:numId w:val="8"/>
        </w:numPr>
        <w:tabs>
          <w:tab w:pos="709" w:val="left" w:leader="none"/>
          <w:tab w:pos="718" w:val="left" w:leader="none"/>
        </w:tabs>
        <w:spacing w:line="256" w:lineRule="auto" w:before="0" w:after="0"/>
        <w:ind w:left="718" w:right="109" w:hanging="507"/>
        <w:jc w:val="both"/>
        <w:rPr>
          <w:sz w:val="22"/>
        </w:rPr>
      </w:pPr>
      <w:r>
        <w:rPr>
          <w:sz w:val="22"/>
        </w:rPr>
        <w:t>Xiao X, Xu Y, Wu Q. Thiazide diuretic usage and risk of fracture: a meta-analysis of cohort studies. </w:t>
      </w:r>
      <w:r>
        <w:rPr>
          <w:i/>
          <w:sz w:val="22"/>
        </w:rPr>
        <w:t>Osteoporos Int</w:t>
      </w:r>
      <w:r>
        <w:rPr>
          <w:sz w:val="22"/>
        </w:rPr>
        <w:t>. 2018;29(7):1515.</w:t>
      </w:r>
    </w:p>
    <w:p>
      <w:pPr>
        <w:pStyle w:val="ListParagraph"/>
        <w:numPr>
          <w:ilvl w:val="0"/>
          <w:numId w:val="8"/>
        </w:numPr>
        <w:tabs>
          <w:tab w:pos="709" w:val="left" w:leader="none"/>
          <w:tab w:pos="718" w:val="left" w:leader="none"/>
        </w:tabs>
        <w:spacing w:line="256" w:lineRule="auto" w:before="0" w:after="0"/>
        <w:ind w:left="718" w:right="111" w:hanging="507"/>
        <w:jc w:val="both"/>
        <w:rPr>
          <w:sz w:val="22"/>
        </w:rPr>
      </w:pPr>
      <w:r>
        <w:rPr>
          <w:sz w:val="22"/>
        </w:rPr>
        <w:t>Chow RK, Harrison JE, Brown CF, Hajek V. Physical fitness effect on bone mass in postmenopausal women. </w:t>
      </w:r>
      <w:r>
        <w:rPr>
          <w:i/>
          <w:sz w:val="22"/>
        </w:rPr>
        <w:t>Arch Phys Med Rehabil</w:t>
      </w:r>
      <w:r>
        <w:rPr>
          <w:sz w:val="22"/>
        </w:rPr>
        <w:t>. 1986;67:231.</w:t>
      </w:r>
    </w:p>
    <w:p>
      <w:pPr>
        <w:pStyle w:val="ListParagraph"/>
        <w:numPr>
          <w:ilvl w:val="0"/>
          <w:numId w:val="8"/>
        </w:numPr>
        <w:tabs>
          <w:tab w:pos="709" w:val="left" w:leader="none"/>
          <w:tab w:pos="718" w:val="left" w:leader="none"/>
        </w:tabs>
        <w:spacing w:line="256" w:lineRule="auto" w:before="0" w:after="0"/>
        <w:ind w:left="718" w:right="99" w:hanging="507"/>
        <w:jc w:val="both"/>
        <w:rPr>
          <w:sz w:val="22"/>
        </w:rPr>
      </w:pPr>
      <w:r>
        <w:rPr>
          <w:sz w:val="22"/>
        </w:rPr>
        <w:t>Dalsky</w:t>
      </w:r>
      <w:r>
        <w:rPr>
          <w:spacing w:val="40"/>
          <w:sz w:val="22"/>
        </w:rPr>
        <w:t> </w:t>
      </w:r>
      <w:r>
        <w:rPr>
          <w:sz w:val="22"/>
        </w:rPr>
        <w:t>G,</w:t>
      </w:r>
      <w:r>
        <w:rPr>
          <w:spacing w:val="40"/>
          <w:sz w:val="22"/>
        </w:rPr>
        <w:t> </w:t>
      </w:r>
      <w:r>
        <w:rPr>
          <w:sz w:val="22"/>
        </w:rPr>
        <w:t>Stocke</w:t>
      </w:r>
      <w:r>
        <w:rPr>
          <w:spacing w:val="40"/>
          <w:sz w:val="22"/>
        </w:rPr>
        <w:t> </w:t>
      </w:r>
      <w:r>
        <w:rPr>
          <w:sz w:val="22"/>
        </w:rPr>
        <w:t>KS,</w:t>
      </w:r>
      <w:r>
        <w:rPr>
          <w:spacing w:val="40"/>
          <w:sz w:val="22"/>
        </w:rPr>
        <w:t> </w:t>
      </w:r>
      <w:r>
        <w:rPr>
          <w:sz w:val="22"/>
        </w:rPr>
        <w:t>Ehsani</w:t>
      </w:r>
      <w:r>
        <w:rPr>
          <w:spacing w:val="40"/>
          <w:sz w:val="22"/>
        </w:rPr>
        <w:t> </w:t>
      </w:r>
      <w:r>
        <w:rPr>
          <w:sz w:val="22"/>
        </w:rPr>
        <w:t>AA,</w:t>
      </w:r>
      <w:r>
        <w:rPr>
          <w:spacing w:val="40"/>
          <w:sz w:val="22"/>
        </w:rPr>
        <w:t> </w:t>
      </w:r>
      <w:r>
        <w:rPr>
          <w:sz w:val="22"/>
        </w:rPr>
        <w:t>Slatopolsky</w:t>
      </w:r>
      <w:r>
        <w:rPr>
          <w:spacing w:val="40"/>
          <w:sz w:val="22"/>
        </w:rPr>
        <w:t> </w:t>
      </w:r>
      <w:r>
        <w:rPr>
          <w:sz w:val="22"/>
        </w:rPr>
        <w:t>E,</w:t>
      </w:r>
      <w:r>
        <w:rPr>
          <w:spacing w:val="40"/>
          <w:sz w:val="22"/>
        </w:rPr>
        <w:t> </w:t>
      </w:r>
      <w:r>
        <w:rPr>
          <w:sz w:val="22"/>
        </w:rPr>
        <w:t>Lee</w:t>
      </w:r>
      <w:r>
        <w:rPr>
          <w:spacing w:val="40"/>
          <w:sz w:val="22"/>
        </w:rPr>
        <w:t> </w:t>
      </w:r>
      <w:r>
        <w:rPr>
          <w:sz w:val="22"/>
        </w:rPr>
        <w:t>WC,</w:t>
      </w:r>
      <w:r>
        <w:rPr>
          <w:spacing w:val="40"/>
          <w:sz w:val="22"/>
        </w:rPr>
        <w:t> </w:t>
      </w:r>
      <w:r>
        <w:rPr>
          <w:sz w:val="22"/>
        </w:rPr>
        <w:t>Birjes</w:t>
      </w:r>
      <w:r>
        <w:rPr>
          <w:spacing w:val="40"/>
          <w:sz w:val="22"/>
        </w:rPr>
        <w:t> </w:t>
      </w:r>
      <w:r>
        <w:rPr>
          <w:sz w:val="22"/>
        </w:rPr>
        <w:t>J</w:t>
      </w:r>
      <w:r>
        <w:rPr>
          <w:spacing w:val="40"/>
          <w:sz w:val="22"/>
        </w:rPr>
        <w:t> </w:t>
      </w:r>
      <w:r>
        <w:rPr>
          <w:sz w:val="22"/>
        </w:rPr>
        <w:t>Jr.</w:t>
      </w:r>
      <w:r>
        <w:rPr>
          <w:spacing w:val="40"/>
          <w:sz w:val="22"/>
        </w:rPr>
        <w:t> </w:t>
      </w:r>
      <w:r>
        <w:rPr>
          <w:sz w:val="22"/>
        </w:rPr>
        <w:t>Weight-bearing exercise</w:t>
      </w:r>
      <w:r>
        <w:rPr>
          <w:spacing w:val="40"/>
          <w:sz w:val="22"/>
        </w:rPr>
        <w:t> </w:t>
      </w:r>
      <w:r>
        <w:rPr>
          <w:sz w:val="22"/>
        </w:rPr>
        <w:t>training</w:t>
      </w:r>
      <w:r>
        <w:rPr>
          <w:spacing w:val="40"/>
          <w:sz w:val="22"/>
        </w:rPr>
        <w:t> </w:t>
      </w:r>
      <w:r>
        <w:rPr>
          <w:sz w:val="22"/>
        </w:rPr>
        <w:t>and</w:t>
      </w:r>
      <w:r>
        <w:rPr>
          <w:spacing w:val="40"/>
          <w:sz w:val="22"/>
        </w:rPr>
        <w:t> </w:t>
      </w:r>
      <w:r>
        <w:rPr>
          <w:sz w:val="22"/>
        </w:rPr>
        <w:t>lumbar</w:t>
      </w:r>
      <w:r>
        <w:rPr>
          <w:spacing w:val="40"/>
          <w:sz w:val="22"/>
        </w:rPr>
        <w:t> </w:t>
      </w:r>
      <w:r>
        <w:rPr>
          <w:sz w:val="22"/>
        </w:rPr>
        <w:t>bone</w:t>
      </w:r>
      <w:r>
        <w:rPr>
          <w:spacing w:val="40"/>
          <w:sz w:val="22"/>
        </w:rPr>
        <w:t> </w:t>
      </w:r>
      <w:r>
        <w:rPr>
          <w:sz w:val="22"/>
        </w:rPr>
        <w:t>mineral</w:t>
      </w:r>
      <w:r>
        <w:rPr>
          <w:spacing w:val="40"/>
          <w:sz w:val="22"/>
        </w:rPr>
        <w:t> </w:t>
      </w:r>
      <w:r>
        <w:rPr>
          <w:sz w:val="22"/>
        </w:rPr>
        <w:t>content</w:t>
      </w:r>
      <w:r>
        <w:rPr>
          <w:spacing w:val="40"/>
          <w:sz w:val="22"/>
        </w:rPr>
        <w:t> </w:t>
      </w:r>
      <w:r>
        <w:rPr>
          <w:sz w:val="22"/>
        </w:rPr>
        <w:t>in</w:t>
      </w:r>
      <w:r>
        <w:rPr>
          <w:spacing w:val="40"/>
          <w:sz w:val="22"/>
        </w:rPr>
        <w:t> </w:t>
      </w:r>
      <w:r>
        <w:rPr>
          <w:sz w:val="22"/>
        </w:rPr>
        <w:t>postmenopausal</w:t>
      </w:r>
      <w:r>
        <w:rPr>
          <w:spacing w:val="40"/>
          <w:sz w:val="22"/>
        </w:rPr>
        <w:t> </w:t>
      </w:r>
      <w:r>
        <w:rPr>
          <w:sz w:val="22"/>
        </w:rPr>
        <w:t>women.</w:t>
      </w:r>
      <w:r>
        <w:rPr>
          <w:spacing w:val="40"/>
          <w:sz w:val="22"/>
        </w:rPr>
        <w:t> </w:t>
      </w:r>
      <w:r>
        <w:rPr>
          <w:i/>
          <w:sz w:val="22"/>
        </w:rPr>
        <w:t>Ann</w:t>
      </w:r>
      <w:r>
        <w:rPr>
          <w:i/>
          <w:spacing w:val="40"/>
          <w:sz w:val="22"/>
        </w:rPr>
        <w:t> </w:t>
      </w:r>
      <w:r>
        <w:rPr>
          <w:i/>
          <w:sz w:val="22"/>
        </w:rPr>
        <w:t>Intern</w:t>
      </w:r>
      <w:r>
        <w:rPr>
          <w:i/>
          <w:sz w:val="22"/>
        </w:rPr>
        <w:t> Med</w:t>
      </w:r>
      <w:r>
        <w:rPr>
          <w:sz w:val="22"/>
        </w:rPr>
        <w:t>. 1988;108:824.</w:t>
      </w:r>
    </w:p>
    <w:p>
      <w:pPr>
        <w:pStyle w:val="ListParagraph"/>
        <w:numPr>
          <w:ilvl w:val="0"/>
          <w:numId w:val="8"/>
        </w:numPr>
        <w:tabs>
          <w:tab w:pos="710" w:val="left" w:leader="none"/>
        </w:tabs>
        <w:spacing w:line="251" w:lineRule="exact" w:before="0" w:after="0"/>
        <w:ind w:left="710" w:right="0" w:hanging="498"/>
        <w:jc w:val="both"/>
        <w:rPr>
          <w:sz w:val="22"/>
        </w:rPr>
      </w:pPr>
      <w:r>
        <w:rPr>
          <w:sz w:val="22"/>
        </w:rPr>
        <w:t>Cavanagh</w:t>
      </w:r>
      <w:r>
        <w:rPr>
          <w:spacing w:val="36"/>
          <w:sz w:val="22"/>
        </w:rPr>
        <w:t> </w:t>
      </w:r>
      <w:r>
        <w:rPr>
          <w:sz w:val="22"/>
        </w:rPr>
        <w:t>DJ,</w:t>
      </w:r>
      <w:r>
        <w:rPr>
          <w:spacing w:val="37"/>
          <w:sz w:val="22"/>
        </w:rPr>
        <w:t> </w:t>
      </w:r>
      <w:r>
        <w:rPr>
          <w:sz w:val="22"/>
        </w:rPr>
        <w:t>Cann</w:t>
      </w:r>
      <w:r>
        <w:rPr>
          <w:spacing w:val="37"/>
          <w:sz w:val="22"/>
        </w:rPr>
        <w:t> </w:t>
      </w:r>
      <w:r>
        <w:rPr>
          <w:sz w:val="22"/>
        </w:rPr>
        <w:t>CE.</w:t>
      </w:r>
      <w:r>
        <w:rPr>
          <w:spacing w:val="37"/>
          <w:sz w:val="22"/>
        </w:rPr>
        <w:t> </w:t>
      </w:r>
      <w:r>
        <w:rPr>
          <w:sz w:val="22"/>
        </w:rPr>
        <w:t>Brisk</w:t>
      </w:r>
      <w:r>
        <w:rPr>
          <w:spacing w:val="41"/>
          <w:sz w:val="22"/>
        </w:rPr>
        <w:t> </w:t>
      </w:r>
      <w:r>
        <w:rPr>
          <w:sz w:val="22"/>
        </w:rPr>
        <w:t>walking</w:t>
      </w:r>
      <w:r>
        <w:rPr>
          <w:spacing w:val="41"/>
          <w:sz w:val="22"/>
        </w:rPr>
        <w:t> </w:t>
      </w:r>
      <w:r>
        <w:rPr>
          <w:sz w:val="22"/>
        </w:rPr>
        <w:t>does</w:t>
      </w:r>
      <w:r>
        <w:rPr>
          <w:spacing w:val="41"/>
          <w:sz w:val="22"/>
        </w:rPr>
        <w:t> </w:t>
      </w:r>
      <w:r>
        <w:rPr>
          <w:sz w:val="22"/>
        </w:rPr>
        <w:t>not</w:t>
      </w:r>
      <w:r>
        <w:rPr>
          <w:spacing w:val="42"/>
          <w:sz w:val="22"/>
        </w:rPr>
        <w:t> </w:t>
      </w:r>
      <w:r>
        <w:rPr>
          <w:sz w:val="22"/>
        </w:rPr>
        <w:t>stop</w:t>
      </w:r>
      <w:r>
        <w:rPr>
          <w:spacing w:val="41"/>
          <w:sz w:val="22"/>
        </w:rPr>
        <w:t> </w:t>
      </w:r>
      <w:r>
        <w:rPr>
          <w:sz w:val="22"/>
        </w:rPr>
        <w:t>bone</w:t>
      </w:r>
      <w:r>
        <w:rPr>
          <w:spacing w:val="41"/>
          <w:sz w:val="22"/>
        </w:rPr>
        <w:t> </w:t>
      </w:r>
      <w:r>
        <w:rPr>
          <w:sz w:val="22"/>
        </w:rPr>
        <w:t>loss</w:t>
      </w:r>
      <w:r>
        <w:rPr>
          <w:spacing w:val="41"/>
          <w:sz w:val="22"/>
        </w:rPr>
        <w:t> </w:t>
      </w:r>
      <w:r>
        <w:rPr>
          <w:sz w:val="22"/>
        </w:rPr>
        <w:t>in</w:t>
      </w:r>
      <w:r>
        <w:rPr>
          <w:spacing w:val="42"/>
          <w:sz w:val="22"/>
        </w:rPr>
        <w:t> </w:t>
      </w:r>
      <w:r>
        <w:rPr>
          <w:sz w:val="22"/>
        </w:rPr>
        <w:t>postmenopausal</w:t>
      </w:r>
      <w:r>
        <w:rPr>
          <w:spacing w:val="41"/>
          <w:sz w:val="22"/>
        </w:rPr>
        <w:t> </w:t>
      </w:r>
      <w:r>
        <w:rPr>
          <w:spacing w:val="-2"/>
          <w:sz w:val="22"/>
        </w:rPr>
        <w:t>women.</w:t>
      </w:r>
    </w:p>
    <w:p>
      <w:pPr>
        <w:spacing w:before="0"/>
        <w:ind w:left="718" w:right="0" w:firstLine="0"/>
        <w:jc w:val="both"/>
        <w:rPr>
          <w:sz w:val="22"/>
        </w:rPr>
      </w:pPr>
      <w:r>
        <w:rPr>
          <w:i/>
          <w:sz w:val="22"/>
        </w:rPr>
        <w:t>Bone</w:t>
      </w:r>
      <w:r>
        <w:rPr>
          <w:sz w:val="22"/>
        </w:rPr>
        <w:t>.</w:t>
      </w:r>
      <w:r>
        <w:rPr>
          <w:spacing w:val="10"/>
          <w:sz w:val="22"/>
        </w:rPr>
        <w:t> </w:t>
      </w:r>
      <w:r>
        <w:rPr>
          <w:spacing w:val="-2"/>
          <w:sz w:val="22"/>
        </w:rPr>
        <w:t>1988;9:201.</w:t>
      </w:r>
    </w:p>
    <w:p>
      <w:pPr>
        <w:pStyle w:val="ListParagraph"/>
        <w:numPr>
          <w:ilvl w:val="0"/>
          <w:numId w:val="8"/>
        </w:numPr>
        <w:tabs>
          <w:tab w:pos="709" w:val="left" w:leader="none"/>
          <w:tab w:pos="718" w:val="left" w:leader="none"/>
        </w:tabs>
        <w:spacing w:line="256" w:lineRule="auto" w:before="13" w:after="0"/>
        <w:ind w:left="718" w:right="100" w:hanging="507"/>
        <w:jc w:val="left"/>
        <w:rPr>
          <w:sz w:val="22"/>
        </w:rPr>
      </w:pPr>
      <w:r>
        <w:rPr>
          <w:sz w:val="22"/>
        </w:rPr>
        <w:t>Brooke-Wavell</w:t>
      </w:r>
      <w:r>
        <w:rPr>
          <w:spacing w:val="40"/>
          <w:sz w:val="22"/>
        </w:rPr>
        <w:t> </w:t>
      </w:r>
      <w:r>
        <w:rPr>
          <w:sz w:val="22"/>
        </w:rPr>
        <w:t>K,</w:t>
      </w:r>
      <w:r>
        <w:rPr>
          <w:spacing w:val="40"/>
          <w:sz w:val="22"/>
        </w:rPr>
        <w:t> </w:t>
      </w:r>
      <w:r>
        <w:rPr>
          <w:sz w:val="22"/>
        </w:rPr>
        <w:t>Jones</w:t>
      </w:r>
      <w:r>
        <w:rPr>
          <w:spacing w:val="40"/>
          <w:sz w:val="22"/>
        </w:rPr>
        <w:t> </w:t>
      </w:r>
      <w:r>
        <w:rPr>
          <w:sz w:val="22"/>
        </w:rPr>
        <w:t>PRM,</w:t>
      </w:r>
      <w:r>
        <w:rPr>
          <w:spacing w:val="40"/>
          <w:sz w:val="22"/>
        </w:rPr>
        <w:t> </w:t>
      </w:r>
      <w:r>
        <w:rPr>
          <w:sz w:val="22"/>
        </w:rPr>
        <w:t>Hardman</w:t>
      </w:r>
      <w:r>
        <w:rPr>
          <w:spacing w:val="40"/>
          <w:sz w:val="22"/>
        </w:rPr>
        <w:t> </w:t>
      </w:r>
      <w:r>
        <w:rPr>
          <w:sz w:val="22"/>
        </w:rPr>
        <w:t>AE.</w:t>
      </w:r>
      <w:r>
        <w:rPr>
          <w:spacing w:val="40"/>
          <w:sz w:val="22"/>
        </w:rPr>
        <w:t> </w:t>
      </w:r>
      <w:r>
        <w:rPr>
          <w:sz w:val="22"/>
        </w:rPr>
        <w:t>Brisk</w:t>
      </w:r>
      <w:r>
        <w:rPr>
          <w:spacing w:val="40"/>
          <w:sz w:val="22"/>
        </w:rPr>
        <w:t> </w:t>
      </w:r>
      <w:r>
        <w:rPr>
          <w:sz w:val="22"/>
        </w:rPr>
        <w:t>walking</w:t>
      </w:r>
      <w:r>
        <w:rPr>
          <w:spacing w:val="40"/>
          <w:sz w:val="22"/>
        </w:rPr>
        <w:t> </w:t>
      </w:r>
      <w:r>
        <w:rPr>
          <w:sz w:val="22"/>
        </w:rPr>
        <w:t>reduces</w:t>
      </w:r>
      <w:r>
        <w:rPr>
          <w:spacing w:val="40"/>
          <w:sz w:val="22"/>
        </w:rPr>
        <w:t> </w:t>
      </w:r>
      <w:r>
        <w:rPr>
          <w:sz w:val="22"/>
        </w:rPr>
        <w:t>calcaneal</w:t>
      </w:r>
      <w:r>
        <w:rPr>
          <w:spacing w:val="40"/>
          <w:sz w:val="22"/>
        </w:rPr>
        <w:t> </w:t>
      </w:r>
      <w:r>
        <w:rPr>
          <w:sz w:val="22"/>
        </w:rPr>
        <w:t>bone</w:t>
      </w:r>
      <w:r>
        <w:rPr>
          <w:spacing w:val="40"/>
          <w:sz w:val="22"/>
        </w:rPr>
        <w:t> </w:t>
      </w:r>
      <w:r>
        <w:rPr>
          <w:sz w:val="22"/>
        </w:rPr>
        <w:t>loss</w:t>
      </w:r>
      <w:r>
        <w:rPr>
          <w:spacing w:val="40"/>
          <w:sz w:val="22"/>
        </w:rPr>
        <w:t> </w:t>
      </w:r>
      <w:r>
        <w:rPr>
          <w:sz w:val="22"/>
        </w:rPr>
        <w:t>in post-menopausal women. </w:t>
      </w:r>
      <w:r>
        <w:rPr>
          <w:i/>
          <w:sz w:val="22"/>
        </w:rPr>
        <w:t>Clin Sci</w:t>
      </w:r>
      <w:r>
        <w:rPr>
          <w:sz w:val="22"/>
        </w:rPr>
        <w:t>. 1997;92:75.</w:t>
      </w:r>
    </w:p>
    <w:p>
      <w:pPr>
        <w:pStyle w:val="ListParagraph"/>
        <w:numPr>
          <w:ilvl w:val="0"/>
          <w:numId w:val="8"/>
        </w:numPr>
        <w:tabs>
          <w:tab w:pos="709" w:val="left" w:leader="none"/>
          <w:tab w:pos="718" w:val="left" w:leader="none"/>
        </w:tabs>
        <w:spacing w:line="256" w:lineRule="auto" w:before="0" w:after="0"/>
        <w:ind w:left="718" w:right="102" w:hanging="507"/>
        <w:jc w:val="left"/>
        <w:rPr>
          <w:sz w:val="22"/>
        </w:rPr>
      </w:pPr>
      <w:r>
        <w:rPr>
          <w:sz w:val="22"/>
        </w:rPr>
        <w:t>Ebrahim</w:t>
      </w:r>
      <w:r>
        <w:rPr>
          <w:spacing w:val="40"/>
          <w:sz w:val="22"/>
        </w:rPr>
        <w:t> </w:t>
      </w:r>
      <w:r>
        <w:rPr>
          <w:sz w:val="22"/>
        </w:rPr>
        <w:t>S,</w:t>
      </w:r>
      <w:r>
        <w:rPr>
          <w:spacing w:val="40"/>
          <w:sz w:val="22"/>
        </w:rPr>
        <w:t> </w:t>
      </w:r>
      <w:r>
        <w:rPr>
          <w:sz w:val="22"/>
        </w:rPr>
        <w:t>Thompson</w:t>
      </w:r>
      <w:r>
        <w:rPr>
          <w:spacing w:val="40"/>
          <w:sz w:val="22"/>
        </w:rPr>
        <w:t> </w:t>
      </w:r>
      <w:r>
        <w:rPr>
          <w:sz w:val="22"/>
        </w:rPr>
        <w:t>PW,</w:t>
      </w:r>
      <w:r>
        <w:rPr>
          <w:spacing w:val="40"/>
          <w:sz w:val="22"/>
        </w:rPr>
        <w:t> </w:t>
      </w:r>
      <w:r>
        <w:rPr>
          <w:sz w:val="22"/>
        </w:rPr>
        <w:t>Baskaran</w:t>
      </w:r>
      <w:r>
        <w:rPr>
          <w:spacing w:val="40"/>
          <w:sz w:val="22"/>
        </w:rPr>
        <w:t> </w:t>
      </w:r>
      <w:r>
        <w:rPr>
          <w:sz w:val="22"/>
        </w:rPr>
        <w:t>V,</w:t>
      </w:r>
      <w:r>
        <w:rPr>
          <w:spacing w:val="40"/>
          <w:sz w:val="22"/>
        </w:rPr>
        <w:t> </w:t>
      </w:r>
      <w:r>
        <w:rPr>
          <w:sz w:val="22"/>
        </w:rPr>
        <w:t>Evans</w:t>
      </w:r>
      <w:r>
        <w:rPr>
          <w:spacing w:val="40"/>
          <w:sz w:val="22"/>
        </w:rPr>
        <w:t> </w:t>
      </w:r>
      <w:r>
        <w:rPr>
          <w:sz w:val="22"/>
        </w:rPr>
        <w:t>K.</w:t>
      </w:r>
      <w:r>
        <w:rPr>
          <w:spacing w:val="40"/>
          <w:sz w:val="22"/>
        </w:rPr>
        <w:t> </w:t>
      </w:r>
      <w:r>
        <w:rPr>
          <w:sz w:val="22"/>
        </w:rPr>
        <w:t>Randomized</w:t>
      </w:r>
      <w:r>
        <w:rPr>
          <w:spacing w:val="40"/>
          <w:sz w:val="22"/>
        </w:rPr>
        <w:t> </w:t>
      </w:r>
      <w:r>
        <w:rPr>
          <w:sz w:val="22"/>
        </w:rPr>
        <w:t>placebo-controlled</w:t>
      </w:r>
      <w:r>
        <w:rPr>
          <w:spacing w:val="40"/>
          <w:sz w:val="22"/>
        </w:rPr>
        <w:t> </w:t>
      </w:r>
      <w:r>
        <w:rPr>
          <w:sz w:val="22"/>
        </w:rPr>
        <w:t>trial</w:t>
      </w:r>
      <w:r>
        <w:rPr>
          <w:spacing w:val="40"/>
          <w:sz w:val="22"/>
        </w:rPr>
        <w:t> </w:t>
      </w:r>
      <w:r>
        <w:rPr>
          <w:sz w:val="22"/>
        </w:rPr>
        <w:t>of brisk walking in the prevention of postmenopausal osteoporosis. </w:t>
      </w:r>
      <w:r>
        <w:rPr>
          <w:i/>
          <w:sz w:val="22"/>
        </w:rPr>
        <w:t>Age Ageing</w:t>
      </w:r>
      <w:r>
        <w:rPr>
          <w:sz w:val="22"/>
        </w:rPr>
        <w:t>. 1997;26:253.</w:t>
      </w:r>
    </w:p>
    <w:p>
      <w:pPr>
        <w:pStyle w:val="ListParagraph"/>
        <w:numPr>
          <w:ilvl w:val="0"/>
          <w:numId w:val="8"/>
        </w:numPr>
        <w:tabs>
          <w:tab w:pos="709" w:val="left" w:leader="none"/>
          <w:tab w:pos="718" w:val="left" w:leader="none"/>
        </w:tabs>
        <w:spacing w:line="256" w:lineRule="auto" w:before="0" w:after="0"/>
        <w:ind w:left="718" w:right="103" w:hanging="507"/>
        <w:jc w:val="left"/>
        <w:rPr>
          <w:sz w:val="22"/>
        </w:rPr>
      </w:pPr>
      <w:r>
        <w:rPr>
          <w:sz w:val="22"/>
        </w:rPr>
        <w:t>Kohrt WM, Snead DB, Slatopolsky E, Birge SJ Jr. Additive effects of weight-bearing </w:t>
      </w:r>
      <w:r>
        <w:rPr>
          <w:sz w:val="22"/>
        </w:rPr>
        <w:t>exercise and estrogen on bone mineral density in older women. </w:t>
      </w:r>
      <w:r>
        <w:rPr>
          <w:i/>
          <w:sz w:val="22"/>
        </w:rPr>
        <w:t>J Bone Miner Res</w:t>
      </w:r>
      <w:r>
        <w:rPr>
          <w:sz w:val="22"/>
        </w:rPr>
        <w:t>. 1995;10:1303.</w:t>
      </w:r>
    </w:p>
    <w:p>
      <w:pPr>
        <w:pStyle w:val="ListParagraph"/>
        <w:numPr>
          <w:ilvl w:val="0"/>
          <w:numId w:val="8"/>
        </w:numPr>
        <w:tabs>
          <w:tab w:pos="709" w:val="left" w:leader="none"/>
          <w:tab w:pos="718" w:val="left" w:leader="none"/>
        </w:tabs>
        <w:spacing w:line="256" w:lineRule="auto" w:before="0" w:after="0"/>
        <w:ind w:left="718" w:right="108" w:hanging="507"/>
        <w:jc w:val="left"/>
        <w:rPr>
          <w:sz w:val="22"/>
        </w:rPr>
      </w:pPr>
      <w:r>
        <w:rPr>
          <w:sz w:val="22"/>
        </w:rPr>
        <w:t>Feskanich D, Willett W, Colditz GA. Walking and leisure-time activity and risk of hip </w:t>
      </w:r>
      <w:r>
        <w:rPr>
          <w:sz w:val="22"/>
        </w:rPr>
        <w:t>fracture</w:t>
      </w:r>
      <w:r>
        <w:rPr>
          <w:spacing w:val="40"/>
          <w:sz w:val="22"/>
        </w:rPr>
        <w:t> </w:t>
      </w:r>
      <w:r>
        <w:rPr>
          <w:sz w:val="22"/>
        </w:rPr>
        <w:t>in postmenopausal women. </w:t>
      </w:r>
      <w:r>
        <w:rPr>
          <w:i/>
          <w:sz w:val="22"/>
        </w:rPr>
        <w:t>JAMA</w:t>
      </w:r>
      <w:r>
        <w:rPr>
          <w:sz w:val="22"/>
        </w:rPr>
        <w:t>. 2002;288:2300.</w:t>
      </w:r>
    </w:p>
    <w:p>
      <w:pPr>
        <w:pStyle w:val="ListParagraph"/>
        <w:spacing w:after="0" w:line="256" w:lineRule="auto"/>
        <w:jc w:val="left"/>
        <w:rPr>
          <w:sz w:val="22"/>
        </w:rPr>
        <w:sectPr>
          <w:pgSz w:w="12240" w:h="15840"/>
          <w:pgMar w:top="1360" w:bottom="280" w:left="1440" w:right="1440"/>
        </w:sectPr>
      </w:pPr>
    </w:p>
    <w:p>
      <w:pPr>
        <w:pStyle w:val="ListParagraph"/>
        <w:numPr>
          <w:ilvl w:val="0"/>
          <w:numId w:val="8"/>
        </w:numPr>
        <w:tabs>
          <w:tab w:pos="709" w:val="left" w:leader="none"/>
          <w:tab w:pos="718" w:val="left" w:leader="none"/>
        </w:tabs>
        <w:spacing w:line="256" w:lineRule="auto" w:before="84" w:after="0"/>
        <w:ind w:left="718" w:right="110" w:hanging="507"/>
        <w:jc w:val="both"/>
        <w:rPr>
          <w:sz w:val="22"/>
        </w:rPr>
      </w:pPr>
      <w:r>
        <w:rPr>
          <w:sz w:val="22"/>
        </w:rPr>
        <w:t>Hopper JL, Seeman E. The bone density of female twins discordant for tobacco use. </w:t>
      </w:r>
      <w:r>
        <w:rPr>
          <w:i/>
          <w:sz w:val="22"/>
        </w:rPr>
        <w:t>N Engl J</w:t>
      </w:r>
      <w:r>
        <w:rPr>
          <w:i/>
          <w:sz w:val="22"/>
        </w:rPr>
        <w:t> Med</w:t>
      </w:r>
      <w:r>
        <w:rPr>
          <w:sz w:val="22"/>
        </w:rPr>
        <w:t>. 1994;330:387.</w:t>
      </w:r>
    </w:p>
    <w:p>
      <w:pPr>
        <w:pStyle w:val="ListParagraph"/>
        <w:numPr>
          <w:ilvl w:val="0"/>
          <w:numId w:val="8"/>
        </w:numPr>
        <w:tabs>
          <w:tab w:pos="709" w:val="left" w:leader="none"/>
          <w:tab w:pos="718" w:val="left" w:leader="none"/>
        </w:tabs>
        <w:spacing w:line="256" w:lineRule="auto" w:before="0" w:after="0"/>
        <w:ind w:left="718" w:right="104" w:hanging="507"/>
        <w:jc w:val="both"/>
        <w:rPr>
          <w:sz w:val="22"/>
        </w:rPr>
      </w:pPr>
      <w:r>
        <w:rPr>
          <w:sz w:val="22"/>
        </w:rPr>
        <w:t>Krall EA, Dawson-Hughes B. Smoking and bone loss among postmenopausal women. </w:t>
      </w:r>
      <w:r>
        <w:rPr>
          <w:i/>
          <w:sz w:val="22"/>
        </w:rPr>
        <w:t>J </w:t>
      </w:r>
      <w:r>
        <w:rPr>
          <w:i/>
          <w:sz w:val="22"/>
        </w:rPr>
        <w:t>Bone</w:t>
      </w:r>
      <w:r>
        <w:rPr>
          <w:i/>
          <w:sz w:val="22"/>
        </w:rPr>
        <w:t> Miner Res</w:t>
      </w:r>
      <w:r>
        <w:rPr>
          <w:sz w:val="22"/>
        </w:rPr>
        <w:t>. 1991;6:331.</w:t>
      </w:r>
    </w:p>
    <w:p>
      <w:pPr>
        <w:pStyle w:val="ListParagraph"/>
        <w:numPr>
          <w:ilvl w:val="0"/>
          <w:numId w:val="8"/>
        </w:numPr>
        <w:tabs>
          <w:tab w:pos="709" w:val="left" w:leader="none"/>
          <w:tab w:pos="718" w:val="left" w:leader="none"/>
        </w:tabs>
        <w:spacing w:line="256" w:lineRule="auto" w:before="0" w:after="0"/>
        <w:ind w:left="718" w:right="102" w:hanging="507"/>
        <w:jc w:val="both"/>
        <w:rPr>
          <w:sz w:val="22"/>
        </w:rPr>
      </w:pPr>
      <w:r>
        <w:rPr>
          <w:sz w:val="22"/>
        </w:rPr>
        <w:t>Kiel DP, Felson DT, Hannan MT, Anderson JJ, Wilson PW. Caffeine and the risk of </w:t>
      </w:r>
      <w:r>
        <w:rPr>
          <w:sz w:val="22"/>
        </w:rPr>
        <w:t>hip</w:t>
      </w:r>
      <w:r>
        <w:rPr>
          <w:spacing w:val="40"/>
          <w:sz w:val="22"/>
        </w:rPr>
        <w:t> </w:t>
      </w:r>
      <w:r>
        <w:rPr>
          <w:sz w:val="22"/>
        </w:rPr>
        <w:t>fracture: the Framingham study. </w:t>
      </w:r>
      <w:r>
        <w:rPr>
          <w:i/>
          <w:sz w:val="22"/>
        </w:rPr>
        <w:t>Am J Epidemiol</w:t>
      </w:r>
      <w:r>
        <w:rPr>
          <w:sz w:val="22"/>
        </w:rPr>
        <w:t>. 1990;132:675.</w:t>
      </w:r>
    </w:p>
    <w:p>
      <w:pPr>
        <w:pStyle w:val="ListParagraph"/>
        <w:numPr>
          <w:ilvl w:val="0"/>
          <w:numId w:val="8"/>
        </w:numPr>
        <w:tabs>
          <w:tab w:pos="709" w:val="left" w:leader="none"/>
          <w:tab w:pos="718" w:val="left" w:leader="none"/>
        </w:tabs>
        <w:spacing w:line="256" w:lineRule="auto" w:before="0" w:after="0"/>
        <w:ind w:left="718" w:right="98" w:hanging="507"/>
        <w:jc w:val="both"/>
        <w:rPr>
          <w:sz w:val="22"/>
        </w:rPr>
      </w:pPr>
      <w:r>
        <w:rPr>
          <w:sz w:val="22"/>
        </w:rPr>
        <w:t>Barrett-Connor</w:t>
      </w:r>
      <w:r>
        <w:rPr>
          <w:spacing w:val="40"/>
          <w:sz w:val="22"/>
        </w:rPr>
        <w:t> </w:t>
      </w:r>
      <w:r>
        <w:rPr>
          <w:sz w:val="22"/>
        </w:rPr>
        <w:t>E,</w:t>
      </w:r>
      <w:r>
        <w:rPr>
          <w:spacing w:val="40"/>
          <w:sz w:val="22"/>
        </w:rPr>
        <w:t> </w:t>
      </w:r>
      <w:r>
        <w:rPr>
          <w:sz w:val="22"/>
        </w:rPr>
        <w:t>Chang</w:t>
      </w:r>
      <w:r>
        <w:rPr>
          <w:spacing w:val="40"/>
          <w:sz w:val="22"/>
        </w:rPr>
        <w:t> </w:t>
      </w:r>
      <w:r>
        <w:rPr>
          <w:sz w:val="22"/>
        </w:rPr>
        <w:t>JC,</w:t>
      </w:r>
      <w:r>
        <w:rPr>
          <w:spacing w:val="40"/>
          <w:sz w:val="22"/>
        </w:rPr>
        <w:t> </w:t>
      </w:r>
      <w:r>
        <w:rPr>
          <w:sz w:val="22"/>
        </w:rPr>
        <w:t>Edelstein</w:t>
      </w:r>
      <w:r>
        <w:rPr>
          <w:spacing w:val="40"/>
          <w:sz w:val="22"/>
        </w:rPr>
        <w:t> </w:t>
      </w:r>
      <w:r>
        <w:rPr>
          <w:sz w:val="22"/>
        </w:rPr>
        <w:t>SL.</w:t>
      </w:r>
      <w:r>
        <w:rPr>
          <w:spacing w:val="40"/>
          <w:sz w:val="22"/>
        </w:rPr>
        <w:t> </w:t>
      </w:r>
      <w:r>
        <w:rPr>
          <w:sz w:val="22"/>
        </w:rPr>
        <w:t>Coffee-associated</w:t>
      </w:r>
      <w:r>
        <w:rPr>
          <w:spacing w:val="40"/>
          <w:sz w:val="22"/>
        </w:rPr>
        <w:t> </w:t>
      </w:r>
      <w:r>
        <w:rPr>
          <w:sz w:val="22"/>
        </w:rPr>
        <w:t>osteoporosis</w:t>
      </w:r>
      <w:r>
        <w:rPr>
          <w:spacing w:val="40"/>
          <w:sz w:val="22"/>
        </w:rPr>
        <w:t> </w:t>
      </w:r>
      <w:r>
        <w:rPr>
          <w:sz w:val="22"/>
        </w:rPr>
        <w:t>offset</w:t>
      </w:r>
      <w:r>
        <w:rPr>
          <w:spacing w:val="40"/>
          <w:sz w:val="22"/>
        </w:rPr>
        <w:t> </w:t>
      </w:r>
      <w:r>
        <w:rPr>
          <w:sz w:val="22"/>
        </w:rPr>
        <w:t>by</w:t>
      </w:r>
      <w:r>
        <w:rPr>
          <w:spacing w:val="40"/>
          <w:sz w:val="22"/>
        </w:rPr>
        <w:t> </w:t>
      </w:r>
      <w:r>
        <w:rPr>
          <w:sz w:val="22"/>
        </w:rPr>
        <w:t>daily milk consumption. </w:t>
      </w:r>
      <w:r>
        <w:rPr>
          <w:i/>
          <w:sz w:val="22"/>
        </w:rPr>
        <w:t>JAMA</w:t>
      </w:r>
      <w:r>
        <w:rPr>
          <w:sz w:val="22"/>
        </w:rPr>
        <w:t>. 1994;271:280.</w:t>
      </w:r>
    </w:p>
    <w:p>
      <w:pPr>
        <w:pStyle w:val="ListParagraph"/>
        <w:numPr>
          <w:ilvl w:val="0"/>
          <w:numId w:val="8"/>
        </w:numPr>
        <w:tabs>
          <w:tab w:pos="709" w:val="left" w:leader="none"/>
          <w:tab w:pos="718" w:val="left" w:leader="none"/>
        </w:tabs>
        <w:spacing w:line="256" w:lineRule="auto" w:before="0" w:after="0"/>
        <w:ind w:left="718" w:right="103" w:hanging="507"/>
        <w:jc w:val="both"/>
        <w:rPr>
          <w:sz w:val="22"/>
        </w:rPr>
      </w:pPr>
      <w:r>
        <w:rPr>
          <w:sz w:val="22"/>
        </w:rPr>
        <w:t>Greenspan SL, Myers ER, Maitland LA, Resnick NM, Hayes WC. Fall severity and bone mineral density as risk factors for hip fracture in ambulatory elderly. </w:t>
      </w:r>
      <w:r>
        <w:rPr>
          <w:i/>
          <w:sz w:val="22"/>
        </w:rPr>
        <w:t>JAMA</w:t>
      </w:r>
      <w:r>
        <w:rPr>
          <w:sz w:val="22"/>
        </w:rPr>
        <w:t>. 1994;271:128.</w:t>
      </w:r>
    </w:p>
    <w:p>
      <w:pPr>
        <w:pStyle w:val="ListParagraph"/>
        <w:numPr>
          <w:ilvl w:val="0"/>
          <w:numId w:val="8"/>
        </w:numPr>
        <w:tabs>
          <w:tab w:pos="709" w:val="left" w:leader="none"/>
          <w:tab w:pos="718" w:val="left" w:leader="none"/>
        </w:tabs>
        <w:spacing w:line="256" w:lineRule="auto" w:before="0" w:after="0"/>
        <w:ind w:left="718" w:right="104" w:hanging="507"/>
        <w:jc w:val="both"/>
        <w:rPr>
          <w:sz w:val="22"/>
        </w:rPr>
      </w:pPr>
      <w:r>
        <w:rPr>
          <w:sz w:val="22"/>
        </w:rPr>
        <w:t>Cauley JA, Petrini AM, LaPorte RE, et al. The decline of grip strength in the menopause: relationship to physical activity, estrogen use and anthropometric factors. </w:t>
      </w:r>
      <w:r>
        <w:rPr>
          <w:i/>
          <w:sz w:val="22"/>
        </w:rPr>
        <w:t>J Chronic Dis</w:t>
      </w:r>
      <w:r>
        <w:rPr>
          <w:sz w:val="22"/>
        </w:rPr>
        <w:t>. </w:t>
      </w:r>
      <w:r>
        <w:rPr>
          <w:spacing w:val="-2"/>
          <w:sz w:val="22"/>
        </w:rPr>
        <w:t>1987;40:115.</w:t>
      </w:r>
    </w:p>
    <w:p>
      <w:pPr>
        <w:pStyle w:val="ListParagraph"/>
        <w:numPr>
          <w:ilvl w:val="0"/>
          <w:numId w:val="8"/>
        </w:numPr>
        <w:tabs>
          <w:tab w:pos="709" w:val="left" w:leader="none"/>
          <w:tab w:pos="718" w:val="left" w:leader="none"/>
        </w:tabs>
        <w:spacing w:line="256" w:lineRule="auto" w:before="0" w:after="0"/>
        <w:ind w:left="718" w:right="100" w:hanging="507"/>
        <w:jc w:val="both"/>
        <w:rPr>
          <w:sz w:val="22"/>
        </w:rPr>
      </w:pPr>
      <w:r>
        <w:rPr>
          <w:sz w:val="22"/>
        </w:rPr>
        <w:t>Phillips</w:t>
      </w:r>
      <w:r>
        <w:rPr>
          <w:spacing w:val="40"/>
          <w:sz w:val="22"/>
        </w:rPr>
        <w:t> </w:t>
      </w:r>
      <w:r>
        <w:rPr>
          <w:sz w:val="22"/>
        </w:rPr>
        <w:t>SK,</w:t>
      </w:r>
      <w:r>
        <w:rPr>
          <w:spacing w:val="40"/>
          <w:sz w:val="22"/>
        </w:rPr>
        <w:t> </w:t>
      </w:r>
      <w:r>
        <w:rPr>
          <w:sz w:val="22"/>
        </w:rPr>
        <w:t>Rook</w:t>
      </w:r>
      <w:r>
        <w:rPr>
          <w:spacing w:val="40"/>
          <w:sz w:val="22"/>
        </w:rPr>
        <w:t> </w:t>
      </w:r>
      <w:r>
        <w:rPr>
          <w:sz w:val="22"/>
        </w:rPr>
        <w:t>KM,</w:t>
      </w:r>
      <w:r>
        <w:rPr>
          <w:spacing w:val="40"/>
          <w:sz w:val="22"/>
        </w:rPr>
        <w:t> </w:t>
      </w:r>
      <w:r>
        <w:rPr>
          <w:sz w:val="22"/>
        </w:rPr>
        <w:t>Siddle</w:t>
      </w:r>
      <w:r>
        <w:rPr>
          <w:spacing w:val="40"/>
          <w:sz w:val="22"/>
        </w:rPr>
        <w:t> </w:t>
      </w:r>
      <w:r>
        <w:rPr>
          <w:sz w:val="22"/>
        </w:rPr>
        <w:t>NC,</w:t>
      </w:r>
      <w:r>
        <w:rPr>
          <w:spacing w:val="40"/>
          <w:sz w:val="22"/>
        </w:rPr>
        <w:t> </w:t>
      </w:r>
      <w:r>
        <w:rPr>
          <w:sz w:val="22"/>
        </w:rPr>
        <w:t>Bruce</w:t>
      </w:r>
      <w:r>
        <w:rPr>
          <w:spacing w:val="40"/>
          <w:sz w:val="22"/>
        </w:rPr>
        <w:t> </w:t>
      </w:r>
      <w:r>
        <w:rPr>
          <w:sz w:val="22"/>
        </w:rPr>
        <w:t>SA,</w:t>
      </w:r>
      <w:r>
        <w:rPr>
          <w:spacing w:val="40"/>
          <w:sz w:val="22"/>
        </w:rPr>
        <w:t> </w:t>
      </w:r>
      <w:r>
        <w:rPr>
          <w:sz w:val="22"/>
        </w:rPr>
        <w:t>Woldege</w:t>
      </w:r>
      <w:r>
        <w:rPr>
          <w:spacing w:val="40"/>
          <w:sz w:val="22"/>
        </w:rPr>
        <w:t> </w:t>
      </w:r>
      <w:r>
        <w:rPr>
          <w:sz w:val="22"/>
        </w:rPr>
        <w:t>RC.</w:t>
      </w:r>
      <w:r>
        <w:rPr>
          <w:spacing w:val="40"/>
          <w:sz w:val="22"/>
        </w:rPr>
        <w:t> </w:t>
      </w:r>
      <w:r>
        <w:rPr>
          <w:sz w:val="22"/>
        </w:rPr>
        <w:t>Muscle</w:t>
      </w:r>
      <w:r>
        <w:rPr>
          <w:spacing w:val="40"/>
          <w:sz w:val="22"/>
        </w:rPr>
        <w:t> </w:t>
      </w:r>
      <w:r>
        <w:rPr>
          <w:sz w:val="22"/>
        </w:rPr>
        <w:t>weakness</w:t>
      </w:r>
      <w:r>
        <w:rPr>
          <w:spacing w:val="40"/>
          <w:sz w:val="22"/>
        </w:rPr>
        <w:t> </w:t>
      </w:r>
      <w:r>
        <w:rPr>
          <w:sz w:val="22"/>
        </w:rPr>
        <w:t>in</w:t>
      </w:r>
      <w:r>
        <w:rPr>
          <w:spacing w:val="40"/>
          <w:sz w:val="22"/>
        </w:rPr>
        <w:t> </w:t>
      </w:r>
      <w:r>
        <w:rPr>
          <w:sz w:val="22"/>
        </w:rPr>
        <w:t>women occurs at an earlier age than in men but strength is preserved by hormone replacement therapy. </w:t>
      </w:r>
      <w:r>
        <w:rPr>
          <w:i/>
          <w:sz w:val="22"/>
        </w:rPr>
        <w:t>Clin Sci (Lond)</w:t>
      </w:r>
      <w:r>
        <w:rPr>
          <w:sz w:val="22"/>
        </w:rPr>
        <w:t>. 1993;84:95.</w:t>
      </w:r>
    </w:p>
    <w:p>
      <w:pPr>
        <w:pStyle w:val="ListParagraph"/>
        <w:numPr>
          <w:ilvl w:val="0"/>
          <w:numId w:val="8"/>
        </w:numPr>
        <w:tabs>
          <w:tab w:pos="709" w:val="left" w:leader="none"/>
          <w:tab w:pos="718" w:val="left" w:leader="none"/>
        </w:tabs>
        <w:spacing w:line="256" w:lineRule="auto" w:before="0" w:after="0"/>
        <w:ind w:left="718" w:right="108" w:hanging="507"/>
        <w:jc w:val="both"/>
        <w:rPr>
          <w:sz w:val="22"/>
        </w:rPr>
      </w:pPr>
      <w:r>
        <w:rPr>
          <w:sz w:val="22"/>
        </w:rPr>
        <w:t>Preisinger E, Alacamlioglu Y, Saradeth T, Resch KL, Holzer G, Metka M. Forearm bone</w:t>
      </w:r>
      <w:r>
        <w:rPr>
          <w:spacing w:val="80"/>
          <w:sz w:val="22"/>
        </w:rPr>
        <w:t> </w:t>
      </w:r>
      <w:r>
        <w:rPr>
          <w:sz w:val="22"/>
        </w:rPr>
        <w:t>density and grip strength in women after menopause with and without estrogen replacement therapy. </w:t>
      </w:r>
      <w:r>
        <w:rPr>
          <w:i/>
          <w:sz w:val="22"/>
        </w:rPr>
        <w:t>Maturitas</w:t>
      </w:r>
      <w:r>
        <w:rPr>
          <w:sz w:val="22"/>
        </w:rPr>
        <w:t>. 1995;21:57.</w:t>
      </w:r>
    </w:p>
    <w:p>
      <w:pPr>
        <w:pStyle w:val="ListParagraph"/>
        <w:numPr>
          <w:ilvl w:val="0"/>
          <w:numId w:val="8"/>
        </w:numPr>
        <w:tabs>
          <w:tab w:pos="709" w:val="left" w:leader="none"/>
          <w:tab w:pos="718" w:val="left" w:leader="none"/>
        </w:tabs>
        <w:spacing w:line="256" w:lineRule="auto" w:before="0" w:after="0"/>
        <w:ind w:left="718" w:right="98" w:hanging="507"/>
        <w:jc w:val="both"/>
        <w:rPr>
          <w:sz w:val="22"/>
        </w:rPr>
      </w:pPr>
      <w:r>
        <w:rPr>
          <w:sz w:val="22"/>
        </w:rPr>
        <w:t>Hammar ML, Lindgren R, Berg GE, Möller CG, Niklasson MK. Effects of hormonal replacement therapy on postural balance among postmenopausal women. </w:t>
      </w:r>
      <w:r>
        <w:rPr>
          <w:i/>
          <w:sz w:val="22"/>
        </w:rPr>
        <w:t>Obstet </w:t>
      </w:r>
      <w:r>
        <w:rPr>
          <w:i/>
          <w:sz w:val="22"/>
        </w:rPr>
        <w:t>Gynecol</w:t>
      </w:r>
      <w:r>
        <w:rPr>
          <w:sz w:val="22"/>
        </w:rPr>
        <w:t>. </w:t>
      </w:r>
      <w:r>
        <w:rPr>
          <w:spacing w:val="-2"/>
          <w:sz w:val="22"/>
        </w:rPr>
        <w:t>1996;88:955.</w:t>
      </w:r>
    </w:p>
    <w:p>
      <w:pPr>
        <w:pStyle w:val="ListParagraph"/>
        <w:numPr>
          <w:ilvl w:val="0"/>
          <w:numId w:val="8"/>
        </w:numPr>
        <w:tabs>
          <w:tab w:pos="709" w:val="left" w:leader="none"/>
          <w:tab w:pos="718" w:val="left" w:leader="none"/>
        </w:tabs>
        <w:spacing w:line="256" w:lineRule="auto" w:before="0" w:after="0"/>
        <w:ind w:left="718" w:right="110" w:hanging="507"/>
        <w:jc w:val="both"/>
        <w:rPr>
          <w:sz w:val="22"/>
        </w:rPr>
      </w:pPr>
      <w:r>
        <w:rPr>
          <w:sz w:val="22"/>
        </w:rPr>
        <w:t>Naessen T, Lindmark B, Larsen H-C. Better postural balance in elderly women </w:t>
      </w:r>
      <w:r>
        <w:rPr>
          <w:sz w:val="22"/>
        </w:rPr>
        <w:t>receiving estrogens. </w:t>
      </w:r>
      <w:r>
        <w:rPr>
          <w:i/>
          <w:sz w:val="22"/>
        </w:rPr>
        <w:t>Am J Obstet Gynecol</w:t>
      </w:r>
      <w:r>
        <w:rPr>
          <w:sz w:val="22"/>
        </w:rPr>
        <w:t>. 1997;177:412.</w:t>
      </w:r>
    </w:p>
    <w:p>
      <w:pPr>
        <w:pStyle w:val="ListParagraph"/>
        <w:numPr>
          <w:ilvl w:val="0"/>
          <w:numId w:val="8"/>
        </w:numPr>
        <w:tabs>
          <w:tab w:pos="709" w:val="left" w:leader="none"/>
          <w:tab w:pos="718" w:val="left" w:leader="none"/>
        </w:tabs>
        <w:spacing w:line="256" w:lineRule="auto" w:before="0" w:after="0"/>
        <w:ind w:left="718" w:right="102" w:hanging="507"/>
        <w:jc w:val="both"/>
        <w:rPr>
          <w:sz w:val="22"/>
        </w:rPr>
      </w:pPr>
      <w:r>
        <w:rPr>
          <w:sz w:val="22"/>
        </w:rPr>
        <w:t>Ronkainen PHA, Kovanen V, Alen M, et al. Postmenopausal hormone replacement </w:t>
      </w:r>
      <w:r>
        <w:rPr>
          <w:sz w:val="22"/>
        </w:rPr>
        <w:t>therapy modifies</w:t>
      </w:r>
      <w:r>
        <w:rPr>
          <w:spacing w:val="40"/>
          <w:sz w:val="22"/>
        </w:rPr>
        <w:t> </w:t>
      </w:r>
      <w:r>
        <w:rPr>
          <w:sz w:val="22"/>
        </w:rPr>
        <w:t>skeletal</w:t>
      </w:r>
      <w:r>
        <w:rPr>
          <w:spacing w:val="40"/>
          <w:sz w:val="22"/>
        </w:rPr>
        <w:t> </w:t>
      </w:r>
      <w:r>
        <w:rPr>
          <w:sz w:val="22"/>
        </w:rPr>
        <w:t>muscle</w:t>
      </w:r>
      <w:r>
        <w:rPr>
          <w:spacing w:val="40"/>
          <w:sz w:val="22"/>
        </w:rPr>
        <w:t> </w:t>
      </w:r>
      <w:r>
        <w:rPr>
          <w:sz w:val="22"/>
        </w:rPr>
        <w:t>composition</w:t>
      </w:r>
      <w:r>
        <w:rPr>
          <w:spacing w:val="40"/>
          <w:sz w:val="22"/>
        </w:rPr>
        <w:t> </w:t>
      </w:r>
      <w:r>
        <w:rPr>
          <w:sz w:val="22"/>
        </w:rPr>
        <w:t>and</w:t>
      </w:r>
      <w:r>
        <w:rPr>
          <w:spacing w:val="40"/>
          <w:sz w:val="22"/>
        </w:rPr>
        <w:t> </w:t>
      </w:r>
      <w:r>
        <w:rPr>
          <w:sz w:val="22"/>
        </w:rPr>
        <w:t>function:</w:t>
      </w:r>
      <w:r>
        <w:rPr>
          <w:spacing w:val="40"/>
          <w:sz w:val="22"/>
        </w:rPr>
        <w:t> </w:t>
      </w:r>
      <w:r>
        <w:rPr>
          <w:sz w:val="22"/>
        </w:rPr>
        <w:t>a</w:t>
      </w:r>
      <w:r>
        <w:rPr>
          <w:spacing w:val="40"/>
          <w:sz w:val="22"/>
        </w:rPr>
        <w:t> </w:t>
      </w:r>
      <w:r>
        <w:rPr>
          <w:sz w:val="22"/>
        </w:rPr>
        <w:t>study</w:t>
      </w:r>
      <w:r>
        <w:rPr>
          <w:spacing w:val="40"/>
          <w:sz w:val="22"/>
        </w:rPr>
        <w:t> </w:t>
      </w:r>
      <w:r>
        <w:rPr>
          <w:sz w:val="22"/>
        </w:rPr>
        <w:t>with</w:t>
      </w:r>
      <w:r>
        <w:rPr>
          <w:spacing w:val="40"/>
          <w:sz w:val="22"/>
        </w:rPr>
        <w:t> </w:t>
      </w:r>
      <w:r>
        <w:rPr>
          <w:sz w:val="22"/>
        </w:rPr>
        <w:t>monozygotic</w:t>
      </w:r>
      <w:r>
        <w:rPr>
          <w:spacing w:val="40"/>
          <w:sz w:val="22"/>
        </w:rPr>
        <w:t> </w:t>
      </w:r>
      <w:r>
        <w:rPr>
          <w:sz w:val="22"/>
        </w:rPr>
        <w:t>twin</w:t>
      </w:r>
      <w:r>
        <w:rPr>
          <w:spacing w:val="40"/>
          <w:sz w:val="22"/>
        </w:rPr>
        <w:t> </w:t>
      </w:r>
      <w:r>
        <w:rPr>
          <w:sz w:val="22"/>
        </w:rPr>
        <w:t>pairs. </w:t>
      </w:r>
      <w:r>
        <w:rPr>
          <w:i/>
          <w:sz w:val="22"/>
        </w:rPr>
        <w:t>J</w:t>
      </w:r>
      <w:r>
        <w:rPr>
          <w:i/>
          <w:sz w:val="22"/>
        </w:rPr>
        <w:t> Appl Physiol</w:t>
      </w:r>
      <w:r>
        <w:rPr>
          <w:sz w:val="22"/>
        </w:rPr>
        <w:t>. 2009;107:25.</w:t>
      </w:r>
    </w:p>
    <w:p>
      <w:pPr>
        <w:pStyle w:val="ListParagraph"/>
        <w:numPr>
          <w:ilvl w:val="0"/>
          <w:numId w:val="8"/>
        </w:numPr>
        <w:tabs>
          <w:tab w:pos="709" w:val="left" w:leader="none"/>
          <w:tab w:pos="718" w:val="left" w:leader="none"/>
        </w:tabs>
        <w:spacing w:line="256" w:lineRule="auto" w:before="0" w:after="0"/>
        <w:ind w:left="718" w:right="100" w:hanging="507"/>
        <w:jc w:val="both"/>
        <w:rPr>
          <w:sz w:val="22"/>
        </w:rPr>
      </w:pPr>
      <w:r>
        <w:rPr>
          <w:sz w:val="22"/>
        </w:rPr>
        <w:t>Armstrong AL, Oborne J, Coupland CAC, MacPherson MB, Bassey EJ, Wallace WA. </w:t>
      </w:r>
      <w:r>
        <w:rPr>
          <w:sz w:val="22"/>
        </w:rPr>
        <w:t>Effects</w:t>
      </w:r>
      <w:r>
        <w:rPr>
          <w:spacing w:val="80"/>
          <w:sz w:val="22"/>
        </w:rPr>
        <w:t> </w:t>
      </w:r>
      <w:r>
        <w:rPr>
          <w:sz w:val="22"/>
        </w:rPr>
        <w:t>of hormone replacement therapy on muscle performance and balance in post-menopausal women. </w:t>
      </w:r>
      <w:r>
        <w:rPr>
          <w:i/>
          <w:sz w:val="22"/>
        </w:rPr>
        <w:t>Clin Sci</w:t>
      </w:r>
      <w:r>
        <w:rPr>
          <w:sz w:val="22"/>
        </w:rPr>
        <w:t>. 1996;91:685.</w:t>
      </w:r>
    </w:p>
    <w:p>
      <w:pPr>
        <w:pStyle w:val="ListParagraph"/>
        <w:numPr>
          <w:ilvl w:val="0"/>
          <w:numId w:val="8"/>
        </w:numPr>
        <w:tabs>
          <w:tab w:pos="709" w:val="left" w:leader="none"/>
          <w:tab w:pos="718" w:val="left" w:leader="none"/>
        </w:tabs>
        <w:spacing w:line="256" w:lineRule="auto" w:before="0" w:after="0"/>
        <w:ind w:left="718" w:right="104" w:hanging="507"/>
        <w:jc w:val="both"/>
        <w:rPr>
          <w:sz w:val="22"/>
        </w:rPr>
      </w:pPr>
      <w:r>
        <w:rPr>
          <w:sz w:val="22"/>
        </w:rPr>
        <w:t>Ekblad S, Lönnberg B, Berg G, Odkvist L, Ledin T, Hammar M. Estrogen effects on postural balance in postmenopausal women without vasomotor symptoms: a randomized masked trial. </w:t>
      </w:r>
      <w:r>
        <w:rPr>
          <w:i/>
          <w:sz w:val="22"/>
        </w:rPr>
        <w:t>Obstet Gynecol</w:t>
      </w:r>
      <w:r>
        <w:rPr>
          <w:sz w:val="22"/>
        </w:rPr>
        <w:t>. 2000;95:278.</w:t>
      </w:r>
    </w:p>
    <w:p>
      <w:pPr>
        <w:pStyle w:val="ListParagraph"/>
        <w:numPr>
          <w:ilvl w:val="0"/>
          <w:numId w:val="8"/>
        </w:numPr>
        <w:tabs>
          <w:tab w:pos="709" w:val="left" w:leader="none"/>
          <w:tab w:pos="718" w:val="left" w:leader="none"/>
        </w:tabs>
        <w:spacing w:line="256" w:lineRule="auto" w:before="0" w:after="0"/>
        <w:ind w:left="718" w:right="101" w:hanging="507"/>
        <w:jc w:val="both"/>
        <w:rPr>
          <w:sz w:val="22"/>
        </w:rPr>
      </w:pPr>
      <w:r>
        <w:rPr>
          <w:sz w:val="22"/>
        </w:rPr>
        <w:t>Bemben</w:t>
      </w:r>
      <w:r>
        <w:rPr>
          <w:spacing w:val="33"/>
          <w:sz w:val="22"/>
        </w:rPr>
        <w:t> </w:t>
      </w:r>
      <w:r>
        <w:rPr>
          <w:sz w:val="22"/>
        </w:rPr>
        <w:t>DA,</w:t>
      </w:r>
      <w:r>
        <w:rPr>
          <w:spacing w:val="33"/>
          <w:sz w:val="22"/>
        </w:rPr>
        <w:t> </w:t>
      </w:r>
      <w:r>
        <w:rPr>
          <w:sz w:val="22"/>
        </w:rPr>
        <w:t>Langdon</w:t>
      </w:r>
      <w:r>
        <w:rPr>
          <w:spacing w:val="33"/>
          <w:sz w:val="22"/>
        </w:rPr>
        <w:t> </w:t>
      </w:r>
      <w:r>
        <w:rPr>
          <w:sz w:val="22"/>
        </w:rPr>
        <w:t>DB.</w:t>
      </w:r>
      <w:r>
        <w:rPr>
          <w:spacing w:val="32"/>
          <w:sz w:val="22"/>
        </w:rPr>
        <w:t> </w:t>
      </w:r>
      <w:r>
        <w:rPr>
          <w:sz w:val="22"/>
        </w:rPr>
        <w:t>Relationship</w:t>
      </w:r>
      <w:r>
        <w:rPr>
          <w:spacing w:val="37"/>
          <w:sz w:val="22"/>
        </w:rPr>
        <w:t> </w:t>
      </w:r>
      <w:r>
        <w:rPr>
          <w:sz w:val="22"/>
        </w:rPr>
        <w:t>between</w:t>
      </w:r>
      <w:r>
        <w:rPr>
          <w:spacing w:val="37"/>
          <w:sz w:val="22"/>
        </w:rPr>
        <w:t> </w:t>
      </w:r>
      <w:r>
        <w:rPr>
          <w:sz w:val="22"/>
        </w:rPr>
        <w:t>estrogen</w:t>
      </w:r>
      <w:r>
        <w:rPr>
          <w:spacing w:val="37"/>
          <w:sz w:val="22"/>
        </w:rPr>
        <w:t> </w:t>
      </w:r>
      <w:r>
        <w:rPr>
          <w:sz w:val="22"/>
        </w:rPr>
        <w:t>use</w:t>
      </w:r>
      <w:r>
        <w:rPr>
          <w:spacing w:val="37"/>
          <w:sz w:val="22"/>
        </w:rPr>
        <w:t> </w:t>
      </w:r>
      <w:r>
        <w:rPr>
          <w:sz w:val="22"/>
        </w:rPr>
        <w:t>and</w:t>
      </w:r>
      <w:r>
        <w:rPr>
          <w:spacing w:val="37"/>
          <w:sz w:val="22"/>
        </w:rPr>
        <w:t> </w:t>
      </w:r>
      <w:r>
        <w:rPr>
          <w:sz w:val="22"/>
        </w:rPr>
        <w:t>musculoskeletal</w:t>
      </w:r>
      <w:r>
        <w:rPr>
          <w:spacing w:val="37"/>
          <w:sz w:val="22"/>
        </w:rPr>
        <w:t> </w:t>
      </w:r>
      <w:r>
        <w:rPr>
          <w:sz w:val="22"/>
        </w:rPr>
        <w:t>function in postmenopausal women. </w:t>
      </w:r>
      <w:r>
        <w:rPr>
          <w:i/>
          <w:sz w:val="22"/>
        </w:rPr>
        <w:t>Maturitas</w:t>
      </w:r>
      <w:r>
        <w:rPr>
          <w:sz w:val="22"/>
        </w:rPr>
        <w:t>. 2002;42:119.</w:t>
      </w:r>
    </w:p>
    <w:p>
      <w:pPr>
        <w:pStyle w:val="ListParagraph"/>
        <w:numPr>
          <w:ilvl w:val="0"/>
          <w:numId w:val="8"/>
        </w:numPr>
        <w:tabs>
          <w:tab w:pos="709" w:val="left" w:leader="none"/>
          <w:tab w:pos="718" w:val="left" w:leader="none"/>
        </w:tabs>
        <w:spacing w:line="256" w:lineRule="auto" w:before="0" w:after="0"/>
        <w:ind w:left="718" w:right="101" w:hanging="507"/>
        <w:jc w:val="both"/>
        <w:rPr>
          <w:sz w:val="22"/>
        </w:rPr>
      </w:pPr>
      <w:r>
        <w:rPr>
          <w:sz w:val="22"/>
        </w:rPr>
        <w:t>Ribom EL, Piehl-Aulin K, Ljunghall S, Ljunggren O, Naessén T. Six months of hormone replacement therapy does not influence muscle strength in postmenopausal women. </w:t>
      </w:r>
      <w:r>
        <w:rPr>
          <w:i/>
          <w:sz w:val="22"/>
        </w:rPr>
        <w:t>Maturitas</w:t>
      </w:r>
      <w:r>
        <w:rPr>
          <w:sz w:val="22"/>
        </w:rPr>
        <w:t>. </w:t>
      </w:r>
      <w:r>
        <w:rPr>
          <w:spacing w:val="-2"/>
          <w:sz w:val="22"/>
        </w:rPr>
        <w:t>2002;42:225.</w:t>
      </w:r>
    </w:p>
    <w:p>
      <w:pPr>
        <w:pStyle w:val="ListParagraph"/>
        <w:numPr>
          <w:ilvl w:val="0"/>
          <w:numId w:val="8"/>
        </w:numPr>
        <w:tabs>
          <w:tab w:pos="709" w:val="left" w:leader="none"/>
          <w:tab w:pos="718" w:val="left" w:leader="none"/>
        </w:tabs>
        <w:spacing w:line="256" w:lineRule="auto" w:before="0" w:after="0"/>
        <w:ind w:left="718" w:right="101" w:hanging="507"/>
        <w:jc w:val="both"/>
        <w:rPr>
          <w:sz w:val="22"/>
        </w:rPr>
      </w:pPr>
      <w:r>
        <w:rPr>
          <w:sz w:val="22"/>
        </w:rPr>
        <w:t>Brown M, Birge SJ, Kohrt WM. Hormone replacement therapy does not augment gains in muscle strength or fat-free mass in response to weight-bearing exercise. </w:t>
      </w:r>
      <w:r>
        <w:rPr>
          <w:i/>
          <w:sz w:val="22"/>
        </w:rPr>
        <w:t>J Gerontol A Biol Sci</w:t>
      </w:r>
      <w:r>
        <w:rPr>
          <w:i/>
          <w:sz w:val="22"/>
        </w:rPr>
        <w:t> Med Sci</w:t>
      </w:r>
      <w:r>
        <w:rPr>
          <w:sz w:val="22"/>
        </w:rPr>
        <w:t>. 1997;52:B166.</w:t>
      </w:r>
    </w:p>
    <w:p>
      <w:pPr>
        <w:pStyle w:val="ListParagraph"/>
        <w:numPr>
          <w:ilvl w:val="0"/>
          <w:numId w:val="8"/>
        </w:numPr>
        <w:tabs>
          <w:tab w:pos="709" w:val="left" w:leader="none"/>
          <w:tab w:pos="718" w:val="left" w:leader="none"/>
        </w:tabs>
        <w:spacing w:line="256" w:lineRule="auto" w:before="0" w:after="0"/>
        <w:ind w:left="718" w:right="98" w:hanging="507"/>
        <w:jc w:val="both"/>
        <w:rPr>
          <w:sz w:val="22"/>
        </w:rPr>
      </w:pPr>
      <w:r>
        <w:rPr>
          <w:sz w:val="22"/>
        </w:rPr>
        <w:t>Randell KM, Honkanen RJ, Komulainen MH, Tuppurainen MT, Kroger H, Saarikoski S. Hormone replacement therapy and risk of falling in early postmenopausal women—a</w:t>
      </w:r>
      <w:r>
        <w:rPr>
          <w:spacing w:val="40"/>
          <w:sz w:val="22"/>
        </w:rPr>
        <w:t> </w:t>
      </w:r>
      <w:r>
        <w:rPr>
          <w:sz w:val="22"/>
        </w:rPr>
        <w:t>population-based study. </w:t>
      </w:r>
      <w:r>
        <w:rPr>
          <w:i/>
          <w:sz w:val="22"/>
        </w:rPr>
        <w:t>Clin Endocrinol</w:t>
      </w:r>
      <w:r>
        <w:rPr>
          <w:sz w:val="22"/>
        </w:rPr>
        <w:t>. 2001;54:769.</w:t>
      </w:r>
    </w:p>
    <w:p>
      <w:pPr>
        <w:pStyle w:val="ListParagraph"/>
        <w:numPr>
          <w:ilvl w:val="0"/>
          <w:numId w:val="8"/>
        </w:numPr>
        <w:tabs>
          <w:tab w:pos="709" w:val="left" w:leader="none"/>
          <w:tab w:pos="718" w:val="left" w:leader="none"/>
        </w:tabs>
        <w:spacing w:line="256" w:lineRule="auto" w:before="0" w:after="0"/>
        <w:ind w:left="718" w:right="106" w:hanging="507"/>
        <w:jc w:val="both"/>
        <w:rPr>
          <w:sz w:val="22"/>
        </w:rPr>
      </w:pPr>
      <w:r>
        <w:rPr>
          <w:sz w:val="22"/>
        </w:rPr>
        <w:t>Parker MJ, Gillespie LD, Gillespie WJ. Hip protectors for preventing hip fractures in </w:t>
      </w:r>
      <w:r>
        <w:rPr>
          <w:sz w:val="22"/>
        </w:rPr>
        <w:t>the</w:t>
      </w:r>
      <w:r>
        <w:rPr>
          <w:spacing w:val="80"/>
          <w:sz w:val="22"/>
        </w:rPr>
        <w:t> </w:t>
      </w:r>
      <w:r>
        <w:rPr>
          <w:sz w:val="22"/>
        </w:rPr>
        <w:t>elderly. </w:t>
      </w:r>
      <w:r>
        <w:rPr>
          <w:i/>
          <w:sz w:val="22"/>
        </w:rPr>
        <w:t>Cochrane Database Syst Rev</w:t>
      </w:r>
      <w:r>
        <w:rPr>
          <w:sz w:val="22"/>
        </w:rPr>
        <w:t>. 2003;(3):CD001255.</w:t>
      </w:r>
    </w:p>
    <w:p>
      <w:pPr>
        <w:pStyle w:val="ListParagraph"/>
        <w:numPr>
          <w:ilvl w:val="0"/>
          <w:numId w:val="8"/>
        </w:numPr>
        <w:tabs>
          <w:tab w:pos="709" w:val="left" w:leader="none"/>
          <w:tab w:pos="718" w:val="left" w:leader="none"/>
        </w:tabs>
        <w:spacing w:line="256" w:lineRule="auto" w:before="0" w:after="0"/>
        <w:ind w:left="718" w:right="99" w:hanging="507"/>
        <w:jc w:val="both"/>
        <w:rPr>
          <w:sz w:val="22"/>
        </w:rPr>
      </w:pPr>
      <w:r>
        <w:rPr>
          <w:sz w:val="22"/>
        </w:rPr>
        <w:t>Lukert</w:t>
      </w:r>
      <w:r>
        <w:rPr>
          <w:spacing w:val="40"/>
          <w:sz w:val="22"/>
        </w:rPr>
        <w:t> </w:t>
      </w:r>
      <w:r>
        <w:rPr>
          <w:sz w:val="22"/>
        </w:rPr>
        <w:t>BP,</w:t>
      </w:r>
      <w:r>
        <w:rPr>
          <w:spacing w:val="40"/>
          <w:sz w:val="22"/>
        </w:rPr>
        <w:t> </w:t>
      </w:r>
      <w:r>
        <w:rPr>
          <w:sz w:val="22"/>
        </w:rPr>
        <w:t>Johnson</w:t>
      </w:r>
      <w:r>
        <w:rPr>
          <w:spacing w:val="40"/>
          <w:sz w:val="22"/>
        </w:rPr>
        <w:t> </w:t>
      </w:r>
      <w:r>
        <w:rPr>
          <w:sz w:val="22"/>
        </w:rPr>
        <w:t>BE,</w:t>
      </w:r>
      <w:r>
        <w:rPr>
          <w:spacing w:val="40"/>
          <w:sz w:val="22"/>
        </w:rPr>
        <w:t> </w:t>
      </w:r>
      <w:r>
        <w:rPr>
          <w:sz w:val="22"/>
        </w:rPr>
        <w:t>Robinson</w:t>
      </w:r>
      <w:r>
        <w:rPr>
          <w:spacing w:val="40"/>
          <w:sz w:val="22"/>
        </w:rPr>
        <w:t> </w:t>
      </w:r>
      <w:r>
        <w:rPr>
          <w:sz w:val="22"/>
        </w:rPr>
        <w:t>RG.</w:t>
      </w:r>
      <w:r>
        <w:rPr>
          <w:spacing w:val="40"/>
          <w:sz w:val="22"/>
        </w:rPr>
        <w:t> </w:t>
      </w:r>
      <w:r>
        <w:rPr>
          <w:sz w:val="22"/>
        </w:rPr>
        <w:t>Estrogen</w:t>
      </w:r>
      <w:r>
        <w:rPr>
          <w:spacing w:val="40"/>
          <w:sz w:val="22"/>
        </w:rPr>
        <w:t> </w:t>
      </w:r>
      <w:r>
        <w:rPr>
          <w:sz w:val="22"/>
        </w:rPr>
        <w:t>and</w:t>
      </w:r>
      <w:r>
        <w:rPr>
          <w:spacing w:val="40"/>
          <w:sz w:val="22"/>
        </w:rPr>
        <w:t> </w:t>
      </w:r>
      <w:r>
        <w:rPr>
          <w:sz w:val="22"/>
        </w:rPr>
        <w:t>progesterone</w:t>
      </w:r>
      <w:r>
        <w:rPr>
          <w:spacing w:val="40"/>
          <w:sz w:val="22"/>
        </w:rPr>
        <w:t> </w:t>
      </w:r>
      <w:r>
        <w:rPr>
          <w:sz w:val="22"/>
        </w:rPr>
        <w:t>replacement</w:t>
      </w:r>
      <w:r>
        <w:rPr>
          <w:spacing w:val="40"/>
          <w:sz w:val="22"/>
        </w:rPr>
        <w:t> </w:t>
      </w:r>
      <w:r>
        <w:rPr>
          <w:sz w:val="22"/>
        </w:rPr>
        <w:t>therapy reduces glucocorticoid-induced bone loss. </w:t>
      </w:r>
      <w:r>
        <w:rPr>
          <w:i/>
          <w:sz w:val="22"/>
        </w:rPr>
        <w:t>J Bone Miner Res</w:t>
      </w:r>
      <w:r>
        <w:rPr>
          <w:sz w:val="22"/>
        </w:rPr>
        <w:t>. 1992;7:1063.</w:t>
      </w:r>
    </w:p>
    <w:p>
      <w:pPr>
        <w:pStyle w:val="ListParagraph"/>
        <w:spacing w:after="0" w:line="256" w:lineRule="auto"/>
        <w:jc w:val="both"/>
        <w:rPr>
          <w:sz w:val="22"/>
        </w:rPr>
        <w:sectPr>
          <w:pgSz w:w="12240" w:h="15840"/>
          <w:pgMar w:top="1360" w:bottom="280" w:left="1440" w:right="1440"/>
        </w:sectPr>
      </w:pPr>
    </w:p>
    <w:p>
      <w:pPr>
        <w:pStyle w:val="ListParagraph"/>
        <w:numPr>
          <w:ilvl w:val="0"/>
          <w:numId w:val="8"/>
        </w:numPr>
        <w:tabs>
          <w:tab w:pos="709" w:val="left" w:leader="none"/>
          <w:tab w:pos="718" w:val="left" w:leader="none"/>
        </w:tabs>
        <w:spacing w:line="256" w:lineRule="auto" w:before="84" w:after="0"/>
        <w:ind w:left="718" w:right="102" w:hanging="507"/>
        <w:jc w:val="both"/>
        <w:rPr>
          <w:sz w:val="22"/>
        </w:rPr>
      </w:pPr>
      <w:r>
        <w:rPr>
          <w:sz w:val="22"/>
        </w:rPr>
        <w:t>Hall GM, Daniels M, Doyle DV, Spector TD. Effect of hormone replacement therapy on bone mass in rheumatoid arthritis patients treated with and without steroids. </w:t>
      </w:r>
      <w:r>
        <w:rPr>
          <w:i/>
          <w:sz w:val="22"/>
        </w:rPr>
        <w:t>Arthritis Rheum</w:t>
      </w:r>
      <w:r>
        <w:rPr>
          <w:sz w:val="22"/>
        </w:rPr>
        <w:t>. </w:t>
      </w:r>
      <w:r>
        <w:rPr>
          <w:spacing w:val="-2"/>
          <w:sz w:val="22"/>
        </w:rPr>
        <w:t>1994;37:1499.</w:t>
      </w:r>
    </w:p>
    <w:p>
      <w:pPr>
        <w:pStyle w:val="ListParagraph"/>
        <w:numPr>
          <w:ilvl w:val="0"/>
          <w:numId w:val="8"/>
        </w:numPr>
        <w:tabs>
          <w:tab w:pos="709" w:val="left" w:leader="none"/>
          <w:tab w:pos="718" w:val="left" w:leader="none"/>
        </w:tabs>
        <w:spacing w:line="256" w:lineRule="auto" w:before="0" w:after="0"/>
        <w:ind w:left="718" w:right="101" w:hanging="507"/>
        <w:jc w:val="both"/>
        <w:rPr>
          <w:sz w:val="22"/>
        </w:rPr>
      </w:pPr>
      <w:r>
        <w:rPr>
          <w:sz w:val="22"/>
        </w:rPr>
        <w:t>Adachi JD, Saag KG, Delmas PD, et al. Two-year effects of alendronate on bone mineral</w:t>
      </w:r>
      <w:r>
        <w:rPr>
          <w:spacing w:val="80"/>
          <w:sz w:val="22"/>
        </w:rPr>
        <w:t> </w:t>
      </w:r>
      <w:r>
        <w:rPr>
          <w:sz w:val="22"/>
        </w:rPr>
        <w:t>density</w:t>
      </w:r>
      <w:r>
        <w:rPr>
          <w:spacing w:val="40"/>
          <w:sz w:val="22"/>
        </w:rPr>
        <w:t> </w:t>
      </w:r>
      <w:r>
        <w:rPr>
          <w:sz w:val="22"/>
        </w:rPr>
        <w:t>and</w:t>
      </w:r>
      <w:r>
        <w:rPr>
          <w:spacing w:val="40"/>
          <w:sz w:val="22"/>
        </w:rPr>
        <w:t> </w:t>
      </w:r>
      <w:r>
        <w:rPr>
          <w:sz w:val="22"/>
        </w:rPr>
        <w:t>vertebral</w:t>
      </w:r>
      <w:r>
        <w:rPr>
          <w:spacing w:val="40"/>
          <w:sz w:val="22"/>
        </w:rPr>
        <w:t> </w:t>
      </w:r>
      <w:r>
        <w:rPr>
          <w:sz w:val="22"/>
        </w:rPr>
        <w:t>fracture</w:t>
      </w:r>
      <w:r>
        <w:rPr>
          <w:spacing w:val="40"/>
          <w:sz w:val="22"/>
        </w:rPr>
        <w:t> </w:t>
      </w:r>
      <w:r>
        <w:rPr>
          <w:sz w:val="22"/>
        </w:rPr>
        <w:t>in</w:t>
      </w:r>
      <w:r>
        <w:rPr>
          <w:spacing w:val="40"/>
          <w:sz w:val="22"/>
        </w:rPr>
        <w:t> </w:t>
      </w:r>
      <w:r>
        <w:rPr>
          <w:sz w:val="22"/>
        </w:rPr>
        <w:t>patients</w:t>
      </w:r>
      <w:r>
        <w:rPr>
          <w:spacing w:val="40"/>
          <w:sz w:val="22"/>
        </w:rPr>
        <w:t> </w:t>
      </w:r>
      <w:r>
        <w:rPr>
          <w:sz w:val="22"/>
        </w:rPr>
        <w:t>receiving</w:t>
      </w:r>
      <w:r>
        <w:rPr>
          <w:spacing w:val="40"/>
          <w:sz w:val="22"/>
        </w:rPr>
        <w:t> </w:t>
      </w:r>
      <w:r>
        <w:rPr>
          <w:sz w:val="22"/>
        </w:rPr>
        <w:t>glucocorticoids:</w:t>
      </w:r>
      <w:r>
        <w:rPr>
          <w:spacing w:val="40"/>
          <w:sz w:val="22"/>
        </w:rPr>
        <w:t> </w:t>
      </w:r>
      <w:r>
        <w:rPr>
          <w:sz w:val="22"/>
        </w:rPr>
        <w:t>a</w:t>
      </w:r>
      <w:r>
        <w:rPr>
          <w:spacing w:val="40"/>
          <w:sz w:val="22"/>
        </w:rPr>
        <w:t> </w:t>
      </w:r>
      <w:r>
        <w:rPr>
          <w:sz w:val="22"/>
        </w:rPr>
        <w:t>randomized,</w:t>
      </w:r>
      <w:r>
        <w:rPr>
          <w:spacing w:val="40"/>
          <w:sz w:val="22"/>
        </w:rPr>
        <w:t> </w:t>
      </w:r>
      <w:r>
        <w:rPr>
          <w:sz w:val="22"/>
        </w:rPr>
        <w:t>double-blind, placebo-controlled extension trial. </w:t>
      </w:r>
      <w:r>
        <w:rPr>
          <w:i/>
          <w:sz w:val="22"/>
        </w:rPr>
        <w:t>Arthritis Rheum</w:t>
      </w:r>
      <w:r>
        <w:rPr>
          <w:sz w:val="22"/>
        </w:rPr>
        <w:t>. 2001;44:202.</w:t>
      </w:r>
    </w:p>
    <w:p>
      <w:pPr>
        <w:pStyle w:val="ListParagraph"/>
        <w:numPr>
          <w:ilvl w:val="0"/>
          <w:numId w:val="8"/>
        </w:numPr>
        <w:tabs>
          <w:tab w:pos="709" w:val="left" w:leader="none"/>
          <w:tab w:pos="718" w:val="left" w:leader="none"/>
        </w:tabs>
        <w:spacing w:line="256" w:lineRule="auto" w:before="0" w:after="0"/>
        <w:ind w:left="718" w:right="108" w:hanging="507"/>
        <w:jc w:val="both"/>
        <w:rPr>
          <w:sz w:val="22"/>
        </w:rPr>
      </w:pPr>
      <w:r>
        <w:rPr>
          <w:sz w:val="22"/>
        </w:rPr>
        <w:t>Reid DM, Devogelaer J-P, Saag KG, et al; HORIZON Investigators. Zoledronic acid </w:t>
      </w:r>
      <w:r>
        <w:rPr>
          <w:sz w:val="22"/>
        </w:rPr>
        <w:t>and risedronate in the prevention and treatment of glucocorticoid-induced osteoporosis</w:t>
      </w:r>
      <w:r>
        <w:rPr>
          <w:spacing w:val="80"/>
          <w:sz w:val="22"/>
        </w:rPr>
        <w:t> </w:t>
      </w:r>
      <w:r>
        <w:rPr>
          <w:sz w:val="22"/>
        </w:rPr>
        <w:t>(HORIZON): a multicentre, double-blind, double-dummy, randomised controlled trial. </w:t>
      </w:r>
      <w:r>
        <w:rPr>
          <w:i/>
          <w:sz w:val="22"/>
        </w:rPr>
        <w:t>Lancet</w:t>
      </w:r>
      <w:r>
        <w:rPr>
          <w:sz w:val="22"/>
        </w:rPr>
        <w:t>. </w:t>
      </w:r>
      <w:r>
        <w:rPr>
          <w:spacing w:val="-2"/>
          <w:sz w:val="22"/>
        </w:rPr>
        <w:t>2009;373:1253.</w:t>
      </w:r>
    </w:p>
    <w:p>
      <w:pPr>
        <w:pStyle w:val="ListParagraph"/>
        <w:numPr>
          <w:ilvl w:val="0"/>
          <w:numId w:val="8"/>
        </w:numPr>
        <w:tabs>
          <w:tab w:pos="709" w:val="left" w:leader="none"/>
          <w:tab w:pos="718" w:val="left" w:leader="none"/>
        </w:tabs>
        <w:spacing w:line="256" w:lineRule="auto" w:before="0" w:after="0"/>
        <w:ind w:left="718" w:right="100" w:hanging="507"/>
        <w:jc w:val="both"/>
        <w:rPr>
          <w:sz w:val="22"/>
        </w:rPr>
      </w:pPr>
      <w:r>
        <w:rPr>
          <w:sz w:val="22"/>
        </w:rPr>
        <w:t>Yang</w:t>
      </w:r>
      <w:r>
        <w:rPr>
          <w:spacing w:val="22"/>
          <w:sz w:val="22"/>
        </w:rPr>
        <w:t> </w:t>
      </w:r>
      <w:r>
        <w:rPr>
          <w:sz w:val="22"/>
        </w:rPr>
        <w:t>YX,</w:t>
      </w:r>
      <w:r>
        <w:rPr>
          <w:spacing w:val="22"/>
          <w:sz w:val="22"/>
        </w:rPr>
        <w:t> </w:t>
      </w:r>
      <w:r>
        <w:rPr>
          <w:sz w:val="22"/>
        </w:rPr>
        <w:t>Lewis</w:t>
      </w:r>
      <w:r>
        <w:rPr>
          <w:spacing w:val="22"/>
          <w:sz w:val="22"/>
        </w:rPr>
        <w:t> </w:t>
      </w:r>
      <w:r>
        <w:rPr>
          <w:sz w:val="22"/>
        </w:rPr>
        <w:t>JD,</w:t>
      </w:r>
      <w:r>
        <w:rPr>
          <w:spacing w:val="22"/>
          <w:sz w:val="22"/>
        </w:rPr>
        <w:t> </w:t>
      </w:r>
      <w:r>
        <w:rPr>
          <w:sz w:val="22"/>
        </w:rPr>
        <w:t>Epstein</w:t>
      </w:r>
      <w:r>
        <w:rPr>
          <w:spacing w:val="22"/>
          <w:sz w:val="22"/>
        </w:rPr>
        <w:t> </w:t>
      </w:r>
      <w:r>
        <w:rPr>
          <w:sz w:val="22"/>
        </w:rPr>
        <w:t>S,</w:t>
      </w:r>
      <w:r>
        <w:rPr>
          <w:spacing w:val="22"/>
          <w:sz w:val="22"/>
        </w:rPr>
        <w:t> </w:t>
      </w:r>
      <w:r>
        <w:rPr>
          <w:sz w:val="22"/>
        </w:rPr>
        <w:t>Metz</w:t>
      </w:r>
      <w:r>
        <w:rPr>
          <w:spacing w:val="22"/>
          <w:sz w:val="22"/>
        </w:rPr>
        <w:t> </w:t>
      </w:r>
      <w:r>
        <w:rPr>
          <w:sz w:val="22"/>
        </w:rPr>
        <w:t>DC.</w:t>
      </w:r>
      <w:r>
        <w:rPr>
          <w:spacing w:val="22"/>
          <w:sz w:val="22"/>
        </w:rPr>
        <w:t> </w:t>
      </w:r>
      <w:r>
        <w:rPr>
          <w:sz w:val="22"/>
        </w:rPr>
        <w:t>Long-term</w:t>
      </w:r>
      <w:r>
        <w:rPr>
          <w:spacing w:val="24"/>
          <w:sz w:val="22"/>
        </w:rPr>
        <w:t> </w:t>
      </w:r>
      <w:r>
        <w:rPr>
          <w:sz w:val="22"/>
        </w:rPr>
        <w:t>proton</w:t>
      </w:r>
      <w:r>
        <w:rPr>
          <w:spacing w:val="24"/>
          <w:sz w:val="22"/>
        </w:rPr>
        <w:t> </w:t>
      </w:r>
      <w:r>
        <w:rPr>
          <w:sz w:val="22"/>
        </w:rPr>
        <w:t>pump</w:t>
      </w:r>
      <w:r>
        <w:rPr>
          <w:spacing w:val="24"/>
          <w:sz w:val="22"/>
        </w:rPr>
        <w:t> </w:t>
      </w:r>
      <w:r>
        <w:rPr>
          <w:sz w:val="22"/>
        </w:rPr>
        <w:t>inhibitor</w:t>
      </w:r>
      <w:r>
        <w:rPr>
          <w:spacing w:val="24"/>
          <w:sz w:val="22"/>
        </w:rPr>
        <w:t> </w:t>
      </w:r>
      <w:r>
        <w:rPr>
          <w:sz w:val="22"/>
        </w:rPr>
        <w:t>therapy</w:t>
      </w:r>
      <w:r>
        <w:rPr>
          <w:spacing w:val="24"/>
          <w:sz w:val="22"/>
        </w:rPr>
        <w:t> </w:t>
      </w:r>
      <w:r>
        <w:rPr>
          <w:sz w:val="22"/>
        </w:rPr>
        <w:t>and</w:t>
      </w:r>
      <w:r>
        <w:rPr>
          <w:spacing w:val="24"/>
          <w:sz w:val="22"/>
        </w:rPr>
        <w:t> </w:t>
      </w:r>
      <w:r>
        <w:rPr>
          <w:sz w:val="22"/>
        </w:rPr>
        <w:t>risk of hip fracture. </w:t>
      </w:r>
      <w:r>
        <w:rPr>
          <w:i/>
          <w:sz w:val="22"/>
        </w:rPr>
        <w:t>JAMA</w:t>
      </w:r>
      <w:r>
        <w:rPr>
          <w:sz w:val="22"/>
        </w:rPr>
        <w:t>. 2006;296:2947.</w:t>
      </w:r>
    </w:p>
    <w:p>
      <w:pPr>
        <w:pStyle w:val="ListParagraph"/>
        <w:numPr>
          <w:ilvl w:val="0"/>
          <w:numId w:val="8"/>
        </w:numPr>
        <w:tabs>
          <w:tab w:pos="709" w:val="left" w:leader="none"/>
          <w:tab w:pos="718" w:val="left" w:leader="none"/>
        </w:tabs>
        <w:spacing w:line="256" w:lineRule="auto" w:before="0" w:after="0"/>
        <w:ind w:left="718" w:right="97" w:hanging="507"/>
        <w:jc w:val="both"/>
        <w:rPr>
          <w:sz w:val="22"/>
        </w:rPr>
      </w:pPr>
      <w:r>
        <w:rPr>
          <w:sz w:val="22"/>
        </w:rPr>
        <w:t>Vestergaard P, Rejnmark L, Mosekilde L. Proton pump inhibitors, histamine H2 receptor antagonists, and other antacid medications and the risk of fracture. </w:t>
      </w:r>
      <w:r>
        <w:rPr>
          <w:i/>
          <w:sz w:val="22"/>
        </w:rPr>
        <w:t>Calcif Tissue </w:t>
      </w:r>
      <w:r>
        <w:rPr>
          <w:i/>
          <w:sz w:val="22"/>
        </w:rPr>
        <w:t>Int</w:t>
      </w:r>
      <w:r>
        <w:rPr>
          <w:sz w:val="22"/>
        </w:rPr>
        <w:t>.</w:t>
      </w:r>
      <w:r>
        <w:rPr>
          <w:spacing w:val="80"/>
          <w:w w:val="150"/>
          <w:sz w:val="22"/>
        </w:rPr>
        <w:t> </w:t>
      </w:r>
      <w:r>
        <w:rPr>
          <w:spacing w:val="-2"/>
          <w:sz w:val="22"/>
        </w:rPr>
        <w:t>2006;79:76.</w:t>
      </w:r>
    </w:p>
    <w:p>
      <w:pPr>
        <w:pStyle w:val="ListParagraph"/>
        <w:numPr>
          <w:ilvl w:val="0"/>
          <w:numId w:val="8"/>
        </w:numPr>
        <w:tabs>
          <w:tab w:pos="709" w:val="left" w:leader="none"/>
          <w:tab w:pos="718" w:val="left" w:leader="none"/>
        </w:tabs>
        <w:spacing w:line="256" w:lineRule="auto" w:before="0" w:after="0"/>
        <w:ind w:left="718" w:right="108" w:hanging="507"/>
        <w:jc w:val="both"/>
        <w:rPr>
          <w:sz w:val="22"/>
        </w:rPr>
      </w:pPr>
      <w:r>
        <w:rPr>
          <w:sz w:val="22"/>
        </w:rPr>
        <w:t>Kahn S, Haffner SM, Heise MA, et al; ADOPT Study Group. Glycemic durability of rosiglitazone, metformin, or glyburide monotherapy. </w:t>
      </w:r>
      <w:r>
        <w:rPr>
          <w:i/>
          <w:sz w:val="22"/>
        </w:rPr>
        <w:t>N Engl J Med</w:t>
      </w:r>
      <w:r>
        <w:rPr>
          <w:sz w:val="22"/>
        </w:rPr>
        <w:t>. 2006;355:2427.</w:t>
      </w:r>
    </w:p>
    <w:p>
      <w:pPr>
        <w:pStyle w:val="ListParagraph"/>
        <w:numPr>
          <w:ilvl w:val="0"/>
          <w:numId w:val="8"/>
        </w:numPr>
        <w:tabs>
          <w:tab w:pos="709" w:val="left" w:leader="none"/>
          <w:tab w:pos="718" w:val="left" w:leader="none"/>
        </w:tabs>
        <w:spacing w:line="256" w:lineRule="auto" w:before="0" w:after="0"/>
        <w:ind w:left="718" w:right="106" w:hanging="507"/>
        <w:jc w:val="both"/>
        <w:rPr>
          <w:sz w:val="22"/>
        </w:rPr>
      </w:pPr>
      <w:r>
        <w:rPr>
          <w:sz w:val="22"/>
        </w:rPr>
        <w:t>Grey A, Bolland M, Gamble G, et al. The peroxisome proliferator-activated receptor-</w:t>
      </w:r>
      <w:r>
        <w:rPr>
          <w:sz w:val="22"/>
        </w:rPr>
        <w:t>gamma agonist rosiglitazone decreases bone formation and bone mineral density in healthy postmenopausal women: a randomized, controlled trial. </w:t>
      </w:r>
      <w:r>
        <w:rPr>
          <w:i/>
          <w:sz w:val="22"/>
        </w:rPr>
        <w:t>J Clin Endocrinol Metab</w:t>
      </w:r>
      <w:r>
        <w:rPr>
          <w:sz w:val="22"/>
        </w:rPr>
        <w:t>.</w:t>
      </w:r>
      <w:r>
        <w:rPr>
          <w:spacing w:val="80"/>
          <w:sz w:val="22"/>
        </w:rPr>
        <w:t> </w:t>
      </w:r>
      <w:r>
        <w:rPr>
          <w:spacing w:val="-2"/>
          <w:sz w:val="22"/>
        </w:rPr>
        <w:t>2007;92:1305.</w:t>
      </w:r>
    </w:p>
    <w:p>
      <w:pPr>
        <w:pStyle w:val="ListParagraph"/>
        <w:numPr>
          <w:ilvl w:val="0"/>
          <w:numId w:val="8"/>
        </w:numPr>
        <w:tabs>
          <w:tab w:pos="709" w:val="left" w:leader="none"/>
          <w:tab w:pos="718" w:val="left" w:leader="none"/>
        </w:tabs>
        <w:spacing w:line="256" w:lineRule="auto" w:before="0" w:after="0"/>
        <w:ind w:left="718" w:right="102" w:hanging="507"/>
        <w:jc w:val="both"/>
        <w:rPr>
          <w:sz w:val="22"/>
        </w:rPr>
      </w:pPr>
      <w:r>
        <w:rPr>
          <w:sz w:val="22"/>
        </w:rPr>
        <w:t>Cummings SR, Palermo L, Browner W, et al; Fracture Intervention Trial Research Group. Monitoring</w:t>
      </w:r>
      <w:r>
        <w:rPr>
          <w:spacing w:val="35"/>
          <w:sz w:val="22"/>
        </w:rPr>
        <w:t> </w:t>
      </w:r>
      <w:r>
        <w:rPr>
          <w:sz w:val="22"/>
        </w:rPr>
        <w:t>osteoporosis</w:t>
      </w:r>
      <w:r>
        <w:rPr>
          <w:spacing w:val="35"/>
          <w:sz w:val="22"/>
        </w:rPr>
        <w:t> </w:t>
      </w:r>
      <w:r>
        <w:rPr>
          <w:sz w:val="22"/>
        </w:rPr>
        <w:t>therapy</w:t>
      </w:r>
      <w:r>
        <w:rPr>
          <w:spacing w:val="35"/>
          <w:sz w:val="22"/>
        </w:rPr>
        <w:t> </w:t>
      </w:r>
      <w:r>
        <w:rPr>
          <w:sz w:val="22"/>
        </w:rPr>
        <w:t>with</w:t>
      </w:r>
      <w:r>
        <w:rPr>
          <w:spacing w:val="35"/>
          <w:sz w:val="22"/>
        </w:rPr>
        <w:t> </w:t>
      </w:r>
      <w:r>
        <w:rPr>
          <w:sz w:val="22"/>
        </w:rPr>
        <w:t>bone</w:t>
      </w:r>
      <w:r>
        <w:rPr>
          <w:spacing w:val="35"/>
          <w:sz w:val="22"/>
        </w:rPr>
        <w:t> </w:t>
      </w:r>
      <w:r>
        <w:rPr>
          <w:sz w:val="22"/>
        </w:rPr>
        <w:t>densitometry:</w:t>
      </w:r>
      <w:r>
        <w:rPr>
          <w:spacing w:val="35"/>
          <w:sz w:val="22"/>
        </w:rPr>
        <w:t> </w:t>
      </w:r>
      <w:r>
        <w:rPr>
          <w:sz w:val="22"/>
        </w:rPr>
        <w:t>misleading</w:t>
      </w:r>
      <w:r>
        <w:rPr>
          <w:spacing w:val="35"/>
          <w:sz w:val="22"/>
        </w:rPr>
        <w:t> </w:t>
      </w:r>
      <w:r>
        <w:rPr>
          <w:sz w:val="22"/>
        </w:rPr>
        <w:t>changes</w:t>
      </w:r>
      <w:r>
        <w:rPr>
          <w:spacing w:val="35"/>
          <w:sz w:val="22"/>
        </w:rPr>
        <w:t> </w:t>
      </w:r>
      <w:r>
        <w:rPr>
          <w:sz w:val="22"/>
        </w:rPr>
        <w:t>and</w:t>
      </w:r>
      <w:r>
        <w:rPr>
          <w:spacing w:val="35"/>
          <w:sz w:val="22"/>
        </w:rPr>
        <w:t> </w:t>
      </w:r>
      <w:r>
        <w:rPr>
          <w:sz w:val="22"/>
        </w:rPr>
        <w:t>regression to the mean. </w:t>
      </w:r>
      <w:r>
        <w:rPr>
          <w:i/>
          <w:sz w:val="22"/>
        </w:rPr>
        <w:t>JAMA</w:t>
      </w:r>
      <w:r>
        <w:rPr>
          <w:sz w:val="22"/>
        </w:rPr>
        <w:t>. 2000;283:1318.</w:t>
      </w:r>
    </w:p>
    <w:p>
      <w:pPr>
        <w:pStyle w:val="ListParagraph"/>
        <w:numPr>
          <w:ilvl w:val="0"/>
          <w:numId w:val="8"/>
        </w:numPr>
        <w:tabs>
          <w:tab w:pos="709" w:val="left" w:leader="none"/>
          <w:tab w:pos="718" w:val="left" w:leader="none"/>
        </w:tabs>
        <w:spacing w:line="256" w:lineRule="auto" w:before="0" w:after="0"/>
        <w:ind w:left="718" w:right="104" w:hanging="507"/>
        <w:jc w:val="both"/>
        <w:rPr>
          <w:sz w:val="22"/>
        </w:rPr>
      </w:pPr>
      <w:r>
        <w:rPr>
          <w:sz w:val="22"/>
        </w:rPr>
        <w:t>Adami S, Giannini S, Bianchi G, et al. Vitamin D status and response to treatment in post-menopausal osteoporosis. </w:t>
      </w:r>
      <w:r>
        <w:rPr>
          <w:i/>
          <w:sz w:val="22"/>
        </w:rPr>
        <w:t>Osteoporos Int</w:t>
      </w:r>
      <w:r>
        <w:rPr>
          <w:sz w:val="22"/>
        </w:rPr>
        <w:t>. 2009;20:239.</w:t>
      </w:r>
    </w:p>
    <w:p>
      <w:pPr>
        <w:pStyle w:val="ListParagraph"/>
        <w:numPr>
          <w:ilvl w:val="0"/>
          <w:numId w:val="8"/>
        </w:numPr>
        <w:tabs>
          <w:tab w:pos="709" w:val="left" w:leader="none"/>
          <w:tab w:pos="718" w:val="left" w:leader="none"/>
        </w:tabs>
        <w:spacing w:line="256" w:lineRule="auto" w:before="0" w:after="0"/>
        <w:ind w:left="718" w:right="98" w:hanging="507"/>
        <w:jc w:val="both"/>
        <w:rPr>
          <w:sz w:val="22"/>
        </w:rPr>
      </w:pPr>
      <w:r>
        <w:rPr>
          <w:sz w:val="22"/>
        </w:rPr>
        <w:t>Komulainen M, Kroger H, Tuppurainen MT, Heikkinen AM, Honkanen RJ, Saarikoski S. Identification</w:t>
      </w:r>
      <w:r>
        <w:rPr>
          <w:spacing w:val="40"/>
          <w:sz w:val="22"/>
        </w:rPr>
        <w:t> </w:t>
      </w:r>
      <w:r>
        <w:rPr>
          <w:sz w:val="22"/>
        </w:rPr>
        <w:t>of</w:t>
      </w:r>
      <w:r>
        <w:rPr>
          <w:spacing w:val="40"/>
          <w:sz w:val="22"/>
        </w:rPr>
        <w:t> </w:t>
      </w:r>
      <w:r>
        <w:rPr>
          <w:sz w:val="22"/>
        </w:rPr>
        <w:t>early</w:t>
      </w:r>
      <w:r>
        <w:rPr>
          <w:spacing w:val="40"/>
          <w:sz w:val="22"/>
        </w:rPr>
        <w:t> </w:t>
      </w:r>
      <w:r>
        <w:rPr>
          <w:sz w:val="22"/>
        </w:rPr>
        <w:t>postmenopausal</w:t>
      </w:r>
      <w:r>
        <w:rPr>
          <w:spacing w:val="40"/>
          <w:sz w:val="22"/>
        </w:rPr>
        <w:t> </w:t>
      </w:r>
      <w:r>
        <w:rPr>
          <w:sz w:val="22"/>
        </w:rPr>
        <w:t>women</w:t>
      </w:r>
      <w:r>
        <w:rPr>
          <w:spacing w:val="40"/>
          <w:sz w:val="22"/>
        </w:rPr>
        <w:t> </w:t>
      </w:r>
      <w:r>
        <w:rPr>
          <w:sz w:val="22"/>
        </w:rPr>
        <w:t>with</w:t>
      </w:r>
      <w:r>
        <w:rPr>
          <w:spacing w:val="40"/>
          <w:sz w:val="22"/>
        </w:rPr>
        <w:t> </w:t>
      </w:r>
      <w:r>
        <w:rPr>
          <w:sz w:val="22"/>
        </w:rPr>
        <w:t>no</w:t>
      </w:r>
      <w:r>
        <w:rPr>
          <w:spacing w:val="40"/>
          <w:sz w:val="22"/>
        </w:rPr>
        <w:t> </w:t>
      </w:r>
      <w:r>
        <w:rPr>
          <w:sz w:val="22"/>
        </w:rPr>
        <w:t>bone</w:t>
      </w:r>
      <w:r>
        <w:rPr>
          <w:spacing w:val="40"/>
          <w:sz w:val="22"/>
        </w:rPr>
        <w:t> </w:t>
      </w:r>
      <w:r>
        <w:rPr>
          <w:sz w:val="22"/>
        </w:rPr>
        <w:t>response</w:t>
      </w:r>
      <w:r>
        <w:rPr>
          <w:spacing w:val="40"/>
          <w:sz w:val="22"/>
        </w:rPr>
        <w:t> </w:t>
      </w:r>
      <w:r>
        <w:rPr>
          <w:sz w:val="22"/>
        </w:rPr>
        <w:t>to</w:t>
      </w:r>
      <w:r>
        <w:rPr>
          <w:spacing w:val="40"/>
          <w:sz w:val="22"/>
        </w:rPr>
        <w:t> </w:t>
      </w:r>
      <w:r>
        <w:rPr>
          <w:sz w:val="22"/>
        </w:rPr>
        <w:t>HRT:</w:t>
      </w:r>
      <w:r>
        <w:rPr>
          <w:spacing w:val="40"/>
          <w:sz w:val="22"/>
        </w:rPr>
        <w:t> </w:t>
      </w:r>
      <w:r>
        <w:rPr>
          <w:sz w:val="22"/>
        </w:rPr>
        <w:t>results</w:t>
      </w:r>
      <w:r>
        <w:rPr>
          <w:spacing w:val="40"/>
          <w:sz w:val="22"/>
        </w:rPr>
        <w:t> </w:t>
      </w:r>
      <w:r>
        <w:rPr>
          <w:sz w:val="22"/>
        </w:rPr>
        <w:t>of</w:t>
      </w:r>
      <w:r>
        <w:rPr>
          <w:spacing w:val="40"/>
          <w:sz w:val="22"/>
        </w:rPr>
        <w:t> </w:t>
      </w:r>
      <w:r>
        <w:rPr>
          <w:sz w:val="22"/>
        </w:rPr>
        <w:t>a five-year clinical trial. </w:t>
      </w:r>
      <w:r>
        <w:rPr>
          <w:i/>
          <w:sz w:val="22"/>
        </w:rPr>
        <w:t>Osteoporos Int</w:t>
      </w:r>
      <w:r>
        <w:rPr>
          <w:sz w:val="22"/>
        </w:rPr>
        <w:t>. 2000;11:211.</w:t>
      </w:r>
    </w:p>
    <w:p>
      <w:pPr>
        <w:pStyle w:val="ListParagraph"/>
        <w:numPr>
          <w:ilvl w:val="0"/>
          <w:numId w:val="8"/>
        </w:numPr>
        <w:tabs>
          <w:tab w:pos="709" w:val="left" w:leader="none"/>
          <w:tab w:pos="718" w:val="left" w:leader="none"/>
        </w:tabs>
        <w:spacing w:line="256" w:lineRule="auto" w:before="0" w:after="0"/>
        <w:ind w:left="718" w:right="106" w:hanging="507"/>
        <w:jc w:val="both"/>
        <w:rPr>
          <w:sz w:val="22"/>
        </w:rPr>
      </w:pPr>
      <w:r>
        <w:rPr>
          <w:sz w:val="22"/>
        </w:rPr>
        <w:t>Kraemer</w:t>
      </w:r>
      <w:r>
        <w:rPr>
          <w:spacing w:val="40"/>
          <w:sz w:val="22"/>
        </w:rPr>
        <w:t> </w:t>
      </w:r>
      <w:r>
        <w:rPr>
          <w:sz w:val="22"/>
        </w:rPr>
        <w:t>GR,</w:t>
      </w:r>
      <w:r>
        <w:rPr>
          <w:spacing w:val="40"/>
          <w:sz w:val="22"/>
        </w:rPr>
        <w:t> </w:t>
      </w:r>
      <w:r>
        <w:rPr>
          <w:sz w:val="22"/>
        </w:rPr>
        <w:t>Kraemer</w:t>
      </w:r>
      <w:r>
        <w:rPr>
          <w:spacing w:val="40"/>
          <w:sz w:val="22"/>
        </w:rPr>
        <w:t> </w:t>
      </w:r>
      <w:r>
        <w:rPr>
          <w:sz w:val="22"/>
        </w:rPr>
        <w:t>RR,</w:t>
      </w:r>
      <w:r>
        <w:rPr>
          <w:spacing w:val="40"/>
          <w:sz w:val="22"/>
        </w:rPr>
        <w:t> </w:t>
      </w:r>
      <w:r>
        <w:rPr>
          <w:sz w:val="22"/>
        </w:rPr>
        <w:t>Ogden</w:t>
      </w:r>
      <w:r>
        <w:rPr>
          <w:spacing w:val="40"/>
          <w:sz w:val="22"/>
        </w:rPr>
        <w:t> </w:t>
      </w:r>
      <w:r>
        <w:rPr>
          <w:sz w:val="22"/>
        </w:rPr>
        <w:t>BW,</w:t>
      </w:r>
      <w:r>
        <w:rPr>
          <w:spacing w:val="40"/>
          <w:sz w:val="22"/>
        </w:rPr>
        <w:t> </w:t>
      </w:r>
      <w:r>
        <w:rPr>
          <w:sz w:val="22"/>
        </w:rPr>
        <w:t>Kilpatrick</w:t>
      </w:r>
      <w:r>
        <w:rPr>
          <w:spacing w:val="40"/>
          <w:sz w:val="22"/>
        </w:rPr>
        <w:t> </w:t>
      </w:r>
      <w:r>
        <w:rPr>
          <w:sz w:val="22"/>
        </w:rPr>
        <w:t>RE,</w:t>
      </w:r>
      <w:r>
        <w:rPr>
          <w:spacing w:val="40"/>
          <w:sz w:val="22"/>
        </w:rPr>
        <w:t> </w:t>
      </w:r>
      <w:r>
        <w:rPr>
          <w:sz w:val="22"/>
        </w:rPr>
        <w:t>Gimpel</w:t>
      </w:r>
      <w:r>
        <w:rPr>
          <w:spacing w:val="40"/>
          <w:sz w:val="22"/>
        </w:rPr>
        <w:t> </w:t>
      </w:r>
      <w:r>
        <w:rPr>
          <w:sz w:val="22"/>
        </w:rPr>
        <w:t>TL,</w:t>
      </w:r>
      <w:r>
        <w:rPr>
          <w:spacing w:val="40"/>
          <w:sz w:val="22"/>
        </w:rPr>
        <w:t> </w:t>
      </w:r>
      <w:r>
        <w:rPr>
          <w:sz w:val="22"/>
        </w:rPr>
        <w:t>Castracane</w:t>
      </w:r>
      <w:r>
        <w:rPr>
          <w:spacing w:val="40"/>
          <w:sz w:val="22"/>
        </w:rPr>
        <w:t> </w:t>
      </w:r>
      <w:r>
        <w:rPr>
          <w:sz w:val="22"/>
        </w:rPr>
        <w:t>VD. Variability of serum estrogens among postmenopausal women treated with the </w:t>
      </w:r>
      <w:r>
        <w:rPr>
          <w:sz w:val="22"/>
        </w:rPr>
        <w:t>same</w:t>
      </w:r>
      <w:r>
        <w:rPr>
          <w:spacing w:val="80"/>
          <w:sz w:val="22"/>
        </w:rPr>
        <w:t> </w:t>
      </w:r>
      <w:r>
        <w:rPr>
          <w:sz w:val="22"/>
        </w:rPr>
        <w:t>transdermal estrogen therapy and the effect on androgens and sex hormone binding globulin. </w:t>
      </w:r>
      <w:r>
        <w:rPr>
          <w:i/>
          <w:sz w:val="22"/>
        </w:rPr>
        <w:t>Fertil Steril</w:t>
      </w:r>
      <w:r>
        <w:rPr>
          <w:sz w:val="22"/>
        </w:rPr>
        <w:t>. 2003;79:534.</w:t>
      </w:r>
    </w:p>
    <w:p>
      <w:pPr>
        <w:pStyle w:val="ListParagraph"/>
        <w:numPr>
          <w:ilvl w:val="0"/>
          <w:numId w:val="8"/>
        </w:numPr>
        <w:tabs>
          <w:tab w:pos="709" w:val="left" w:leader="none"/>
          <w:tab w:pos="718" w:val="left" w:leader="none"/>
        </w:tabs>
        <w:spacing w:line="256" w:lineRule="auto" w:before="0" w:after="0"/>
        <w:ind w:left="718" w:right="105" w:hanging="507"/>
        <w:jc w:val="both"/>
        <w:rPr>
          <w:sz w:val="22"/>
        </w:rPr>
      </w:pPr>
      <w:r>
        <w:rPr>
          <w:sz w:val="22"/>
        </w:rPr>
        <w:t>Gavaler JS. Thoughts on individualizing hormone replacement therapy based on the postmenopausal health disparities study data. </w:t>
      </w:r>
      <w:r>
        <w:rPr>
          <w:i/>
          <w:sz w:val="22"/>
        </w:rPr>
        <w:t>J Womens Health</w:t>
      </w:r>
      <w:r>
        <w:rPr>
          <w:sz w:val="22"/>
        </w:rPr>
        <w:t>. 2003;12:757.</w:t>
      </w:r>
    </w:p>
    <w:p>
      <w:pPr>
        <w:pStyle w:val="ListParagraph"/>
        <w:numPr>
          <w:ilvl w:val="0"/>
          <w:numId w:val="8"/>
        </w:numPr>
        <w:tabs>
          <w:tab w:pos="709" w:val="left" w:leader="none"/>
          <w:tab w:pos="718" w:val="left" w:leader="none"/>
        </w:tabs>
        <w:spacing w:line="256" w:lineRule="auto" w:before="0" w:after="0"/>
        <w:ind w:left="718" w:right="110" w:hanging="507"/>
        <w:jc w:val="both"/>
        <w:rPr>
          <w:sz w:val="22"/>
        </w:rPr>
      </w:pPr>
      <w:r>
        <w:rPr>
          <w:sz w:val="22"/>
        </w:rPr>
        <w:t>Roy</w:t>
      </w:r>
      <w:r>
        <w:rPr>
          <w:spacing w:val="40"/>
          <w:sz w:val="22"/>
        </w:rPr>
        <w:t> </w:t>
      </w:r>
      <w:r>
        <w:rPr>
          <w:sz w:val="22"/>
        </w:rPr>
        <w:t>S,</w:t>
      </w:r>
      <w:r>
        <w:rPr>
          <w:spacing w:val="40"/>
          <w:sz w:val="22"/>
        </w:rPr>
        <w:t> </w:t>
      </w:r>
      <w:r>
        <w:rPr>
          <w:sz w:val="22"/>
        </w:rPr>
        <w:t>Caillouette</w:t>
      </w:r>
      <w:r>
        <w:rPr>
          <w:spacing w:val="40"/>
          <w:sz w:val="22"/>
        </w:rPr>
        <w:t> </w:t>
      </w:r>
      <w:r>
        <w:rPr>
          <w:sz w:val="22"/>
        </w:rPr>
        <w:t>JC,</w:t>
      </w:r>
      <w:r>
        <w:rPr>
          <w:spacing w:val="40"/>
          <w:sz w:val="22"/>
        </w:rPr>
        <w:t> </w:t>
      </w:r>
      <w:r>
        <w:rPr>
          <w:sz w:val="22"/>
        </w:rPr>
        <w:t>Roy</w:t>
      </w:r>
      <w:r>
        <w:rPr>
          <w:spacing w:val="40"/>
          <w:sz w:val="22"/>
        </w:rPr>
        <w:t> </w:t>
      </w:r>
      <w:r>
        <w:rPr>
          <w:sz w:val="22"/>
        </w:rPr>
        <w:t>T,</w:t>
      </w:r>
      <w:r>
        <w:rPr>
          <w:spacing w:val="40"/>
          <w:sz w:val="22"/>
        </w:rPr>
        <w:t> </w:t>
      </w:r>
      <w:r>
        <w:rPr>
          <w:sz w:val="22"/>
        </w:rPr>
        <w:t>Faden</w:t>
      </w:r>
      <w:r>
        <w:rPr>
          <w:spacing w:val="40"/>
          <w:sz w:val="22"/>
        </w:rPr>
        <w:t> </w:t>
      </w:r>
      <w:r>
        <w:rPr>
          <w:sz w:val="22"/>
        </w:rPr>
        <w:t>JS.</w:t>
      </w:r>
      <w:r>
        <w:rPr>
          <w:spacing w:val="40"/>
          <w:sz w:val="22"/>
        </w:rPr>
        <w:t> </w:t>
      </w:r>
      <w:r>
        <w:rPr>
          <w:sz w:val="22"/>
        </w:rPr>
        <w:t>Vaginal</w:t>
      </w:r>
      <w:r>
        <w:rPr>
          <w:spacing w:val="40"/>
          <w:sz w:val="22"/>
        </w:rPr>
        <w:t> </w:t>
      </w:r>
      <w:r>
        <w:rPr>
          <w:sz w:val="22"/>
        </w:rPr>
        <w:t>pH</w:t>
      </w:r>
      <w:r>
        <w:rPr>
          <w:spacing w:val="40"/>
          <w:sz w:val="22"/>
        </w:rPr>
        <w:t> </w:t>
      </w:r>
      <w:r>
        <w:rPr>
          <w:sz w:val="22"/>
        </w:rPr>
        <w:t>is</w:t>
      </w:r>
      <w:r>
        <w:rPr>
          <w:spacing w:val="40"/>
          <w:sz w:val="22"/>
        </w:rPr>
        <w:t> </w:t>
      </w:r>
      <w:r>
        <w:rPr>
          <w:sz w:val="22"/>
        </w:rPr>
        <w:t>similar</w:t>
      </w:r>
      <w:r>
        <w:rPr>
          <w:spacing w:val="40"/>
          <w:sz w:val="22"/>
        </w:rPr>
        <w:t> </w:t>
      </w:r>
      <w:r>
        <w:rPr>
          <w:sz w:val="22"/>
        </w:rPr>
        <w:t>to</w:t>
      </w:r>
      <w:r>
        <w:rPr>
          <w:spacing w:val="40"/>
          <w:sz w:val="22"/>
        </w:rPr>
        <w:t> </w:t>
      </w:r>
      <w:r>
        <w:rPr>
          <w:sz w:val="22"/>
        </w:rPr>
        <w:t>FSH</w:t>
      </w:r>
      <w:r>
        <w:rPr>
          <w:spacing w:val="40"/>
          <w:sz w:val="22"/>
        </w:rPr>
        <w:t> </w:t>
      </w:r>
      <w:r>
        <w:rPr>
          <w:sz w:val="22"/>
        </w:rPr>
        <w:t>for</w:t>
      </w:r>
      <w:r>
        <w:rPr>
          <w:spacing w:val="40"/>
          <w:sz w:val="22"/>
        </w:rPr>
        <w:t> </w:t>
      </w:r>
      <w:r>
        <w:rPr>
          <w:sz w:val="22"/>
        </w:rPr>
        <w:t>menopause diagnosis. </w:t>
      </w:r>
      <w:r>
        <w:rPr>
          <w:i/>
          <w:sz w:val="22"/>
        </w:rPr>
        <w:t>Am J Obstet Gynecol</w:t>
      </w:r>
      <w:r>
        <w:rPr>
          <w:sz w:val="22"/>
        </w:rPr>
        <w:t>. 2004;190:1272.</w:t>
      </w:r>
    </w:p>
    <w:p>
      <w:pPr>
        <w:pStyle w:val="ListParagraph"/>
        <w:numPr>
          <w:ilvl w:val="0"/>
          <w:numId w:val="8"/>
        </w:numPr>
        <w:tabs>
          <w:tab w:pos="709" w:val="left" w:leader="none"/>
          <w:tab w:pos="718" w:val="left" w:leader="none"/>
        </w:tabs>
        <w:spacing w:line="256" w:lineRule="auto" w:before="0" w:after="0"/>
        <w:ind w:left="718" w:right="109" w:hanging="507"/>
        <w:jc w:val="both"/>
        <w:rPr>
          <w:sz w:val="22"/>
        </w:rPr>
      </w:pPr>
      <w:r>
        <w:rPr>
          <w:sz w:val="22"/>
        </w:rPr>
        <w:t>Notelovitz</w:t>
      </w:r>
      <w:r>
        <w:rPr>
          <w:spacing w:val="20"/>
          <w:sz w:val="22"/>
        </w:rPr>
        <w:t> </w:t>
      </w:r>
      <w:r>
        <w:rPr>
          <w:sz w:val="22"/>
        </w:rPr>
        <w:t>M.</w:t>
      </w:r>
      <w:r>
        <w:rPr>
          <w:spacing w:val="20"/>
          <w:sz w:val="22"/>
        </w:rPr>
        <w:t> </w:t>
      </w:r>
      <w:r>
        <w:rPr>
          <w:sz w:val="22"/>
        </w:rPr>
        <w:t>Estrogen</w:t>
      </w:r>
      <w:r>
        <w:rPr>
          <w:spacing w:val="22"/>
          <w:sz w:val="22"/>
        </w:rPr>
        <w:t> </w:t>
      </w:r>
      <w:r>
        <w:rPr>
          <w:sz w:val="22"/>
        </w:rPr>
        <w:t>therapy</w:t>
      </w:r>
      <w:r>
        <w:rPr>
          <w:spacing w:val="22"/>
          <w:sz w:val="22"/>
        </w:rPr>
        <w:t> </w:t>
      </w:r>
      <w:r>
        <w:rPr>
          <w:sz w:val="22"/>
        </w:rPr>
        <w:t>in</w:t>
      </w:r>
      <w:r>
        <w:rPr>
          <w:spacing w:val="22"/>
          <w:sz w:val="22"/>
        </w:rPr>
        <w:t> </w:t>
      </w:r>
      <w:r>
        <w:rPr>
          <w:sz w:val="22"/>
        </w:rPr>
        <w:t>management</w:t>
      </w:r>
      <w:r>
        <w:rPr>
          <w:spacing w:val="22"/>
          <w:sz w:val="22"/>
        </w:rPr>
        <w:t> </w:t>
      </w:r>
      <w:r>
        <w:rPr>
          <w:sz w:val="22"/>
        </w:rPr>
        <w:t>of</w:t>
      </w:r>
      <w:r>
        <w:rPr>
          <w:spacing w:val="22"/>
          <w:sz w:val="22"/>
        </w:rPr>
        <w:t> </w:t>
      </w:r>
      <w:r>
        <w:rPr>
          <w:sz w:val="22"/>
        </w:rPr>
        <w:t>problems</w:t>
      </w:r>
      <w:r>
        <w:rPr>
          <w:spacing w:val="22"/>
          <w:sz w:val="22"/>
        </w:rPr>
        <w:t> </w:t>
      </w:r>
      <w:r>
        <w:rPr>
          <w:sz w:val="22"/>
        </w:rPr>
        <w:t>associated</w:t>
      </w:r>
      <w:r>
        <w:rPr>
          <w:spacing w:val="22"/>
          <w:sz w:val="22"/>
        </w:rPr>
        <w:t> </w:t>
      </w:r>
      <w:r>
        <w:rPr>
          <w:sz w:val="22"/>
        </w:rPr>
        <w:t>with</w:t>
      </w:r>
      <w:r>
        <w:rPr>
          <w:spacing w:val="22"/>
          <w:sz w:val="22"/>
        </w:rPr>
        <w:t> </w:t>
      </w:r>
      <w:r>
        <w:rPr>
          <w:sz w:val="22"/>
        </w:rPr>
        <w:t>urogenital</w:t>
      </w:r>
      <w:r>
        <w:rPr>
          <w:spacing w:val="22"/>
          <w:sz w:val="22"/>
        </w:rPr>
        <w:t> </w:t>
      </w:r>
      <w:r>
        <w:rPr>
          <w:sz w:val="22"/>
        </w:rPr>
        <w:t>aging: a simple diagnostic test and the effect of the route of hormone administration. </w:t>
      </w:r>
      <w:r>
        <w:rPr>
          <w:i/>
          <w:sz w:val="22"/>
        </w:rPr>
        <w:t>Maturitas</w:t>
      </w:r>
      <w:r>
        <w:rPr>
          <w:sz w:val="22"/>
        </w:rPr>
        <w:t>. </w:t>
      </w:r>
      <w:r>
        <w:rPr>
          <w:spacing w:val="-2"/>
          <w:sz w:val="22"/>
        </w:rPr>
        <w:t>1995;22(suppl):S31.</w:t>
      </w:r>
    </w:p>
    <w:sectPr>
      <w:pgSz w:w="12240" w:h="15840"/>
      <w:pgMar w:top="136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9.000000pt;height:9.000000pt" o:bullet="t">
        <v:imagedata r:id="rId1" o:title="image11.png"/>
      </v:shape>
    </w:pict>
  </w:numPicBullet>
  <w:numPicBullet w:numPicBulletId="1">
    <w:pict>
      <v:shape id="_x0000_i1076" type="#_x0000_t75" style="width:9.000000pt;height:9.000000pt" o:bullet="t">
        <v:imagedata r:id="rId2" o:title="image14.png"/>
      </v:shape>
    </w:pict>
  </w:numPicBullet>
  <w:numPicBullet w:numPicBulletId="2">
    <w:pict>
      <v:shape id="_x0000_i1077" type="#_x0000_t75" style="width:7.500000pt;height:7.500000pt" o:bullet="t">
        <v:imagedata r:id="rId3" o:title="image15.png"/>
      </v:shape>
    </w:pict>
  </w:numPicBullet>
  <w:numPicBullet w:numPicBulletId="3">
    <w:pict>
      <v:shape id="_x0000_i1078" type="#_x0000_t75" style="width:9.000000pt;height:9.000000pt" o:bullet="t">
        <v:imagedata r:id="rId4" o:title="image16.png"/>
      </v:shape>
    </w:pict>
  </w:numPicBullet>
  <w:numPicBullet w:numPicBulletId="4">
    <w:pict>
      <v:shape id="_x0000_i1079" type="#_x0000_t75" style="width:9.000000pt;height:9.000000pt" o:bullet="t">
        <v:imagedata r:id="rId5" o:title="image19.png"/>
      </v:shape>
    </w:pict>
  </w:numPicBullet>
  <w:numPicBullet w:numPicBulletId="5">
    <w:pict>
      <v:shape id="_x0000_i1080" type="#_x0000_t75" style="width:7.500000pt;height:7.500000pt" o:bullet="t">
        <v:imagedata r:id="rId6" o:title="image21.png"/>
      </v:shape>
    </w:pict>
  </w:numPicBullet>
  <w:abstractNum w:abstractNumId="7">
    <w:multiLevelType w:val="hybridMultilevel"/>
    <w:lvl w:ilvl="0">
      <w:start w:val="1"/>
      <w:numFmt w:val="decimal"/>
      <w:lvlText w:val="%1."/>
      <w:lvlJc w:val="left"/>
      <w:pPr>
        <w:ind w:left="718" w:hanging="274"/>
        <w:jc w:val="righ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584" w:hanging="274"/>
      </w:pPr>
      <w:rPr>
        <w:rFonts w:hint="default"/>
        <w:lang w:val="en-US" w:eastAsia="en-US" w:bidi="ar-SA"/>
      </w:rPr>
    </w:lvl>
    <w:lvl w:ilvl="2">
      <w:start w:val="0"/>
      <w:numFmt w:val="bullet"/>
      <w:lvlText w:val="•"/>
      <w:lvlJc w:val="left"/>
      <w:pPr>
        <w:ind w:left="2448" w:hanging="274"/>
      </w:pPr>
      <w:rPr>
        <w:rFonts w:hint="default"/>
        <w:lang w:val="en-US" w:eastAsia="en-US" w:bidi="ar-SA"/>
      </w:rPr>
    </w:lvl>
    <w:lvl w:ilvl="3">
      <w:start w:val="0"/>
      <w:numFmt w:val="bullet"/>
      <w:lvlText w:val="•"/>
      <w:lvlJc w:val="left"/>
      <w:pPr>
        <w:ind w:left="3312" w:hanging="274"/>
      </w:pPr>
      <w:rPr>
        <w:rFonts w:hint="default"/>
        <w:lang w:val="en-US" w:eastAsia="en-US" w:bidi="ar-SA"/>
      </w:rPr>
    </w:lvl>
    <w:lvl w:ilvl="4">
      <w:start w:val="0"/>
      <w:numFmt w:val="bullet"/>
      <w:lvlText w:val="•"/>
      <w:lvlJc w:val="left"/>
      <w:pPr>
        <w:ind w:left="4176" w:hanging="274"/>
      </w:pPr>
      <w:rPr>
        <w:rFonts w:hint="default"/>
        <w:lang w:val="en-US" w:eastAsia="en-US" w:bidi="ar-SA"/>
      </w:rPr>
    </w:lvl>
    <w:lvl w:ilvl="5">
      <w:start w:val="0"/>
      <w:numFmt w:val="bullet"/>
      <w:lvlText w:val="•"/>
      <w:lvlJc w:val="left"/>
      <w:pPr>
        <w:ind w:left="5040" w:hanging="274"/>
      </w:pPr>
      <w:rPr>
        <w:rFonts w:hint="default"/>
        <w:lang w:val="en-US" w:eastAsia="en-US" w:bidi="ar-SA"/>
      </w:rPr>
    </w:lvl>
    <w:lvl w:ilvl="6">
      <w:start w:val="0"/>
      <w:numFmt w:val="bullet"/>
      <w:lvlText w:val="•"/>
      <w:lvlJc w:val="left"/>
      <w:pPr>
        <w:ind w:left="5904" w:hanging="274"/>
      </w:pPr>
      <w:rPr>
        <w:rFonts w:hint="default"/>
        <w:lang w:val="en-US" w:eastAsia="en-US" w:bidi="ar-SA"/>
      </w:rPr>
    </w:lvl>
    <w:lvl w:ilvl="7">
      <w:start w:val="0"/>
      <w:numFmt w:val="bullet"/>
      <w:lvlText w:val="•"/>
      <w:lvlJc w:val="left"/>
      <w:pPr>
        <w:ind w:left="6768" w:hanging="274"/>
      </w:pPr>
      <w:rPr>
        <w:rFonts w:hint="default"/>
        <w:lang w:val="en-US" w:eastAsia="en-US" w:bidi="ar-SA"/>
      </w:rPr>
    </w:lvl>
    <w:lvl w:ilvl="8">
      <w:start w:val="0"/>
      <w:numFmt w:val="bullet"/>
      <w:lvlText w:val="•"/>
      <w:lvlJc w:val="left"/>
      <w:pPr>
        <w:ind w:left="7632" w:hanging="274"/>
      </w:pPr>
      <w:rPr>
        <w:rFonts w:hint="default"/>
        <w:lang w:val="en-US" w:eastAsia="en-US" w:bidi="ar-SA"/>
      </w:rPr>
    </w:lvl>
  </w:abstractNum>
  <w:abstractNum w:abstractNumId="6">
    <w:multiLevelType w:val="hybridMultilevel"/>
    <w:lvl w:ilvl="0">
      <w:start w:val="1"/>
      <w:numFmt w:val="decimal"/>
      <w:lvlText w:val="%1."/>
      <w:lvlJc w:val="left"/>
      <w:pPr>
        <w:ind w:left="414" w:hanging="250"/>
        <w:jc w:val="left"/>
      </w:pPr>
      <w:rPr>
        <w:rFonts w:hint="default" w:ascii="Arial" w:hAnsi="Arial" w:eastAsia="Arial" w:cs="Arial"/>
        <w:b w:val="0"/>
        <w:bCs w:val="0"/>
        <w:i w:val="0"/>
        <w:iCs w:val="0"/>
        <w:spacing w:val="-6"/>
        <w:w w:val="102"/>
        <w:sz w:val="22"/>
        <w:szCs w:val="22"/>
        <w:lang w:val="en-US" w:eastAsia="en-US" w:bidi="ar-SA"/>
      </w:rPr>
    </w:lvl>
    <w:lvl w:ilvl="1">
      <w:start w:val="0"/>
      <w:numFmt w:val="bullet"/>
      <w:lvlText w:val="&amp;"/>
      <w:lvlPicBulletId w:val="5"/>
      <w:lvlJc w:val="left"/>
      <w:pPr>
        <w:ind w:left="4307" w:hanging="243"/>
      </w:pPr>
      <w:rPr>
        <w:rFonts w:hint="default" w:ascii="Times New Roman" w:hAnsi="Times New Roman" w:eastAsia="Times New Roman" w:cs="Times New Roman"/>
        <w:b w:val="0"/>
        <w:bCs w:val="0"/>
        <w:i w:val="0"/>
        <w:iCs w:val="0"/>
        <w:w w:val="100"/>
        <w:position w:val="3"/>
        <w:sz w:val="11"/>
        <w:szCs w:val="11"/>
        <w:lang w:val="en-US" w:eastAsia="en-US" w:bidi="ar-SA"/>
      </w:rPr>
    </w:lvl>
    <w:lvl w:ilvl="2">
      <w:start w:val="0"/>
      <w:numFmt w:val="bullet"/>
      <w:lvlText w:val="•"/>
      <w:lvlJc w:val="left"/>
      <w:pPr>
        <w:ind w:left="4862" w:hanging="243"/>
      </w:pPr>
      <w:rPr>
        <w:rFonts w:hint="default"/>
        <w:lang w:val="en-US" w:eastAsia="en-US" w:bidi="ar-SA"/>
      </w:rPr>
    </w:lvl>
    <w:lvl w:ilvl="3">
      <w:start w:val="0"/>
      <w:numFmt w:val="bullet"/>
      <w:lvlText w:val="•"/>
      <w:lvlJc w:val="left"/>
      <w:pPr>
        <w:ind w:left="5424" w:hanging="243"/>
      </w:pPr>
      <w:rPr>
        <w:rFonts w:hint="default"/>
        <w:lang w:val="en-US" w:eastAsia="en-US" w:bidi="ar-SA"/>
      </w:rPr>
    </w:lvl>
    <w:lvl w:ilvl="4">
      <w:start w:val="0"/>
      <w:numFmt w:val="bullet"/>
      <w:lvlText w:val="•"/>
      <w:lvlJc w:val="left"/>
      <w:pPr>
        <w:ind w:left="5986" w:hanging="243"/>
      </w:pPr>
      <w:rPr>
        <w:rFonts w:hint="default"/>
        <w:lang w:val="en-US" w:eastAsia="en-US" w:bidi="ar-SA"/>
      </w:rPr>
    </w:lvl>
    <w:lvl w:ilvl="5">
      <w:start w:val="0"/>
      <w:numFmt w:val="bullet"/>
      <w:lvlText w:val="•"/>
      <w:lvlJc w:val="left"/>
      <w:pPr>
        <w:ind w:left="6548" w:hanging="243"/>
      </w:pPr>
      <w:rPr>
        <w:rFonts w:hint="default"/>
        <w:lang w:val="en-US" w:eastAsia="en-US" w:bidi="ar-SA"/>
      </w:rPr>
    </w:lvl>
    <w:lvl w:ilvl="6">
      <w:start w:val="0"/>
      <w:numFmt w:val="bullet"/>
      <w:lvlText w:val="•"/>
      <w:lvlJc w:val="left"/>
      <w:pPr>
        <w:ind w:left="7111" w:hanging="243"/>
      </w:pPr>
      <w:rPr>
        <w:rFonts w:hint="default"/>
        <w:lang w:val="en-US" w:eastAsia="en-US" w:bidi="ar-SA"/>
      </w:rPr>
    </w:lvl>
    <w:lvl w:ilvl="7">
      <w:start w:val="0"/>
      <w:numFmt w:val="bullet"/>
      <w:lvlText w:val="•"/>
      <w:lvlJc w:val="left"/>
      <w:pPr>
        <w:ind w:left="7673" w:hanging="243"/>
      </w:pPr>
      <w:rPr>
        <w:rFonts w:hint="default"/>
        <w:lang w:val="en-US" w:eastAsia="en-US" w:bidi="ar-SA"/>
      </w:rPr>
    </w:lvl>
    <w:lvl w:ilvl="8">
      <w:start w:val="0"/>
      <w:numFmt w:val="bullet"/>
      <w:lvlText w:val="•"/>
      <w:lvlJc w:val="left"/>
      <w:pPr>
        <w:ind w:left="8235" w:hanging="243"/>
      </w:pPr>
      <w:rPr>
        <w:rFonts w:hint="default"/>
        <w:lang w:val="en-US" w:eastAsia="en-US" w:bidi="ar-SA"/>
      </w:rPr>
    </w:lvl>
  </w:abstractNum>
  <w:abstractNum w:abstractNumId="5">
    <w:multiLevelType w:val="hybridMultilevel"/>
    <w:lvl w:ilvl="0">
      <w:start w:val="0"/>
      <w:numFmt w:val="bullet"/>
      <w:lvlText w:val="&amp;"/>
      <w:lvlPicBulletId w:val="4"/>
      <w:lvlJc w:val="left"/>
      <w:pPr>
        <w:ind w:left="39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1296" w:hanging="280"/>
      </w:pPr>
      <w:rPr>
        <w:rFonts w:hint="default"/>
        <w:lang w:val="en-US" w:eastAsia="en-US" w:bidi="ar-SA"/>
      </w:rPr>
    </w:lvl>
    <w:lvl w:ilvl="2">
      <w:start w:val="0"/>
      <w:numFmt w:val="bullet"/>
      <w:lvlText w:val="•"/>
      <w:lvlJc w:val="left"/>
      <w:pPr>
        <w:ind w:left="2192" w:hanging="280"/>
      </w:pPr>
      <w:rPr>
        <w:rFonts w:hint="default"/>
        <w:lang w:val="en-US" w:eastAsia="en-US" w:bidi="ar-SA"/>
      </w:rPr>
    </w:lvl>
    <w:lvl w:ilvl="3">
      <w:start w:val="0"/>
      <w:numFmt w:val="bullet"/>
      <w:lvlText w:val="•"/>
      <w:lvlJc w:val="left"/>
      <w:pPr>
        <w:ind w:left="3088" w:hanging="280"/>
      </w:pPr>
      <w:rPr>
        <w:rFonts w:hint="default"/>
        <w:lang w:val="en-US" w:eastAsia="en-US" w:bidi="ar-SA"/>
      </w:rPr>
    </w:lvl>
    <w:lvl w:ilvl="4">
      <w:start w:val="0"/>
      <w:numFmt w:val="bullet"/>
      <w:lvlText w:val="•"/>
      <w:lvlJc w:val="left"/>
      <w:pPr>
        <w:ind w:left="3984" w:hanging="280"/>
      </w:pPr>
      <w:rPr>
        <w:rFonts w:hint="default"/>
        <w:lang w:val="en-US" w:eastAsia="en-US" w:bidi="ar-SA"/>
      </w:rPr>
    </w:lvl>
    <w:lvl w:ilvl="5">
      <w:start w:val="0"/>
      <w:numFmt w:val="bullet"/>
      <w:lvlText w:val="•"/>
      <w:lvlJc w:val="left"/>
      <w:pPr>
        <w:ind w:left="4880" w:hanging="280"/>
      </w:pPr>
      <w:rPr>
        <w:rFonts w:hint="default"/>
        <w:lang w:val="en-US" w:eastAsia="en-US" w:bidi="ar-SA"/>
      </w:rPr>
    </w:lvl>
    <w:lvl w:ilvl="6">
      <w:start w:val="0"/>
      <w:numFmt w:val="bullet"/>
      <w:lvlText w:val="•"/>
      <w:lvlJc w:val="left"/>
      <w:pPr>
        <w:ind w:left="5776" w:hanging="280"/>
      </w:pPr>
      <w:rPr>
        <w:rFonts w:hint="default"/>
        <w:lang w:val="en-US" w:eastAsia="en-US" w:bidi="ar-SA"/>
      </w:rPr>
    </w:lvl>
    <w:lvl w:ilvl="7">
      <w:start w:val="0"/>
      <w:numFmt w:val="bullet"/>
      <w:lvlText w:val="•"/>
      <w:lvlJc w:val="left"/>
      <w:pPr>
        <w:ind w:left="6672" w:hanging="280"/>
      </w:pPr>
      <w:rPr>
        <w:rFonts w:hint="default"/>
        <w:lang w:val="en-US" w:eastAsia="en-US" w:bidi="ar-SA"/>
      </w:rPr>
    </w:lvl>
    <w:lvl w:ilvl="8">
      <w:start w:val="0"/>
      <w:numFmt w:val="bullet"/>
      <w:lvlText w:val="•"/>
      <w:lvlJc w:val="left"/>
      <w:pPr>
        <w:ind w:left="7568" w:hanging="280"/>
      </w:pPr>
      <w:rPr>
        <w:rFonts w:hint="default"/>
        <w:lang w:val="en-US" w:eastAsia="en-US" w:bidi="ar-SA"/>
      </w:rPr>
    </w:lvl>
  </w:abstractNum>
  <w:abstractNum w:abstractNumId="4">
    <w:multiLevelType w:val="hybridMultilevel"/>
    <w:lvl w:ilvl="0">
      <w:start w:val="0"/>
      <w:numFmt w:val="bullet"/>
      <w:lvlText w:val="&amp;"/>
      <w:lvlPicBulletId w:val="2"/>
      <w:lvlJc w:val="left"/>
      <w:pPr>
        <w:ind w:left="437" w:hanging="243"/>
      </w:pPr>
      <w:rPr>
        <w:rFonts w:hint="default" w:ascii="Times New Roman" w:hAnsi="Times New Roman" w:eastAsia="Times New Roman" w:cs="Times New Roman"/>
        <w:b w:val="0"/>
        <w:bCs w:val="0"/>
        <w:i w:val="0"/>
        <w:iCs w:val="0"/>
        <w:w w:val="100"/>
        <w:position w:val="3"/>
        <w:sz w:val="11"/>
        <w:szCs w:val="11"/>
        <w:lang w:val="en-US" w:eastAsia="en-US" w:bidi="ar-SA"/>
      </w:rPr>
    </w:lvl>
    <w:lvl w:ilvl="1">
      <w:start w:val="0"/>
      <w:numFmt w:val="bullet"/>
      <w:lvlText w:val="&amp;"/>
      <w:lvlPicBulletId w:val="3"/>
      <w:lvlJc w:val="left"/>
      <w:pPr>
        <w:ind w:left="684" w:hanging="243"/>
      </w:pPr>
      <w:rPr>
        <w:rFonts w:hint="default" w:ascii="Times New Roman" w:hAnsi="Times New Roman" w:eastAsia="Times New Roman" w:cs="Times New Roman"/>
        <w:b w:val="0"/>
        <w:bCs w:val="0"/>
        <w:i w:val="0"/>
        <w:iCs w:val="0"/>
        <w:w w:val="100"/>
        <w:position w:val="2"/>
        <w:sz w:val="13"/>
        <w:szCs w:val="13"/>
        <w:lang w:val="en-US" w:eastAsia="en-US" w:bidi="ar-SA"/>
      </w:rPr>
    </w:lvl>
    <w:lvl w:ilvl="2">
      <w:start w:val="0"/>
      <w:numFmt w:val="bullet"/>
      <w:lvlText w:val="•"/>
      <w:lvlJc w:val="left"/>
      <w:pPr>
        <w:ind w:left="509" w:hanging="243"/>
      </w:pPr>
      <w:rPr>
        <w:rFonts w:hint="default"/>
        <w:lang w:val="en-US" w:eastAsia="en-US" w:bidi="ar-SA"/>
      </w:rPr>
    </w:lvl>
    <w:lvl w:ilvl="3">
      <w:start w:val="0"/>
      <w:numFmt w:val="bullet"/>
      <w:lvlText w:val="•"/>
      <w:lvlJc w:val="left"/>
      <w:pPr>
        <w:ind w:left="338" w:hanging="243"/>
      </w:pPr>
      <w:rPr>
        <w:rFonts w:hint="default"/>
        <w:lang w:val="en-US" w:eastAsia="en-US" w:bidi="ar-SA"/>
      </w:rPr>
    </w:lvl>
    <w:lvl w:ilvl="4">
      <w:start w:val="0"/>
      <w:numFmt w:val="bullet"/>
      <w:lvlText w:val="•"/>
      <w:lvlJc w:val="left"/>
      <w:pPr>
        <w:ind w:left="167" w:hanging="243"/>
      </w:pPr>
      <w:rPr>
        <w:rFonts w:hint="default"/>
        <w:lang w:val="en-US" w:eastAsia="en-US" w:bidi="ar-SA"/>
      </w:rPr>
    </w:lvl>
    <w:lvl w:ilvl="5">
      <w:start w:val="0"/>
      <w:numFmt w:val="bullet"/>
      <w:lvlText w:val="•"/>
      <w:lvlJc w:val="left"/>
      <w:pPr>
        <w:ind w:left="-3" w:hanging="243"/>
      </w:pPr>
      <w:rPr>
        <w:rFonts w:hint="default"/>
        <w:lang w:val="en-US" w:eastAsia="en-US" w:bidi="ar-SA"/>
      </w:rPr>
    </w:lvl>
    <w:lvl w:ilvl="6">
      <w:start w:val="0"/>
      <w:numFmt w:val="bullet"/>
      <w:lvlText w:val="•"/>
      <w:lvlJc w:val="left"/>
      <w:pPr>
        <w:ind w:left="-174" w:hanging="243"/>
      </w:pPr>
      <w:rPr>
        <w:rFonts w:hint="default"/>
        <w:lang w:val="en-US" w:eastAsia="en-US" w:bidi="ar-SA"/>
      </w:rPr>
    </w:lvl>
    <w:lvl w:ilvl="7">
      <w:start w:val="0"/>
      <w:numFmt w:val="bullet"/>
      <w:lvlText w:val="•"/>
      <w:lvlJc w:val="left"/>
      <w:pPr>
        <w:ind w:left="-345" w:hanging="243"/>
      </w:pPr>
      <w:rPr>
        <w:rFonts w:hint="default"/>
        <w:lang w:val="en-US" w:eastAsia="en-US" w:bidi="ar-SA"/>
      </w:rPr>
    </w:lvl>
    <w:lvl w:ilvl="8">
      <w:start w:val="0"/>
      <w:numFmt w:val="bullet"/>
      <w:lvlText w:val="•"/>
      <w:lvlJc w:val="left"/>
      <w:pPr>
        <w:ind w:left="-516" w:hanging="243"/>
      </w:pPr>
      <w:rPr>
        <w:rFonts w:hint="default"/>
        <w:lang w:val="en-US" w:eastAsia="en-US" w:bidi="ar-SA"/>
      </w:rPr>
    </w:lvl>
  </w:abstractNum>
  <w:abstractNum w:abstractNumId="3">
    <w:multiLevelType w:val="hybridMultilevel"/>
    <w:lvl w:ilvl="0">
      <w:start w:val="1"/>
      <w:numFmt w:val="decimal"/>
      <w:lvlText w:val="%1."/>
      <w:lvlJc w:val="left"/>
      <w:pPr>
        <w:ind w:left="437" w:hanging="243"/>
        <w:jc w:val="left"/>
      </w:pPr>
      <w:rPr>
        <w:rFonts w:hint="default" w:ascii="Arial" w:hAnsi="Arial" w:eastAsia="Arial" w:cs="Arial"/>
        <w:b/>
        <w:bCs/>
        <w:i w:val="0"/>
        <w:iCs w:val="0"/>
        <w:color w:val="813C83"/>
        <w:spacing w:val="-6"/>
        <w:w w:val="102"/>
        <w:sz w:val="22"/>
        <w:szCs w:val="22"/>
        <w:lang w:val="en-US" w:eastAsia="en-US" w:bidi="ar-SA"/>
      </w:rPr>
    </w:lvl>
    <w:lvl w:ilvl="1">
      <w:start w:val="0"/>
      <w:numFmt w:val="bullet"/>
      <w:lvlText w:val="•"/>
      <w:lvlJc w:val="left"/>
      <w:pPr>
        <w:ind w:left="1332" w:hanging="243"/>
      </w:pPr>
      <w:rPr>
        <w:rFonts w:hint="default"/>
        <w:lang w:val="en-US" w:eastAsia="en-US" w:bidi="ar-SA"/>
      </w:rPr>
    </w:lvl>
    <w:lvl w:ilvl="2">
      <w:start w:val="0"/>
      <w:numFmt w:val="bullet"/>
      <w:lvlText w:val="•"/>
      <w:lvlJc w:val="left"/>
      <w:pPr>
        <w:ind w:left="2224" w:hanging="243"/>
      </w:pPr>
      <w:rPr>
        <w:rFonts w:hint="default"/>
        <w:lang w:val="en-US" w:eastAsia="en-US" w:bidi="ar-SA"/>
      </w:rPr>
    </w:lvl>
    <w:lvl w:ilvl="3">
      <w:start w:val="0"/>
      <w:numFmt w:val="bullet"/>
      <w:lvlText w:val="•"/>
      <w:lvlJc w:val="left"/>
      <w:pPr>
        <w:ind w:left="3116" w:hanging="243"/>
      </w:pPr>
      <w:rPr>
        <w:rFonts w:hint="default"/>
        <w:lang w:val="en-US" w:eastAsia="en-US" w:bidi="ar-SA"/>
      </w:rPr>
    </w:lvl>
    <w:lvl w:ilvl="4">
      <w:start w:val="0"/>
      <w:numFmt w:val="bullet"/>
      <w:lvlText w:val="•"/>
      <w:lvlJc w:val="left"/>
      <w:pPr>
        <w:ind w:left="4008" w:hanging="243"/>
      </w:pPr>
      <w:rPr>
        <w:rFonts w:hint="default"/>
        <w:lang w:val="en-US" w:eastAsia="en-US" w:bidi="ar-SA"/>
      </w:rPr>
    </w:lvl>
    <w:lvl w:ilvl="5">
      <w:start w:val="0"/>
      <w:numFmt w:val="bullet"/>
      <w:lvlText w:val="•"/>
      <w:lvlJc w:val="left"/>
      <w:pPr>
        <w:ind w:left="4900" w:hanging="243"/>
      </w:pPr>
      <w:rPr>
        <w:rFonts w:hint="default"/>
        <w:lang w:val="en-US" w:eastAsia="en-US" w:bidi="ar-SA"/>
      </w:rPr>
    </w:lvl>
    <w:lvl w:ilvl="6">
      <w:start w:val="0"/>
      <w:numFmt w:val="bullet"/>
      <w:lvlText w:val="•"/>
      <w:lvlJc w:val="left"/>
      <w:pPr>
        <w:ind w:left="5792" w:hanging="243"/>
      </w:pPr>
      <w:rPr>
        <w:rFonts w:hint="default"/>
        <w:lang w:val="en-US" w:eastAsia="en-US" w:bidi="ar-SA"/>
      </w:rPr>
    </w:lvl>
    <w:lvl w:ilvl="7">
      <w:start w:val="0"/>
      <w:numFmt w:val="bullet"/>
      <w:lvlText w:val="•"/>
      <w:lvlJc w:val="left"/>
      <w:pPr>
        <w:ind w:left="6684" w:hanging="243"/>
      </w:pPr>
      <w:rPr>
        <w:rFonts w:hint="default"/>
        <w:lang w:val="en-US" w:eastAsia="en-US" w:bidi="ar-SA"/>
      </w:rPr>
    </w:lvl>
    <w:lvl w:ilvl="8">
      <w:start w:val="0"/>
      <w:numFmt w:val="bullet"/>
      <w:lvlText w:val="•"/>
      <w:lvlJc w:val="left"/>
      <w:pPr>
        <w:ind w:left="7576" w:hanging="243"/>
      </w:pPr>
      <w:rPr>
        <w:rFonts w:hint="default"/>
        <w:lang w:val="en-US" w:eastAsia="en-US" w:bidi="ar-SA"/>
      </w:rPr>
    </w:lvl>
  </w:abstractNum>
  <w:abstractNum w:abstractNumId="2">
    <w:multiLevelType w:val="hybridMultilevel"/>
    <w:lvl w:ilvl="0">
      <w:start w:val="0"/>
      <w:numFmt w:val="bullet"/>
      <w:lvlText w:val="&amp;"/>
      <w:lvlPicBulletId w:val="1"/>
      <w:lvlJc w:val="left"/>
      <w:pPr>
        <w:ind w:left="39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1296" w:hanging="280"/>
      </w:pPr>
      <w:rPr>
        <w:rFonts w:hint="default"/>
        <w:lang w:val="en-US" w:eastAsia="en-US" w:bidi="ar-SA"/>
      </w:rPr>
    </w:lvl>
    <w:lvl w:ilvl="2">
      <w:start w:val="0"/>
      <w:numFmt w:val="bullet"/>
      <w:lvlText w:val="•"/>
      <w:lvlJc w:val="left"/>
      <w:pPr>
        <w:ind w:left="2192" w:hanging="280"/>
      </w:pPr>
      <w:rPr>
        <w:rFonts w:hint="default"/>
        <w:lang w:val="en-US" w:eastAsia="en-US" w:bidi="ar-SA"/>
      </w:rPr>
    </w:lvl>
    <w:lvl w:ilvl="3">
      <w:start w:val="0"/>
      <w:numFmt w:val="bullet"/>
      <w:lvlText w:val="•"/>
      <w:lvlJc w:val="left"/>
      <w:pPr>
        <w:ind w:left="3088" w:hanging="280"/>
      </w:pPr>
      <w:rPr>
        <w:rFonts w:hint="default"/>
        <w:lang w:val="en-US" w:eastAsia="en-US" w:bidi="ar-SA"/>
      </w:rPr>
    </w:lvl>
    <w:lvl w:ilvl="4">
      <w:start w:val="0"/>
      <w:numFmt w:val="bullet"/>
      <w:lvlText w:val="•"/>
      <w:lvlJc w:val="left"/>
      <w:pPr>
        <w:ind w:left="3984" w:hanging="280"/>
      </w:pPr>
      <w:rPr>
        <w:rFonts w:hint="default"/>
        <w:lang w:val="en-US" w:eastAsia="en-US" w:bidi="ar-SA"/>
      </w:rPr>
    </w:lvl>
    <w:lvl w:ilvl="5">
      <w:start w:val="0"/>
      <w:numFmt w:val="bullet"/>
      <w:lvlText w:val="•"/>
      <w:lvlJc w:val="left"/>
      <w:pPr>
        <w:ind w:left="4880" w:hanging="280"/>
      </w:pPr>
      <w:rPr>
        <w:rFonts w:hint="default"/>
        <w:lang w:val="en-US" w:eastAsia="en-US" w:bidi="ar-SA"/>
      </w:rPr>
    </w:lvl>
    <w:lvl w:ilvl="6">
      <w:start w:val="0"/>
      <w:numFmt w:val="bullet"/>
      <w:lvlText w:val="•"/>
      <w:lvlJc w:val="left"/>
      <w:pPr>
        <w:ind w:left="5776" w:hanging="280"/>
      </w:pPr>
      <w:rPr>
        <w:rFonts w:hint="default"/>
        <w:lang w:val="en-US" w:eastAsia="en-US" w:bidi="ar-SA"/>
      </w:rPr>
    </w:lvl>
    <w:lvl w:ilvl="7">
      <w:start w:val="0"/>
      <w:numFmt w:val="bullet"/>
      <w:lvlText w:val="•"/>
      <w:lvlJc w:val="left"/>
      <w:pPr>
        <w:ind w:left="6672" w:hanging="280"/>
      </w:pPr>
      <w:rPr>
        <w:rFonts w:hint="default"/>
        <w:lang w:val="en-US" w:eastAsia="en-US" w:bidi="ar-SA"/>
      </w:rPr>
    </w:lvl>
    <w:lvl w:ilvl="8">
      <w:start w:val="0"/>
      <w:numFmt w:val="bullet"/>
      <w:lvlText w:val="•"/>
      <w:lvlJc w:val="left"/>
      <w:pPr>
        <w:ind w:left="7568" w:hanging="280"/>
      </w:pPr>
      <w:rPr>
        <w:rFonts w:hint="default"/>
        <w:lang w:val="en-US" w:eastAsia="en-US" w:bidi="ar-SA"/>
      </w:rPr>
    </w:lvl>
  </w:abstractNum>
  <w:abstractNum w:abstractNumId="1">
    <w:multiLevelType w:val="hybridMultilevel"/>
    <w:lvl w:ilvl="0">
      <w:start w:val="0"/>
      <w:numFmt w:val="bullet"/>
      <w:lvlText w:val="&amp;"/>
      <w:lvlPicBulletId w:val="0"/>
      <w:lvlJc w:val="left"/>
      <w:pPr>
        <w:ind w:left="39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1296" w:hanging="280"/>
      </w:pPr>
      <w:rPr>
        <w:rFonts w:hint="default"/>
        <w:lang w:val="en-US" w:eastAsia="en-US" w:bidi="ar-SA"/>
      </w:rPr>
    </w:lvl>
    <w:lvl w:ilvl="2">
      <w:start w:val="0"/>
      <w:numFmt w:val="bullet"/>
      <w:lvlText w:val="•"/>
      <w:lvlJc w:val="left"/>
      <w:pPr>
        <w:ind w:left="2192" w:hanging="280"/>
      </w:pPr>
      <w:rPr>
        <w:rFonts w:hint="default"/>
        <w:lang w:val="en-US" w:eastAsia="en-US" w:bidi="ar-SA"/>
      </w:rPr>
    </w:lvl>
    <w:lvl w:ilvl="3">
      <w:start w:val="0"/>
      <w:numFmt w:val="bullet"/>
      <w:lvlText w:val="•"/>
      <w:lvlJc w:val="left"/>
      <w:pPr>
        <w:ind w:left="3088" w:hanging="280"/>
      </w:pPr>
      <w:rPr>
        <w:rFonts w:hint="default"/>
        <w:lang w:val="en-US" w:eastAsia="en-US" w:bidi="ar-SA"/>
      </w:rPr>
    </w:lvl>
    <w:lvl w:ilvl="4">
      <w:start w:val="0"/>
      <w:numFmt w:val="bullet"/>
      <w:lvlText w:val="•"/>
      <w:lvlJc w:val="left"/>
      <w:pPr>
        <w:ind w:left="3984" w:hanging="280"/>
      </w:pPr>
      <w:rPr>
        <w:rFonts w:hint="default"/>
        <w:lang w:val="en-US" w:eastAsia="en-US" w:bidi="ar-SA"/>
      </w:rPr>
    </w:lvl>
    <w:lvl w:ilvl="5">
      <w:start w:val="0"/>
      <w:numFmt w:val="bullet"/>
      <w:lvlText w:val="•"/>
      <w:lvlJc w:val="left"/>
      <w:pPr>
        <w:ind w:left="4880" w:hanging="280"/>
      </w:pPr>
      <w:rPr>
        <w:rFonts w:hint="default"/>
        <w:lang w:val="en-US" w:eastAsia="en-US" w:bidi="ar-SA"/>
      </w:rPr>
    </w:lvl>
    <w:lvl w:ilvl="6">
      <w:start w:val="0"/>
      <w:numFmt w:val="bullet"/>
      <w:lvlText w:val="•"/>
      <w:lvlJc w:val="left"/>
      <w:pPr>
        <w:ind w:left="5776" w:hanging="280"/>
      </w:pPr>
      <w:rPr>
        <w:rFonts w:hint="default"/>
        <w:lang w:val="en-US" w:eastAsia="en-US" w:bidi="ar-SA"/>
      </w:rPr>
    </w:lvl>
    <w:lvl w:ilvl="7">
      <w:start w:val="0"/>
      <w:numFmt w:val="bullet"/>
      <w:lvlText w:val="•"/>
      <w:lvlJc w:val="left"/>
      <w:pPr>
        <w:ind w:left="6672" w:hanging="280"/>
      </w:pPr>
      <w:rPr>
        <w:rFonts w:hint="default"/>
        <w:lang w:val="en-US" w:eastAsia="en-US" w:bidi="ar-SA"/>
      </w:rPr>
    </w:lvl>
    <w:lvl w:ilvl="8">
      <w:start w:val="0"/>
      <w:numFmt w:val="bullet"/>
      <w:lvlText w:val="•"/>
      <w:lvlJc w:val="left"/>
      <w:pPr>
        <w:ind w:left="7568" w:hanging="280"/>
      </w:pPr>
      <w:rPr>
        <w:rFonts w:hint="default"/>
        <w:lang w:val="en-US" w:eastAsia="en-US" w:bidi="ar-SA"/>
      </w:rPr>
    </w:lvl>
  </w:abstractNum>
  <w:abstractNum w:abstractNumId="0">
    <w:multiLevelType w:val="hybridMultilevel"/>
    <w:lvl w:ilvl="0">
      <w:start w:val="1"/>
      <w:numFmt w:val="decimal"/>
      <w:lvlText w:val="%1."/>
      <w:lvlJc w:val="left"/>
      <w:pPr>
        <w:ind w:left="437" w:hanging="243"/>
        <w:jc w:val="left"/>
      </w:pPr>
      <w:rPr>
        <w:rFonts w:hint="default" w:ascii="Arial" w:hAnsi="Arial" w:eastAsia="Arial" w:cs="Arial"/>
        <w:b/>
        <w:bCs/>
        <w:i w:val="0"/>
        <w:iCs w:val="0"/>
        <w:color w:val="813C83"/>
        <w:spacing w:val="-6"/>
        <w:w w:val="102"/>
        <w:sz w:val="22"/>
        <w:szCs w:val="22"/>
        <w:lang w:val="en-US" w:eastAsia="en-US" w:bidi="ar-SA"/>
      </w:rPr>
    </w:lvl>
    <w:lvl w:ilvl="1">
      <w:start w:val="0"/>
      <w:numFmt w:val="bullet"/>
      <w:lvlText w:val="•"/>
      <w:lvlJc w:val="left"/>
      <w:pPr>
        <w:ind w:left="1332" w:hanging="243"/>
      </w:pPr>
      <w:rPr>
        <w:rFonts w:hint="default"/>
        <w:lang w:val="en-US" w:eastAsia="en-US" w:bidi="ar-SA"/>
      </w:rPr>
    </w:lvl>
    <w:lvl w:ilvl="2">
      <w:start w:val="0"/>
      <w:numFmt w:val="bullet"/>
      <w:lvlText w:val="•"/>
      <w:lvlJc w:val="left"/>
      <w:pPr>
        <w:ind w:left="2224" w:hanging="243"/>
      </w:pPr>
      <w:rPr>
        <w:rFonts w:hint="default"/>
        <w:lang w:val="en-US" w:eastAsia="en-US" w:bidi="ar-SA"/>
      </w:rPr>
    </w:lvl>
    <w:lvl w:ilvl="3">
      <w:start w:val="0"/>
      <w:numFmt w:val="bullet"/>
      <w:lvlText w:val="•"/>
      <w:lvlJc w:val="left"/>
      <w:pPr>
        <w:ind w:left="3116" w:hanging="243"/>
      </w:pPr>
      <w:rPr>
        <w:rFonts w:hint="default"/>
        <w:lang w:val="en-US" w:eastAsia="en-US" w:bidi="ar-SA"/>
      </w:rPr>
    </w:lvl>
    <w:lvl w:ilvl="4">
      <w:start w:val="0"/>
      <w:numFmt w:val="bullet"/>
      <w:lvlText w:val="•"/>
      <w:lvlJc w:val="left"/>
      <w:pPr>
        <w:ind w:left="4008" w:hanging="243"/>
      </w:pPr>
      <w:rPr>
        <w:rFonts w:hint="default"/>
        <w:lang w:val="en-US" w:eastAsia="en-US" w:bidi="ar-SA"/>
      </w:rPr>
    </w:lvl>
    <w:lvl w:ilvl="5">
      <w:start w:val="0"/>
      <w:numFmt w:val="bullet"/>
      <w:lvlText w:val="•"/>
      <w:lvlJc w:val="left"/>
      <w:pPr>
        <w:ind w:left="4900" w:hanging="243"/>
      </w:pPr>
      <w:rPr>
        <w:rFonts w:hint="default"/>
        <w:lang w:val="en-US" w:eastAsia="en-US" w:bidi="ar-SA"/>
      </w:rPr>
    </w:lvl>
    <w:lvl w:ilvl="6">
      <w:start w:val="0"/>
      <w:numFmt w:val="bullet"/>
      <w:lvlText w:val="•"/>
      <w:lvlJc w:val="left"/>
      <w:pPr>
        <w:ind w:left="5792" w:hanging="243"/>
      </w:pPr>
      <w:rPr>
        <w:rFonts w:hint="default"/>
        <w:lang w:val="en-US" w:eastAsia="en-US" w:bidi="ar-SA"/>
      </w:rPr>
    </w:lvl>
    <w:lvl w:ilvl="7">
      <w:start w:val="0"/>
      <w:numFmt w:val="bullet"/>
      <w:lvlText w:val="•"/>
      <w:lvlJc w:val="left"/>
      <w:pPr>
        <w:ind w:left="6684" w:hanging="243"/>
      </w:pPr>
      <w:rPr>
        <w:rFonts w:hint="default"/>
        <w:lang w:val="en-US" w:eastAsia="en-US" w:bidi="ar-SA"/>
      </w:rPr>
    </w:lvl>
    <w:lvl w:ilvl="8">
      <w:start w:val="0"/>
      <w:numFmt w:val="bullet"/>
      <w:lvlText w:val="•"/>
      <w:lvlJc w:val="left"/>
      <w:pPr>
        <w:ind w:left="7576" w:hanging="243"/>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65"/>
      <w:ind w:left="99"/>
      <w:jc w:val="both"/>
    </w:pPr>
    <w:rPr>
      <w:rFonts w:ascii="Times New Roman" w:hAnsi="Times New Roman" w:eastAsia="Times New Roman" w:cs="Times New Roman"/>
      <w:sz w:val="30"/>
      <w:szCs w:val="30"/>
      <w:lang w:val="en-US" w:eastAsia="en-US" w:bidi="ar-SA"/>
    </w:rPr>
  </w:style>
  <w:style w:styleId="Heading1" w:type="paragraph">
    <w:name w:val="Heading 1"/>
    <w:basedOn w:val="Normal"/>
    <w:uiPriority w:val="1"/>
    <w:qFormat/>
    <w:pPr>
      <w:spacing w:before="200"/>
      <w:ind w:left="99"/>
      <w:outlineLvl w:val="1"/>
    </w:pPr>
    <w:rPr>
      <w:rFonts w:ascii="Arial" w:hAnsi="Arial" w:eastAsia="Arial" w:cs="Arial"/>
      <w:b/>
      <w:bCs/>
      <w:sz w:val="33"/>
      <w:szCs w:val="33"/>
      <w:lang w:val="en-US" w:eastAsia="en-US" w:bidi="ar-SA"/>
    </w:rPr>
  </w:style>
  <w:style w:styleId="Title" w:type="paragraph">
    <w:name w:val="Title"/>
    <w:basedOn w:val="Normal"/>
    <w:uiPriority w:val="1"/>
    <w:qFormat/>
    <w:pPr>
      <w:spacing w:before="277"/>
      <w:ind w:left="174"/>
    </w:pPr>
    <w:rPr>
      <w:rFonts w:ascii="Arial" w:hAnsi="Arial" w:eastAsia="Arial" w:cs="Arial"/>
      <w:sz w:val="60"/>
      <w:szCs w:val="60"/>
      <w:lang w:val="en-US" w:eastAsia="en-US" w:bidi="ar-SA"/>
    </w:rPr>
  </w:style>
  <w:style w:styleId="ListParagraph" w:type="paragraph">
    <w:name w:val="List Paragraph"/>
    <w:basedOn w:val="Normal"/>
    <w:uiPriority w:val="1"/>
    <w:qFormat/>
    <w:pPr>
      <w:ind w:left="718" w:hanging="507"/>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39"/>
      <w:ind w:left="8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2.jpeg"/><Relationship Id="rId16" Type="http://schemas.openxmlformats.org/officeDocument/2006/relationships/image" Target="media/image13.jpeg"/><Relationship Id="rId17" Type="http://schemas.openxmlformats.org/officeDocument/2006/relationships/hyperlink" Target="https://www.bonesource.org/frax-tool" TargetMode="External"/><Relationship Id="rId18" Type="http://schemas.openxmlformats.org/officeDocument/2006/relationships/hyperlink" Target="http://www.shef.ac.uk/FRAX/" TargetMode="External"/><Relationship Id="rId19" Type="http://schemas.openxmlformats.org/officeDocument/2006/relationships/image" Target="media/image17.png"/><Relationship Id="rId20" Type="http://schemas.openxmlformats.org/officeDocument/2006/relationships/image" Target="media/image18.jpeg"/><Relationship Id="rId21" Type="http://schemas.openxmlformats.org/officeDocument/2006/relationships/image" Target="media/image20.jpeg"/><Relationship Id="rId22" Type="http://schemas.openxmlformats.org/officeDocument/2006/relationships/hyperlink" Target="http://pi.amgen.com/united_states/prolia/prolia_pi.pdf" TargetMode="External"/><Relationship Id="rId23"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14.png"/><Relationship Id="rId3" Type="http://schemas.openxmlformats.org/officeDocument/2006/relationships/image" Target="media/image15.png"/><Relationship Id="rId4" Type="http://schemas.openxmlformats.org/officeDocument/2006/relationships/image" Target="media/image16.png"/><Relationship Id="rId5" Type="http://schemas.openxmlformats.org/officeDocument/2006/relationships/image" Target="media/image19.png"/><Relationship Id="rId6"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2026-06-05T11:16:26Z</dcterms:created>
  <dcterms:modified xsi:type="dcterms:W3CDTF">2026-06-05T11:16:26Z</dcterms:modified>
</cp:coreProperties>
</file>